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NEGOCIATIONS ANNUELLES OBLIGATOIRES 2023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REMUNERATION, TEMPS DE TRAVAIL ET PARTAGE DE LA VALEUR AJOUTEE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PROCES VERBAL D’OUVERTURE DES NEGOCIATIONS SUR LES ECARTS DE REMUNERATION ENTRE LES FEMMES ET LES HOMMES </w:t>
      </w:r>
    </w:p>
    <w:p>
      <w:pPr>
        <w:pStyle w:val="Normal"/>
        <w:spacing w:after="0" w:before="0" w:line="240" w:lineRule="auto"/>
        <w:jc w:val="both"/>
        <w:rPr/>
      </w:pPr>
      <w:r>
        <w:rPr/>
        <w:t>Entre :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La société UMICORE SPECIALTY POWDERS FRANCE (USPF), inscrite au RCS de GRENOBLE sous le numéro 325 538 973, dont le Siège Social est 54 Avenue Rhin et Danube - 38100 GRENOBLE, représentée par Monsieur  agissant en qualité de Directeur Général, et ayant tous pouvoirs à l’effet des présentes,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tabs>
          <w:tab w:pos="708" w:val="clear"/>
          <w:tab w:leader="none" w:pos="142" w:val="left"/>
        </w:tabs>
        <w:spacing w:after="0" w:before="0" w:line="240" w:lineRule="auto"/>
        <w:ind w:hanging="0" w:left="142"/>
        <w:jc w:val="right"/>
        <w:rPr/>
      </w:pPr>
      <w:r>
        <w:rPr/>
        <w:t>D’une part,</w:t>
      </w:r>
    </w:p>
    <w:p>
      <w:pPr>
        <w:pStyle w:val="Normal"/>
        <w:spacing w:after="0" w:before="0" w:line="240" w:lineRule="auto"/>
        <w:jc w:val="both"/>
        <w:rPr/>
      </w:pPr>
      <w:r>
        <w:rPr/>
        <w:t>Et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La CGT, représentée par Monsieur , délégué syndical dans l’entreprise,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right"/>
        <w:rPr/>
      </w:pPr>
      <w:r>
        <w:rPr/>
        <w:t>D’autre part,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Dans le cadre de la négociation annuelle obligatoire (NAO) de l’année 2023 et à l’initiative de la Direction, les parties se sont rencontrées les 12 janvier, 1</w:t>
      </w:r>
      <w:r>
        <w:rPr>
          <w:vertAlign w:val="superscript"/>
        </w:rPr>
        <w:t>er</w:t>
      </w:r>
      <w:r>
        <w:rPr/>
        <w:t xml:space="preserve"> février et 9 février 2023.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Au cours de ces réunions, les parties ont pu échanger sur leurs propositions respectives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 xml:space="preserve">A l’issue des </w:t>
      </w:r>
      <w:commentRangeStart w:id="0"/>
      <w:r>
        <w:rPr/>
        <w:t>négociations sincères et loyales</w:t>
      </w:r>
      <w:r>
        <w:rPr/>
      </w:r>
      <w:commentRangeEnd w:id="0"/>
      <w:r>
        <w:commentReference w:id="0"/>
      </w:r>
      <w:r>
        <w:rPr/>
        <w:t>, les dispositions du présent accord ont été arrêtées.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>
          <w:b/>
          <w:b/>
        </w:rPr>
      </w:pPr>
      <w:r>
        <w:rPr/>
        <w:t xml:space="preserve">Sur le volet rémunération, un accord a été conclu ainsi : </w:t>
      </w:r>
    </w:p>
    <w:p>
      <w:pPr>
        <w:pStyle w:val="Normal"/>
        <w:spacing w:after="0" w:before="0" w:line="240" w:lineRule="auto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after="0" w:before="0" w:line="240" w:lineRule="auto"/>
        <w:jc w:val="both"/>
        <w:rPr>
          <w:u w:val="single"/>
        </w:rPr>
      </w:pPr>
      <w:r>
        <w:rPr>
          <w:u w:val="single"/>
        </w:rPr>
        <w:t>Pour le  personnel ne relevant pas du statut cadre (ouvriers et ATAM)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Pour le personnel ne relevant pas du statut cadre (ouvriers, ATAM), il a été convenu ce qui suit :</w:t>
      </w:r>
    </w:p>
    <w:p>
      <w:pPr>
        <w:pStyle w:val="ListParagraph"/>
        <w:numPr>
          <w:ilvl w:val="0"/>
          <w:numId w:val="1"/>
        </w:numPr>
        <w:spacing w:after="0" w:before="0" w:line="240" w:lineRule="auto"/>
        <w:contextualSpacing/>
        <w:jc w:val="both"/>
        <w:rPr/>
      </w:pPr>
      <w:r>
        <w:rPr/>
        <w:t>Une augmentation générale de 5.4% des salaires de base brut mensuels, avec un talon de 130 € bruts pour un salarié à temps complet, calculé à due proportion du temps de présence à l’effectif de l’entreprise en cas de mois incomplet et de la durée du travail, avec effet rétroactif au 1</w:t>
      </w:r>
      <w:r>
        <w:rPr>
          <w:vertAlign w:val="superscript"/>
        </w:rPr>
        <w:t>er</w:t>
      </w:r>
      <w:r>
        <w:rPr/>
        <w:t xml:space="preserve"> février 2023 ;</w:t>
      </w:r>
    </w:p>
    <w:p>
      <w:pPr>
        <w:pStyle w:val="ListParagraph"/>
        <w:numPr>
          <w:ilvl w:val="0"/>
          <w:numId w:val="1"/>
        </w:numPr>
        <w:spacing w:after="0" w:before="0" w:line="240" w:lineRule="auto"/>
        <w:contextualSpacing/>
        <w:jc w:val="both"/>
        <w:rPr/>
      </w:pPr>
      <w:r>
        <w:rPr/>
        <w:t>Une revalorisation de 4% de la valeur du point servant de calcul à la prime d’ancienneté, avec effet rétroactif au 1</w:t>
      </w:r>
      <w:r>
        <w:rPr>
          <w:vertAlign w:val="superscript"/>
        </w:rPr>
        <w:t>er</w:t>
      </w:r>
      <w:r>
        <w:rPr/>
        <w:t xml:space="preserve"> février 2023.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A ces augmentations s’ajoutent une enveloppe d’augmentations individuelles correspondant à 0.4% des salaires de base du mois d’avril. L’enveloppe d’augmentations individuelles sera distribuée après les entretiens annuels, avec application au 1</w:t>
      </w:r>
      <w:r>
        <w:rPr>
          <w:vertAlign w:val="superscript"/>
        </w:rPr>
        <w:t>er</w:t>
      </w:r>
      <w:r>
        <w:rPr/>
        <w:t xml:space="preserve"> avril 2023.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>
          <w:u w:val="single"/>
        </w:rPr>
      </w:pPr>
      <w:r>
        <w:rPr>
          <w:u w:val="single"/>
        </w:rPr>
        <w:t>Pour le personnel relevant du statut cadre (hors ouvriers et ATAM)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Pour le personnel relevant du statut cadre (hors ouvriers et ATAM), il a été convenu ce qui suit :</w:t>
      </w:r>
    </w:p>
    <w:p>
      <w:pPr>
        <w:pStyle w:val="ListParagraph"/>
        <w:numPr>
          <w:ilvl w:val="0"/>
          <w:numId w:val="1"/>
        </w:numPr>
        <w:spacing w:after="0" w:before="0" w:line="240" w:lineRule="auto"/>
        <w:contextualSpacing/>
        <w:jc w:val="both"/>
        <w:rPr/>
      </w:pPr>
      <w:r>
        <w:rPr/>
        <w:t>Une augmentation de 1% du salaire mensuel de base brut à compter du mois de juillet 2023.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spacing w:after="0" w:before="0" w:line="240" w:lineRule="auto"/>
        <w:jc w:val="both"/>
        <w:rPr/>
      </w:pPr>
      <w:r>
        <w:rPr/>
        <w:t>Les parties rappellent que le groupe UMICORE donnera les directives et l’enveloppe d’Augmentation Individuelle pour l’ensemble des cadres pour une application au 1</w:t>
      </w:r>
      <w:r>
        <w:rPr>
          <w:vertAlign w:val="superscript"/>
        </w:rPr>
        <w:t>er</w:t>
      </w:r>
      <w:r>
        <w:rPr/>
        <w:t> juillet 2023.</w:t>
      </w:r>
    </w:p>
    <w:p>
      <w:pPr>
        <w:pStyle w:val="Normal"/>
        <w:spacing w:after="0" w:before="0" w:line="240" w:lineRule="auto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Pour l’Organisation syndicale, </w:t>
        <w:tab/>
        <w:tab/>
        <w:tab/>
        <w:tab/>
        <w:tab/>
        <w:t>Pour la Direction,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CGT : </w:t>
        <w:tab/>
        <w:tab/>
        <w:tab/>
        <w:tab/>
        <w:tab/>
      </w:r>
    </w:p>
    <w:p>
      <w:pPr>
        <w:pStyle w:val="Normal"/>
        <w:spacing w:after="200" w:before="0"/>
        <w:jc w:val="both"/>
        <w:rPr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40" w:footer="720" w:gutter="0" w:header="720" w:left="1134" w:right="1133" w:top="1440"/>
      <w:pgNumType w:fmt="decimal"/>
      <w:formProt w:val="false"/>
      <w:textDirection w:val="lrTb"/>
      <w:docGrid w:charSpace="4096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athilde vial" w:date="2023-03-07T14:54:00Z" w:initials="mv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Pour mémoire, l'engagement loyal et sérieux des négociations sur les écarts de rémunérations entre les femmes et les hommes conditionne le dépôt des accords sur les salaires.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Ainsi, les accords sur les salaires effectifs ne peuvent être déposés auprès de l'administration qu'accompagnés d'un procès-verbal d'ouverture des négociations portant sur les écarts de rémunération entre les femmes et les hommes. Ce procès-verbal doit consigner les propositions respectives des parties et attester que l'employeur a engagé sérieusement et loyalement les négociations. A cet effet, vous pouvez reprendre les propositions insérées dans votre projet d’accord initial.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sdt>
    <w:sdtPr>
      <w:docPartObj>
        <w:docPartGallery w:val="Page Numbers (Bottom of Page)"/>
        <w:docPartUnique w:val="true"/>
      </w:docPartObj>
      <w:id w:val="1897961522"/>
    </w:sdtPr>
    <w:sdtContent>
      <w:p>
        <w:pPr>
          <w:pStyle w:val="Pieddepage"/>
          <w:rPr/>
        </w:pPr>
        <w:r>
          <w:rPr/>
          <w:t xml:space="preserve">Paraphes </w:t>
          <w:tab/>
          <w:t>[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>]</w:t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Entte"/>
      <w:rPr/>
    </w:pPr>
    <w:r>
      <w:rPr/>
      <w:drawing>
        <wp:anchor allowOverlap="1" behindDoc="1" distB="0" distL="0" distR="0" distT="0" layoutInCell="0" locked="0" relativeHeight="3" simplePos="0">
          <wp:simplePos x="0" y="0"/>
          <wp:positionH relativeFrom="column">
            <wp:posOffset>4879340</wp:posOffset>
          </wp:positionH>
          <wp:positionV relativeFrom="paragraph">
            <wp:posOffset>-41275</wp:posOffset>
          </wp:positionV>
          <wp:extent cx="1589405" cy="532130"/>
          <wp:effectExtent b="0" l="0" r="0" t="0"/>
          <wp:wrapNone/>
          <wp:docPr descr="" id="1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Image 7"/>
                  <pic:cNvPicPr>
                    <a:picLocks noChangeArrowheads="1"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9405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2"/>
      <w:numFmt w:val="bullet"/>
      <w:lvlText w:val="-"/>
      <w:lvlJc w:val="left"/>
      <w:pPr>
        <w:tabs>
          <w:tab w:pos="0" w:val="num"/>
        </w:tabs>
        <w:ind w:hanging="360" w:left="720"/>
      </w:pPr>
      <w:rPr>
        <w:rFonts w:ascii="Calibri" w:cs="Calibri" w:hAnsi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bidi="th-TH" w:eastAsia="zh-CN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Cordia New" w:cstheme="minorBidi" w:eastAsia="Calibri" w:eastAsiaTheme="minorHAnsi" w:hAnsi="Calibri" w:hAnsiTheme="minorHAnsi"/>
        <w:sz w:val="22"/>
        <w:szCs w:val="22"/>
        <w:lang w:bidi="ar-SA" w:eastAsia="en-US" w:val="fr-FR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widowControl/>
      <w:bidi w:val="0"/>
      <w:spacing w:after="200" w:before="0" w:line="276" w:lineRule="auto"/>
      <w:jc w:val="left"/>
    </w:pPr>
    <w:rPr>
      <w:rFonts w:ascii="Calibri" w:asciiTheme="minorHAnsi" w:cs="Cordia New" w:cstheme="minorBidi" w:eastAsia="Calibri" w:eastAsiaTheme="minorHAnsi" w:hAnsi="Calibri" w:hAnsiTheme="minorHAnsi"/>
      <w:color w:val="auto"/>
      <w:kern w:val="0"/>
      <w:sz w:val="22"/>
      <w:szCs w:val="22"/>
      <w:lang w:bidi="ar-SA" w:eastAsia="en-US" w:val="fr-FR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EntteCar" w:type="character">
    <w:name w:val="En-tête Car"/>
    <w:basedOn w:val="DefaultParagraphFont"/>
    <w:link w:val="En-tte"/>
    <w:uiPriority w:val="99"/>
    <w:qFormat/>
    <w:rsid w:val="009e7fc6"/>
    <w:rPr/>
  </w:style>
  <w:style w:customStyle="1" w:styleId="PieddepageCar" w:type="character">
    <w:name w:val="Pied de page Car"/>
    <w:basedOn w:val="DefaultParagraphFont"/>
    <w:link w:val="Pieddepage"/>
    <w:uiPriority w:val="99"/>
    <w:qFormat/>
    <w:rsid w:val="009e7fc6"/>
    <w:rPr/>
  </w:style>
  <w:style w:styleId="Strong" w:type="character">
    <w:name w:val="Strong"/>
    <w:basedOn w:val="DefaultParagraphFont"/>
    <w:uiPriority w:val="22"/>
    <w:qFormat/>
    <w:rsid w:val="00ab175e"/>
    <w:rPr>
      <w:b/>
      <w:bCs/>
    </w:rPr>
  </w:style>
  <w:style w:styleId="LienInternet" w:type="character">
    <w:name w:val="Lien Internet"/>
    <w:basedOn w:val="DefaultParagraphFont"/>
    <w:uiPriority w:val="99"/>
    <w:semiHidden/>
    <w:unhideWhenUsed/>
    <w:rsid w:val="00ab175e"/>
    <w:rPr>
      <w:color w:val="0000FF"/>
      <w:u w:val="single"/>
    </w:rPr>
  </w:style>
  <w:style w:customStyle="1" w:styleId="TextedebullesCar" w:type="character">
    <w:name w:val="Texte de bulles Car"/>
    <w:basedOn w:val="DefaultParagraphFont"/>
    <w:link w:val="Textedebulles"/>
    <w:uiPriority w:val="99"/>
    <w:semiHidden/>
    <w:qFormat/>
    <w:rsid w:val="00ea08bd"/>
    <w:rPr>
      <w:rFonts w:ascii="Tahoma" w:cs="Tahoma" w:hAnsi="Tahoma"/>
      <w:sz w:val="16"/>
      <w:szCs w:val="16"/>
    </w:rPr>
  </w:style>
  <w:style w:styleId="Annotationreference" w:type="character">
    <w:name w:val="annotation reference"/>
    <w:basedOn w:val="DefaultParagraphFont"/>
    <w:uiPriority w:val="99"/>
    <w:semiHidden/>
    <w:unhideWhenUsed/>
    <w:qFormat/>
    <w:rsid w:val="008a00bd"/>
    <w:rPr>
      <w:sz w:val="16"/>
      <w:szCs w:val="16"/>
    </w:rPr>
  </w:style>
  <w:style w:customStyle="1" w:styleId="CommentaireCar" w:type="character">
    <w:name w:val="Commentaire Car"/>
    <w:basedOn w:val="DefaultParagraphFont"/>
    <w:link w:val="Commentaire"/>
    <w:uiPriority w:val="99"/>
    <w:qFormat/>
    <w:rsid w:val="008a00bd"/>
    <w:rPr>
      <w:sz w:val="20"/>
      <w:szCs w:val="20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sdetexte" w:type="paragraph">
    <w:name w:val="Body Text"/>
    <w:basedOn w:val="Normal"/>
    <w:pPr>
      <w:spacing w:after="140" w:before="0" w:line="276" w:lineRule="auto"/>
    </w:pPr>
    <w:rPr/>
  </w:style>
  <w:style w:styleId="Liste" w:type="paragraph">
    <w:name w:val="List"/>
    <w:basedOn w:val="Corpsdetexte"/>
    <w:pPr/>
    <w:rPr>
      <w:rFonts w:cs="Lucida Sans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link w:val="En-tteCar"/>
    <w:uiPriority w:val="99"/>
    <w:unhideWhenUsed/>
    <w:rsid w:val="009e7fc6"/>
    <w:pPr>
      <w:tabs>
        <w:tab w:pos="708" w:val="clear"/>
        <w:tab w:leader="none" w:pos="4513" w:val="center"/>
        <w:tab w:leader="none" w:pos="9026" w:val="right"/>
      </w:tabs>
      <w:spacing w:after="0" w:before="0" w:line="240" w:lineRule="auto"/>
    </w:pPr>
    <w:rPr/>
  </w:style>
  <w:style w:styleId="Pieddepage" w:type="paragraph">
    <w:name w:val="Footer"/>
    <w:basedOn w:val="Normal"/>
    <w:link w:val="PieddepageCar"/>
    <w:uiPriority w:val="99"/>
    <w:unhideWhenUsed/>
    <w:rsid w:val="009e7fc6"/>
    <w:pPr>
      <w:tabs>
        <w:tab w:pos="708" w:val="clear"/>
        <w:tab w:leader="none" w:pos="4513" w:val="center"/>
        <w:tab w:leader="none" w:pos="9026" w:val="right"/>
      </w:tabs>
      <w:spacing w:after="0" w:before="0" w:line="240" w:lineRule="auto"/>
    </w:pPr>
    <w:rPr/>
  </w:style>
  <w:style w:styleId="ListParagraph" w:type="paragraph">
    <w:name w:val="List Paragraph"/>
    <w:basedOn w:val="Normal"/>
    <w:uiPriority w:val="34"/>
    <w:qFormat/>
    <w:rsid w:val="009e7fc6"/>
    <w:pPr>
      <w:spacing w:after="200" w:before="0"/>
      <w:ind w:hanging="0" w:left="720"/>
      <w:contextualSpacing/>
    </w:pPr>
    <w:rPr/>
  </w:style>
  <w:style w:styleId="NormalWeb" w:type="paragraph">
    <w:name w:val="Normal (Web)"/>
    <w:basedOn w:val="Normal"/>
    <w:uiPriority w:val="99"/>
    <w:semiHidden/>
    <w:unhideWhenUsed/>
    <w:qFormat/>
    <w:rsid w:val="00ab175e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BalloonText" w:type="paragraph">
    <w:name w:val="Balloon Text"/>
    <w:basedOn w:val="Normal"/>
    <w:link w:val="TextedebullesCar"/>
    <w:uiPriority w:val="99"/>
    <w:semiHidden/>
    <w:unhideWhenUsed/>
    <w:qFormat/>
    <w:rsid w:val="00ea08bd"/>
    <w:pPr>
      <w:spacing w:after="0" w:before="0" w:line="240" w:lineRule="auto"/>
    </w:pPr>
    <w:rPr>
      <w:rFonts w:ascii="Tahoma" w:cs="Tahoma" w:hAnsi="Tahoma"/>
      <w:sz w:val="16"/>
      <w:szCs w:val="16"/>
    </w:rPr>
  </w:style>
  <w:style w:styleId="Annotationtext" w:type="paragraph">
    <w:name w:val="annotation text"/>
    <w:basedOn w:val="Normal"/>
    <w:link w:val="CommentaireCar"/>
    <w:uiPriority w:val="99"/>
    <w:unhideWhenUsed/>
    <w:qFormat/>
    <w:rsid w:val="008a00bd"/>
    <w:pPr>
      <w:spacing w:line="240" w:lineRule="auto"/>
    </w:pPr>
    <w:rPr>
      <w:sz w:val="20"/>
      <w:szCs w:val="20"/>
    </w:rPr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styleId="Grilledutableau" w:type="table">
    <w:name w:val="Table Grid"/>
    <w:basedOn w:val="TableauNormal"/>
    <w:uiPriority w:val="59"/>
    <w:rsid w:val="003560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LibreOffice/7.2.7.2.M8$Windows_X86_64 LibreOffice_project/cf1bdbb7fdbe4cc2bde03370057fbbb79d316db5</Application>
  <AppVersion>15.0000</AppVersion>
  <Pages>2</Pages>
  <Words>394</Words>
  <Characters>2024</Characters>
  <CharactersWithSpaces>2406</CharactersWithSpaces>
  <Paragraphs>25</Paragraphs>
  <Company>ERAMET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2023-03-08T09:09:00Z</dcterms:created>
  <dc:language>fr-FR</dc:language>
  <cp:lastPrinted>2023-03-08T15:43:00Z</cp:lastPrinted>
  <dcterms:modified xsi:type="dcterms:W3CDTF">2023-03-15T09:56:36Z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