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rFonts w:ascii="Calibri" w:hAnsi="Calibri" w:cs="Arial"/>
          <w:b/>
          <w:b/>
          <w:sz w:val="28"/>
          <w:szCs w:val="28"/>
        </w:rPr>
      </w:pPr>
      <w:r>
        <w:rPr>
          <w:rFonts w:cs="Arial" w:ascii="Calibri" w:hAnsi="Calibri"/>
          <w:b/>
          <w:sz w:val="28"/>
          <w:szCs w:val="28"/>
        </w:rPr>
        <w:t>N</w:t>
      </w:r>
      <w:r>
        <w:rPr>
          <w:rFonts w:cs="Arial" w:ascii="Calibri" w:hAnsi="Calibri"/>
          <w:b/>
          <w:sz w:val="28"/>
          <w:szCs w:val="28"/>
        </w:rPr>
        <w:t>EGOCIATION ANNUELLE OBLIGATOIRE POUR L’EXERCICE 2022</w:t>
      </w:r>
      <w:r>
        <mc:AlternateContent>
          <mc:Choice Requires="wps">
            <w:drawing>
              <wp:anchor behindDoc="0" distT="0" distB="0" distL="114935" distR="114935" simplePos="0" locked="0" layoutInCell="1" allowOverlap="1" relativeHeight="4">
                <wp:simplePos x="0" y="0"/>
                <wp:positionH relativeFrom="column">
                  <wp:posOffset>-118745</wp:posOffset>
                </wp:positionH>
                <wp:positionV relativeFrom="paragraph">
                  <wp:posOffset>-438150</wp:posOffset>
                </wp:positionV>
                <wp:extent cx="584835" cy="219075"/>
                <wp:effectExtent l="0" t="0" r="0" b="0"/>
                <wp:wrapNone/>
                <wp:docPr id="1" name="Frame1"/>
                <a:graphic xmlns:a="http://schemas.openxmlformats.org/drawingml/2006/main">
                  <a:graphicData uri="http://schemas.microsoft.com/office/word/2010/wordprocessingShape">
                    <wps:wsp>
                      <wps:cNvSpPr txBox="1"/>
                      <wps:spPr>
                        <a:xfrm>
                          <a:off x="0" y="0"/>
                          <a:ext cx="584835" cy="219075"/>
                        </a:xfrm>
                        <a:prstGeom prst="rect"/>
                        <a:solidFill>
                          <a:srgbClr val="FFFFFF"/>
                        </a:solidFill>
                      </wps:spPr>
                      <wps:txbx>
                        <w:txbxContent>
                          <w:p>
                            <w:pPr>
                              <w:pStyle w:val="Normal"/>
                              <w:rPr>
                                <w:rFonts w:ascii="Arial" w:hAnsi="Arial" w:cs="Arial"/>
                                <w:color w:val="999999"/>
                                <w:sz w:val="28"/>
                                <w:szCs w:val="28"/>
                              </w:rPr>
                            </w:pPr>
                            <w:r>
                              <w:rPr>
                                <w:rFonts w:cs="Arial" w:ascii="Arial" w:hAnsi="Arial"/>
                                <w:color w:val="999999"/>
                                <w:sz w:val="28"/>
                                <w:szCs w:val="28"/>
                              </w:rPr>
                            </w:r>
                          </w:p>
                        </w:txbxContent>
                      </wps:txbx>
                      <wps:bodyPr anchor="t" lIns="92075" tIns="46355" rIns="92075" bIns="46355">
                        <a:noAutofit/>
                      </wps:bodyPr>
                    </wps:wsp>
                  </a:graphicData>
                </a:graphic>
              </wp:anchor>
            </w:drawing>
          </mc:Choice>
          <mc:Fallback>
            <w:pict>
              <v:rect fillcolor="#FFFFFF" style="position:absolute;rotation:0;width:46.05pt;height:17.25pt;mso-wrap-distance-left:9.05pt;mso-wrap-distance-right:9.05pt;margin-top:-34.5pt;mso-position-vertical-relative:text;margin-left:-9.35pt;mso-position-horizontal-relative:text">
                <v:textbox inset="0.100694444444444in,0.0506944444444444in,0.100694444444444in,0.0506944444444444in">
                  <w:txbxContent>
                    <w:p>
                      <w:pPr>
                        <w:pStyle w:val="Normal"/>
                        <w:rPr>
                          <w:rFonts w:ascii="Arial" w:hAnsi="Arial" w:cs="Arial"/>
                          <w:color w:val="999999"/>
                          <w:sz w:val="28"/>
                          <w:szCs w:val="28"/>
                        </w:rPr>
                      </w:pPr>
                      <w:r>
                        <w:rPr>
                          <w:rFonts w:cs="Arial" w:ascii="Arial" w:hAnsi="Arial"/>
                          <w:color w:val="999999"/>
                          <w:sz w:val="28"/>
                          <w:szCs w:val="28"/>
                        </w:rPr>
                      </w:r>
                    </w:p>
                  </w:txbxContent>
                </v:textbox>
              </v:rect>
            </w:pict>
          </mc:Fallback>
        </mc:AlternateContent>
      </w:r>
    </w:p>
    <w:p>
      <w:pPr>
        <w:pStyle w:val="Normal"/>
        <w:jc w:val="both"/>
        <w:rPr>
          <w:rFonts w:ascii="Calibri" w:hAnsi="Calibri" w:cs="Arial"/>
          <w:b/>
          <w:b/>
          <w:sz w:val="28"/>
          <w:szCs w:val="28"/>
        </w:rPr>
      </w:pPr>
      <w:r>
        <w:rPr>
          <w:rFonts w:cs="Arial" w:ascii="Calibri" w:hAnsi="Calibri"/>
          <w:b/>
          <w:sz w:val="28"/>
          <w:szCs w:val="28"/>
        </w:rPr>
      </w:r>
    </w:p>
    <w:p>
      <w:pPr>
        <w:pStyle w:val="Normal"/>
        <w:jc w:val="both"/>
        <w:rPr>
          <w:rFonts w:ascii="Calibri" w:hAnsi="Calibri" w:cs="Arial"/>
        </w:rPr>
      </w:pPr>
      <w:r>
        <w:rPr>
          <w:rFonts w:cs="Arial" w:ascii="Calibri" w:hAnsi="Calibri"/>
        </w:rPr>
      </w:r>
    </w:p>
    <w:p>
      <w:pPr>
        <w:pStyle w:val="Normal"/>
        <w:rPr/>
      </w:pPr>
      <w:r>
        <w:rPr>
          <w:rFonts w:cs="Arial" w:ascii="Calibri" w:hAnsi="Calibri"/>
        </w:rPr>
        <w:t>Entre :</w:t>
      </w:r>
    </w:p>
    <w:p>
      <w:pPr>
        <w:pStyle w:val="Normal"/>
        <w:numPr>
          <w:ilvl w:val="0"/>
          <w:numId w:val="2"/>
        </w:numPr>
        <w:spacing w:lineRule="auto" w:line="276" w:before="0" w:after="200"/>
        <w:rPr>
          <w:rFonts w:ascii="Calibri" w:hAnsi="Calibri" w:cs="Arial"/>
        </w:rPr>
      </w:pPr>
      <w:r>
        <w:rPr>
          <w:rFonts w:cs="Arial" w:ascii="Calibri" w:hAnsi="Calibri"/>
        </w:rPr>
        <w:t>La société</w:t>
      </w:r>
      <w:r>
        <w:rPr>
          <w:rFonts w:cs="Arial" w:ascii="Calibri" w:hAnsi="Calibri"/>
          <w:b/>
        </w:rPr>
        <w:t xml:space="preserve"> HELIDAX,</w:t>
      </w:r>
      <w:r>
        <w:rPr>
          <w:rFonts w:cs="Arial" w:ascii="Calibri" w:hAnsi="Calibri"/>
        </w:rPr>
        <w:t xml:space="preserve"> représentée par Monsieur, Directeur de sites et Dirigeant Responsable, d’une part,</w:t>
      </w:r>
    </w:p>
    <w:p>
      <w:pPr>
        <w:pStyle w:val="Normal"/>
        <w:numPr>
          <w:ilvl w:val="0"/>
          <w:numId w:val="2"/>
        </w:numPr>
        <w:spacing w:lineRule="auto" w:line="276" w:before="0" w:after="200"/>
        <w:ind w:left="720" w:hanging="294"/>
        <w:rPr>
          <w:rFonts w:ascii="Calibri" w:hAnsi="Calibri" w:cs="Arial"/>
        </w:rPr>
      </w:pPr>
      <w:r>
        <w:rPr>
          <w:rFonts w:cs="Arial" w:ascii="Calibri" w:hAnsi="Calibri"/>
        </w:rPr>
        <w:t xml:space="preserve">Les organisations syndicales, La </w:t>
      </w:r>
      <w:r>
        <w:rPr>
          <w:rFonts w:cs="Arial" w:ascii="Calibri" w:hAnsi="Calibri"/>
          <w:b/>
        </w:rPr>
        <w:t>CFDT</w:t>
      </w:r>
      <w:r>
        <w:rPr>
          <w:rFonts w:cs="Arial" w:ascii="Calibri" w:hAnsi="Calibri"/>
        </w:rPr>
        <w:t>, représentée par Monsieur, délégué syndical, d’autre part.</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t>A l’issue de la Négociation Annuelle Obligatoire qui s’est déroulée durant les séances des 24 novembre 2021, 9 et 16 décembre 2021, 5, 11, 24, 27, et 31 janvier 2022 et 3 et 4 février 2022,</w:t>
      </w:r>
    </w:p>
    <w:p>
      <w:pPr>
        <w:pStyle w:val="Normal"/>
        <w:jc w:val="both"/>
        <w:rPr>
          <w:rFonts w:ascii="Calibri" w:hAnsi="Calibri" w:cs="Arial"/>
        </w:rPr>
      </w:pPr>
      <w:r>
        <w:rPr>
          <w:rFonts w:cs="Arial" w:ascii="Calibri" w:hAnsi="Calibri"/>
        </w:rPr>
      </w:r>
    </w:p>
    <w:p>
      <w:pPr>
        <w:pStyle w:val="Normal"/>
        <w:jc w:val="both"/>
        <w:rPr>
          <w:rFonts w:ascii="Calibri" w:hAnsi="Calibri" w:cs="Arial"/>
        </w:rPr>
      </w:pPr>
      <w:r>
        <w:rPr>
          <w:rFonts w:cs="Arial" w:ascii="Calibri" w:hAnsi="Calibri"/>
        </w:rPr>
      </w:r>
    </w:p>
    <w:p>
      <w:pPr>
        <w:pStyle w:val="Normal"/>
        <w:jc w:val="both"/>
        <w:rPr/>
      </w:pPr>
      <w:r>
        <w:rPr>
          <w:rFonts w:cs="Arial" w:ascii="Calibri" w:hAnsi="Calibri"/>
          <w:b/>
        </w:rPr>
        <w:t>IL A ETE CONVENU CE QUI SUIT :</w:t>
      </w:r>
    </w:p>
    <w:p>
      <w:pPr>
        <w:pStyle w:val="Projet"/>
        <w:ind w:left="360" w:hanging="0"/>
        <w:rPr>
          <w:rFonts w:ascii="Calibri" w:hAnsi="Calibri" w:cs="Arial"/>
          <w:b/>
          <w:b/>
          <w:bCs/>
          <w:iCs/>
          <w:sz w:val="24"/>
          <w:szCs w:val="24"/>
        </w:rPr>
      </w:pPr>
      <w:r>
        <w:rPr>
          <w:rFonts w:cs="Arial" w:ascii="Calibri" w:hAnsi="Calibri"/>
          <w:b/>
          <w:bCs/>
          <w:iCs/>
          <w:sz w:val="24"/>
          <w:szCs w:val="24"/>
        </w:rPr>
      </w:r>
    </w:p>
    <w:p>
      <w:pPr>
        <w:pStyle w:val="Projet"/>
        <w:ind w:hanging="0"/>
        <w:rPr>
          <w:rFonts w:ascii="Calibri" w:hAnsi="Calibri" w:cs="Arial"/>
          <w:b/>
          <w:b/>
          <w:bCs/>
          <w:iCs/>
          <w:sz w:val="24"/>
          <w:szCs w:val="24"/>
        </w:rPr>
      </w:pPr>
      <w:r>
        <w:rPr>
          <w:rFonts w:cs="Arial" w:ascii="Calibri" w:hAnsi="Calibri"/>
          <w:b/>
          <w:bCs/>
          <w:iCs/>
          <w:sz w:val="24"/>
          <w:szCs w:val="24"/>
        </w:rPr>
        <w:t>Article 1 – Champ d’application</w:t>
      </w:r>
    </w:p>
    <w:p>
      <w:pPr>
        <w:pStyle w:val="Projet"/>
        <w:ind w:hanging="0"/>
        <w:rPr/>
      </w:pPr>
      <w:r>
        <w:rPr>
          <w:rFonts w:cs="Arial" w:ascii="Calibri" w:hAnsi="Calibri"/>
          <w:bCs/>
          <w:iCs/>
          <w:sz w:val="24"/>
          <w:szCs w:val="24"/>
        </w:rPr>
        <w:t>Le présent accord s’applique à l’ensemble des salariés d’HELIDAX sauf mention particulière.</w:t>
      </w:r>
    </w:p>
    <w:p>
      <w:pPr>
        <w:pStyle w:val="Projet"/>
        <w:ind w:hanging="0"/>
        <w:rPr/>
      </w:pPr>
      <w:r>
        <w:rPr>
          <w:rFonts w:cs="Arial" w:ascii="Calibri" w:hAnsi="Calibri"/>
          <w:bCs/>
          <w:iCs/>
          <w:sz w:val="24"/>
          <w:szCs w:val="24"/>
        </w:rPr>
        <w:t>Cette négociation tient compte du contexte actuel et à venir pour l’année 2022.</w:t>
      </w:r>
    </w:p>
    <w:p>
      <w:pPr>
        <w:pStyle w:val="Projet"/>
        <w:ind w:hanging="0"/>
        <w:rPr>
          <w:rFonts w:ascii="Calibri" w:hAnsi="Calibri" w:cs="Arial"/>
          <w:bCs/>
          <w:iCs/>
          <w:sz w:val="24"/>
          <w:szCs w:val="24"/>
        </w:rPr>
      </w:pPr>
      <w:r>
        <w:rPr>
          <w:rFonts w:cs="Arial" w:ascii="Calibri" w:hAnsi="Calibri"/>
          <w:bCs/>
          <w:iCs/>
          <w:sz w:val="24"/>
          <w:szCs w:val="24"/>
        </w:rPr>
      </w:r>
    </w:p>
    <w:p>
      <w:pPr>
        <w:pStyle w:val="Projet"/>
        <w:ind w:hanging="0"/>
        <w:rPr/>
      </w:pPr>
      <w:r>
        <w:rPr>
          <w:rFonts w:cs="Arial" w:ascii="Calibri" w:hAnsi="Calibri"/>
          <w:b/>
          <w:bCs/>
          <w:iCs/>
          <w:sz w:val="24"/>
          <w:szCs w:val="24"/>
        </w:rPr>
        <w:t>Article 2 – Augmentation générale</w:t>
      </w:r>
    </w:p>
    <w:p>
      <w:pPr>
        <w:pStyle w:val="Projet"/>
        <w:ind w:hanging="0"/>
        <w:rPr>
          <w:rFonts w:ascii="Calibri" w:hAnsi="Calibri" w:cs="Arial"/>
          <w:bCs/>
          <w:iCs/>
          <w:color w:val="FF0000"/>
          <w:sz w:val="24"/>
          <w:szCs w:val="24"/>
        </w:rPr>
      </w:pPr>
      <w:r>
        <w:rPr>
          <w:rFonts w:cs="Arial" w:ascii="Calibri" w:hAnsi="Calibri"/>
          <w:bCs/>
          <w:iCs/>
          <w:sz w:val="24"/>
          <w:szCs w:val="24"/>
        </w:rPr>
        <w:t>Une augmentation générale de 2.8% est accordée à compter du 1</w:t>
      </w:r>
      <w:r>
        <w:rPr>
          <w:rFonts w:cs="Arial" w:ascii="Calibri" w:hAnsi="Calibri"/>
          <w:bCs/>
          <w:iCs/>
          <w:sz w:val="24"/>
          <w:szCs w:val="24"/>
          <w:vertAlign w:val="superscript"/>
        </w:rPr>
        <w:t>er</w:t>
      </w:r>
      <w:r>
        <w:rPr>
          <w:rFonts w:cs="Arial" w:ascii="Calibri" w:hAnsi="Calibri"/>
          <w:bCs/>
          <w:iCs/>
          <w:sz w:val="24"/>
          <w:szCs w:val="24"/>
        </w:rPr>
        <w:t xml:space="preserve"> janvier 2022, à l’exclusion des salariés embauchés après le 1</w:t>
      </w:r>
      <w:r>
        <w:rPr>
          <w:rFonts w:cs="Arial" w:ascii="Calibri" w:hAnsi="Calibri"/>
          <w:bCs/>
          <w:iCs/>
          <w:sz w:val="24"/>
          <w:szCs w:val="24"/>
          <w:vertAlign w:val="superscript"/>
        </w:rPr>
        <w:t>er</w:t>
      </w:r>
      <w:r>
        <w:rPr>
          <w:rFonts w:cs="Arial" w:ascii="Calibri" w:hAnsi="Calibri"/>
          <w:bCs/>
          <w:iCs/>
          <w:sz w:val="24"/>
          <w:szCs w:val="24"/>
        </w:rPr>
        <w:t xml:space="preserve"> janvier 2022 et des contrats en alternance. </w:t>
      </w:r>
      <w:r>
        <w:rPr>
          <w:rFonts w:cs="Arial" w:ascii="Calibri" w:hAnsi="Calibri"/>
          <w:bCs/>
          <w:iCs/>
          <w:color w:val="FF0000"/>
          <w:sz w:val="24"/>
          <w:szCs w:val="24"/>
        </w:rPr>
        <w:t xml:space="preserve"> </w:t>
      </w:r>
    </w:p>
    <w:p>
      <w:pPr>
        <w:pStyle w:val="Projet"/>
        <w:ind w:hanging="0"/>
        <w:rPr>
          <w:rFonts w:ascii="Calibri" w:hAnsi="Calibri" w:cs="Arial"/>
          <w:b/>
          <w:b/>
          <w:bCs/>
          <w:iCs/>
          <w:color w:val="FF0000"/>
          <w:sz w:val="24"/>
          <w:szCs w:val="24"/>
        </w:rPr>
      </w:pPr>
      <w:r>
        <w:rPr>
          <w:rFonts w:cs="Arial" w:ascii="Calibri" w:hAnsi="Calibri"/>
          <w:b/>
          <w:bCs/>
          <w:iCs/>
          <w:color w:val="FF0000"/>
          <w:sz w:val="24"/>
          <w:szCs w:val="24"/>
        </w:rPr>
      </w:r>
    </w:p>
    <w:p>
      <w:pPr>
        <w:pStyle w:val="Projet"/>
        <w:ind w:hanging="0"/>
        <w:rPr/>
      </w:pPr>
      <w:r>
        <w:rPr>
          <w:rFonts w:cs="Arial" w:ascii="Calibri" w:hAnsi="Calibri"/>
          <w:b/>
          <w:bCs/>
          <w:iCs/>
          <w:sz w:val="24"/>
          <w:szCs w:val="24"/>
        </w:rPr>
        <w:t xml:space="preserve">Article 3 – Revalorisation du taux de majoration des heures de nuit </w:t>
      </w:r>
    </w:p>
    <w:p>
      <w:pPr>
        <w:pStyle w:val="Projet"/>
        <w:ind w:hanging="0"/>
        <w:rPr>
          <w:rFonts w:ascii="Calibri" w:hAnsi="Calibri" w:cs="Arial"/>
          <w:b/>
          <w:b/>
          <w:bCs/>
          <w:iCs/>
          <w:sz w:val="24"/>
          <w:szCs w:val="24"/>
        </w:rPr>
      </w:pPr>
      <w:r>
        <w:rPr>
          <w:rFonts w:cs="Arial" w:ascii="Calibri" w:hAnsi="Calibri"/>
          <w:bCs/>
          <w:iCs/>
          <w:sz w:val="24"/>
          <w:szCs w:val="24"/>
        </w:rPr>
        <w:t>Le taux de majoration des heures de nuit appliqué aux établissements secondaires du Luc et d’Etain est revalorisé</w:t>
      </w:r>
      <w:r>
        <w:rPr>
          <w:rFonts w:cs="Arial" w:ascii="Calibri" w:hAnsi="Calibri"/>
          <w:b/>
          <w:bCs/>
          <w:iCs/>
          <w:sz w:val="24"/>
          <w:szCs w:val="24"/>
        </w:rPr>
        <w:t xml:space="preserve"> </w:t>
      </w:r>
      <w:r>
        <w:rPr>
          <w:rFonts w:cs="Arial" w:ascii="Calibri" w:hAnsi="Calibri"/>
          <w:bCs/>
          <w:iCs/>
          <w:sz w:val="24"/>
          <w:szCs w:val="24"/>
        </w:rPr>
        <w:t>à 75% à compter</w:t>
      </w:r>
      <w:r>
        <w:rPr>
          <w:rFonts w:cs="Arial" w:ascii="Calibri" w:hAnsi="Calibri"/>
          <w:b/>
          <w:bCs/>
          <w:iCs/>
          <w:sz w:val="24"/>
          <w:szCs w:val="24"/>
        </w:rPr>
        <w:t xml:space="preserve"> </w:t>
      </w:r>
      <w:r>
        <w:rPr>
          <w:rFonts w:cs="Arial" w:ascii="Calibri" w:hAnsi="Calibri"/>
          <w:bCs/>
          <w:iCs/>
          <w:sz w:val="24"/>
          <w:szCs w:val="24"/>
        </w:rPr>
        <w:t>des heures effectuées depuis le 1</w:t>
      </w:r>
      <w:r>
        <w:rPr>
          <w:rFonts w:cs="Arial" w:ascii="Calibri" w:hAnsi="Calibri"/>
          <w:bCs/>
          <w:iCs/>
          <w:sz w:val="24"/>
          <w:szCs w:val="24"/>
          <w:vertAlign w:val="superscript"/>
        </w:rPr>
        <w:t>er</w:t>
      </w:r>
      <w:r>
        <w:rPr>
          <w:rFonts w:cs="Arial" w:ascii="Calibri" w:hAnsi="Calibri"/>
          <w:bCs/>
          <w:iCs/>
          <w:sz w:val="24"/>
          <w:szCs w:val="24"/>
        </w:rPr>
        <w:t xml:space="preserve"> janvier 2022.</w:t>
      </w:r>
    </w:p>
    <w:p>
      <w:pPr>
        <w:pStyle w:val="Projet"/>
        <w:ind w:hanging="0"/>
        <w:rPr>
          <w:rFonts w:ascii="Calibri" w:hAnsi="Calibri" w:cs="Arial"/>
          <w:b/>
          <w:b/>
          <w:bCs/>
          <w:iCs/>
          <w:sz w:val="24"/>
          <w:szCs w:val="24"/>
        </w:rPr>
      </w:pPr>
      <w:r>
        <w:rPr>
          <w:rFonts w:cs="Arial" w:ascii="Calibri" w:hAnsi="Calibri"/>
          <w:b/>
          <w:bCs/>
          <w:iCs/>
          <w:sz w:val="24"/>
          <w:szCs w:val="24"/>
        </w:rPr>
      </w:r>
    </w:p>
    <w:p>
      <w:pPr>
        <w:pStyle w:val="Projet"/>
        <w:ind w:hanging="0"/>
        <w:rPr>
          <w:rFonts w:ascii="Calibri" w:hAnsi="Calibri" w:cs="Arial"/>
          <w:b/>
          <w:b/>
          <w:bCs/>
          <w:iCs/>
          <w:sz w:val="24"/>
          <w:szCs w:val="24"/>
        </w:rPr>
      </w:pPr>
      <w:r>
        <w:rPr>
          <w:rFonts w:cs="Arial" w:ascii="Calibri" w:hAnsi="Calibri"/>
          <w:b/>
          <w:bCs/>
          <w:iCs/>
          <w:sz w:val="24"/>
          <w:szCs w:val="24"/>
        </w:rPr>
        <w:t>Article 4 – Prime Macron</w:t>
      </w:r>
    </w:p>
    <w:p>
      <w:pPr>
        <w:pStyle w:val="Projet"/>
        <w:ind w:hanging="0"/>
        <w:rPr>
          <w:rFonts w:ascii="Calibri" w:hAnsi="Calibri" w:eastAsia="Arial Unicode MS" w:cs="Calibri"/>
          <w:bCs/>
          <w:sz w:val="24"/>
          <w:szCs w:val="24"/>
        </w:rPr>
      </w:pPr>
      <w:r>
        <w:rPr>
          <w:rFonts w:cs="Calibri" w:ascii="Calibri" w:hAnsi="Calibri"/>
          <w:sz w:val="24"/>
          <w:szCs w:val="24"/>
        </w:rPr>
        <w:t>Une prime exceptionnelle de pouvoir d’achat, dite prime Macron, d’un montant de 600</w:t>
      </w:r>
      <w:r>
        <w:rPr>
          <w:rFonts w:eastAsia="Arial Unicode MS" w:cs="Calibri" w:ascii="Calibri" w:hAnsi="Calibri"/>
          <w:bCs/>
          <w:sz w:val="24"/>
          <w:szCs w:val="24"/>
        </w:rPr>
        <w:t>€</w:t>
      </w:r>
      <w:r>
        <w:rPr>
          <w:rFonts w:eastAsia="Arial Unicode MS" w:cs="Calibri" w:ascii="Calibri" w:hAnsi="Calibri"/>
          <w:b/>
          <w:sz w:val="24"/>
          <w:szCs w:val="24"/>
        </w:rPr>
        <w:t xml:space="preserve"> </w:t>
      </w:r>
      <w:r>
        <w:rPr>
          <w:rFonts w:eastAsia="Arial Unicode MS" w:cs="Calibri" w:ascii="Calibri" w:hAnsi="Calibri"/>
          <w:bCs/>
          <w:sz w:val="24"/>
          <w:szCs w:val="24"/>
        </w:rPr>
        <w:t>sera versée à chaque salarié (CDD, CDI, contrat d’apprentissage) sur la paye du mois de février 2022 selon les modalités suivantes :</w:t>
      </w:r>
    </w:p>
    <w:p>
      <w:pPr>
        <w:pStyle w:val="Normal"/>
        <w:numPr>
          <w:ilvl w:val="0"/>
          <w:numId w:val="3"/>
        </w:numPr>
        <w:tabs>
          <w:tab w:val="left" w:pos="426" w:leader="none"/>
        </w:tabs>
        <w:jc w:val="both"/>
        <w:outlineLvl w:val="0"/>
        <w:rPr>
          <w:rFonts w:ascii="Calibri" w:hAnsi="Calibri" w:cs="Calibri"/>
          <w:lang w:eastAsia="zh-CN"/>
        </w:rPr>
      </w:pPr>
      <w:r>
        <w:rPr>
          <w:rFonts w:cs="Calibri" w:ascii="Calibri" w:hAnsi="Calibri"/>
          <w:lang w:eastAsia="zh-CN"/>
        </w:rPr>
        <w:t>Le versement interviendra sur la paie du mois de février 2022, pour tout salarié sous contrat de travail à la date de signature de l’accord, soit au 8 février 2022.</w:t>
      </w:r>
    </w:p>
    <w:p>
      <w:pPr>
        <w:pStyle w:val="Normal"/>
        <w:numPr>
          <w:ilvl w:val="0"/>
          <w:numId w:val="3"/>
        </w:numPr>
        <w:tabs>
          <w:tab w:val="left" w:pos="426" w:leader="none"/>
        </w:tabs>
        <w:jc w:val="both"/>
        <w:outlineLvl w:val="0"/>
        <w:rPr>
          <w:rFonts w:ascii="Calibri" w:hAnsi="Calibri" w:cs="Calibri"/>
          <w:lang w:eastAsia="zh-CN"/>
        </w:rPr>
      </w:pPr>
      <w:r>
        <w:rPr>
          <w:rFonts w:cs="Calibri" w:ascii="Calibri" w:hAnsi="Calibri"/>
          <w:lang w:eastAsia="zh-CN"/>
        </w:rPr>
        <w:t>Sont concernés les salariés a</w:t>
      </w:r>
      <w:r>
        <w:rPr>
          <w:rFonts w:cs="Calibri" w:ascii="Calibri" w:hAnsi="Calibri"/>
        </w:rPr>
        <w:t>yant perçu sur les douze derniers mois une rémunération inférieure à trois fois la valeur annuelle du salaire minimum.</w:t>
      </w:r>
    </w:p>
    <w:p>
      <w:pPr>
        <w:pStyle w:val="Normal"/>
        <w:numPr>
          <w:ilvl w:val="0"/>
          <w:numId w:val="3"/>
        </w:numPr>
        <w:tabs>
          <w:tab w:val="left" w:pos="426" w:leader="none"/>
        </w:tabs>
        <w:jc w:val="both"/>
        <w:outlineLvl w:val="0"/>
        <w:rPr>
          <w:rFonts w:ascii="Calibri" w:hAnsi="Calibri" w:cs="Calibri"/>
          <w:lang w:eastAsia="zh-CN"/>
        </w:rPr>
      </w:pPr>
      <w:r>
        <w:rPr>
          <w:rFonts w:cs="Calibri" w:ascii="Calibri" w:hAnsi="Calibri"/>
        </w:rPr>
        <w:t xml:space="preserve">Cette prime bénéficie </w:t>
      </w:r>
      <w:r>
        <w:rPr>
          <w:rFonts w:cs="Calibri" w:ascii="Calibri" w:hAnsi="Calibri"/>
          <w:color w:val="212529"/>
        </w:rPr>
        <w:t>d'une exonération d'impôt sur le revenu et de toute cotisation sociale.</w:t>
      </w:r>
    </w:p>
    <w:p>
      <w:pPr>
        <w:pStyle w:val="Normal"/>
        <w:spacing w:before="0" w:after="120"/>
        <w:jc w:val="both"/>
        <w:rPr>
          <w:rFonts w:ascii="Verdana" w:hAnsi="Verdana" w:cs="Verdana"/>
          <w:i/>
          <w:i/>
          <w:iCs/>
          <w:sz w:val="20"/>
          <w:szCs w:val="20"/>
          <w:lang w:eastAsia="zh-CN"/>
        </w:rPr>
      </w:pPr>
      <w:r>
        <w:rPr>
          <w:rFonts w:cs="Verdana" w:ascii="Verdana" w:hAnsi="Verdana"/>
          <w:i/>
          <w:iCs/>
          <w:sz w:val="20"/>
          <w:szCs w:val="20"/>
          <w:lang w:eastAsia="zh-CN"/>
        </w:rPr>
      </w:r>
    </w:p>
    <w:p>
      <w:pPr>
        <w:pStyle w:val="Normal"/>
        <w:spacing w:before="0" w:after="120"/>
        <w:jc w:val="both"/>
        <w:rPr/>
      </w:pPr>
      <w:r>
        <w:rPr>
          <w:rFonts w:cs="Arial" w:ascii="Calibri" w:hAnsi="Calibri"/>
          <w:b/>
          <w:bCs/>
          <w:iCs/>
        </w:rPr>
        <w:t>Article 5 – Remboursement des frais professionnels au forfait URSSAF</w:t>
      </w:r>
    </w:p>
    <w:p>
      <w:pPr>
        <w:pStyle w:val="Normal"/>
        <w:jc w:val="both"/>
        <w:rPr>
          <w:rFonts w:ascii="Calibri" w:hAnsi="Calibri" w:cs="Arial"/>
          <w:iCs/>
        </w:rPr>
      </w:pPr>
      <w:r>
        <w:rPr>
          <w:rFonts w:cs="Arial" w:ascii="Calibri" w:hAnsi="Calibri"/>
          <w:iCs/>
        </w:rPr>
        <w:t xml:space="preserve">Le remboursement des frais de repas lors des déplacements professionnels sera effectué sur la base du forfait URSSAF. </w:t>
      </w:r>
    </w:p>
    <w:p>
      <w:pPr>
        <w:pStyle w:val="Normal"/>
        <w:jc w:val="both"/>
        <w:rPr/>
      </w:pPr>
      <w:r>
        <w:rPr>
          <w:rFonts w:cs="Arial" w:ascii="Calibri" w:hAnsi="Calibri"/>
          <w:iCs/>
        </w:rPr>
        <w:t xml:space="preserve">Les repas du soir seront remboursés sur la base du forfait URSSAF avec un plafond de 25€ : </w:t>
      </w:r>
      <w:r>
        <w:rPr>
          <w:rFonts w:cs="Arial" w:ascii="Calibri" w:hAnsi="Calibri"/>
          <w:bCs/>
          <w:iCs/>
        </w:rPr>
        <w:t>Ainsi tout diner supérieur au barème URSSAF sera remboursé au réel jusqu’à concurrence de 25€, sur présentation obligatoire des justificatifs joints aux notes de frais</w:t>
      </w:r>
      <w:r>
        <w:rPr>
          <w:rFonts w:cs="Arial" w:ascii="Calibri" w:hAnsi="Calibri"/>
          <w:iCs/>
        </w:rPr>
        <w:t>.</w:t>
      </w:r>
    </w:p>
    <w:p>
      <w:pPr>
        <w:pStyle w:val="Normal"/>
        <w:jc w:val="both"/>
        <w:rPr>
          <w:rFonts w:ascii="Calibri" w:hAnsi="Calibri" w:cs="Arial"/>
          <w:iCs/>
        </w:rPr>
      </w:pPr>
      <w:r>
        <w:rPr>
          <w:rFonts w:cs="Arial" w:ascii="Calibri" w:hAnsi="Calibri"/>
          <w:iCs/>
        </w:rPr>
        <w:t xml:space="preserve">Ce système entrera en vigueur à la date de signature du présent accord, soit à compter du 8 février 2022. </w:t>
      </w:r>
    </w:p>
    <w:p>
      <w:pPr>
        <w:pStyle w:val="Normal"/>
        <w:jc w:val="both"/>
        <w:rPr>
          <w:rFonts w:ascii="Calibri" w:hAnsi="Calibri" w:cs="Arial"/>
          <w:b/>
          <w:b/>
          <w:bCs/>
          <w:iCs/>
        </w:rPr>
      </w:pPr>
      <w:r>
        <w:rPr>
          <w:rFonts w:cs="Arial" w:ascii="Calibri" w:hAnsi="Calibri"/>
          <w:b/>
          <w:bCs/>
          <w:iCs/>
        </w:rPr>
      </w:r>
    </w:p>
    <w:p>
      <w:pPr>
        <w:pStyle w:val="Projet"/>
        <w:ind w:hanging="0"/>
        <w:rPr>
          <w:rFonts w:ascii="Calibri" w:hAnsi="Calibri" w:cs="Arial"/>
          <w:b/>
          <w:b/>
          <w:bCs/>
          <w:iCs/>
          <w:sz w:val="24"/>
          <w:szCs w:val="24"/>
        </w:rPr>
      </w:pPr>
      <w:r>
        <w:rPr>
          <w:rFonts w:cs="Arial" w:ascii="Calibri" w:hAnsi="Calibri"/>
          <w:b/>
          <w:bCs/>
          <w:iCs/>
          <w:sz w:val="24"/>
          <w:szCs w:val="24"/>
        </w:rPr>
        <w:t>Article 6 – Contribution patronale aux activités sociales et culturelles du Comité Social et Economique (CSE)</w:t>
      </w:r>
    </w:p>
    <w:p>
      <w:pPr>
        <w:pStyle w:val="Projet"/>
        <w:ind w:hanging="0"/>
        <w:rPr>
          <w:rFonts w:ascii="Calibri" w:hAnsi="Calibri" w:cs="Arial"/>
          <w:bCs/>
          <w:iCs/>
          <w:sz w:val="24"/>
          <w:szCs w:val="24"/>
        </w:rPr>
      </w:pPr>
      <w:r>
        <w:rPr>
          <w:rFonts w:cs="Arial" w:ascii="Calibri" w:hAnsi="Calibri"/>
          <w:bCs/>
          <w:iCs/>
          <w:sz w:val="24"/>
          <w:szCs w:val="24"/>
        </w:rPr>
        <w:t>La contribution patronale aux activités sociales et culturelles du Comité Social et Economique est maintenue à 0.70% de la masse salariale pour l’année 2022.</w:t>
      </w:r>
    </w:p>
    <w:p>
      <w:pPr>
        <w:pStyle w:val="Projet"/>
        <w:ind w:hanging="0"/>
        <w:rPr>
          <w:rFonts w:ascii="Calibri" w:hAnsi="Calibri" w:cs="Arial"/>
          <w:bCs/>
          <w:iCs/>
          <w:sz w:val="24"/>
          <w:szCs w:val="24"/>
        </w:rPr>
      </w:pPr>
      <w:r>
        <w:rPr>
          <w:rFonts w:cs="Arial" w:ascii="Calibri" w:hAnsi="Calibri"/>
          <w:bCs/>
          <w:iCs/>
          <w:sz w:val="24"/>
          <w:szCs w:val="24"/>
        </w:rPr>
      </w:r>
    </w:p>
    <w:p>
      <w:pPr>
        <w:pStyle w:val="Projet"/>
        <w:ind w:hanging="0"/>
        <w:rPr>
          <w:rFonts w:ascii="Calibri" w:hAnsi="Calibri" w:cs="Arial"/>
          <w:b/>
          <w:b/>
          <w:bCs/>
          <w:iCs/>
          <w:sz w:val="24"/>
          <w:szCs w:val="24"/>
        </w:rPr>
      </w:pPr>
      <w:r>
        <w:rPr>
          <w:rFonts w:cs="Arial" w:ascii="Calibri" w:hAnsi="Calibri"/>
          <w:b/>
          <w:bCs/>
          <w:iCs/>
          <w:sz w:val="24"/>
          <w:szCs w:val="24"/>
        </w:rPr>
        <w:t>Article 7 – Mise en place d’une charte de télétravail</w:t>
      </w:r>
    </w:p>
    <w:p>
      <w:pPr>
        <w:pStyle w:val="Projet"/>
        <w:ind w:hanging="0"/>
        <w:rPr>
          <w:rFonts w:ascii="Calibri" w:hAnsi="Calibri" w:cs="Arial"/>
          <w:bCs/>
          <w:iCs/>
          <w:sz w:val="24"/>
          <w:szCs w:val="24"/>
        </w:rPr>
      </w:pPr>
      <w:r>
        <w:rPr>
          <w:rFonts w:cs="Arial" w:ascii="Calibri" w:hAnsi="Calibri"/>
          <w:bCs/>
          <w:iCs/>
          <w:sz w:val="24"/>
          <w:szCs w:val="24"/>
        </w:rPr>
        <w:t>Une charte de télétravail sera élaborée courant 1</w:t>
      </w:r>
      <w:r>
        <w:rPr>
          <w:rFonts w:cs="Arial" w:ascii="Calibri" w:hAnsi="Calibri"/>
          <w:bCs/>
          <w:iCs/>
          <w:sz w:val="24"/>
          <w:szCs w:val="24"/>
          <w:vertAlign w:val="superscript"/>
        </w:rPr>
        <w:t>er</w:t>
      </w:r>
      <w:r>
        <w:rPr>
          <w:rFonts w:cs="Arial" w:ascii="Calibri" w:hAnsi="Calibri"/>
          <w:bCs/>
          <w:iCs/>
          <w:sz w:val="24"/>
          <w:szCs w:val="24"/>
        </w:rPr>
        <w:t xml:space="preserve"> semestre 2022 afin d’encadrer cette pratique débutée lors de la pandémie COVID.</w:t>
      </w:r>
    </w:p>
    <w:p>
      <w:pPr>
        <w:pStyle w:val="Projet"/>
        <w:ind w:hanging="0"/>
        <w:rPr>
          <w:rFonts w:ascii="Calibri" w:hAnsi="Calibri" w:cs="Arial"/>
          <w:bCs/>
          <w:iCs/>
          <w:sz w:val="24"/>
          <w:szCs w:val="24"/>
        </w:rPr>
      </w:pPr>
      <w:r>
        <w:rPr>
          <w:rFonts w:cs="Arial" w:ascii="Calibri" w:hAnsi="Calibri"/>
          <w:bCs/>
          <w:iCs/>
          <w:sz w:val="24"/>
          <w:szCs w:val="24"/>
        </w:rPr>
      </w:r>
    </w:p>
    <w:p>
      <w:pPr>
        <w:pStyle w:val="Projet"/>
        <w:ind w:hanging="0"/>
        <w:rPr>
          <w:rFonts w:ascii="Calibri" w:hAnsi="Calibri" w:cs="Arial"/>
          <w:b/>
          <w:b/>
          <w:bCs/>
          <w:iCs/>
          <w:sz w:val="24"/>
          <w:szCs w:val="24"/>
        </w:rPr>
      </w:pPr>
      <w:r>
        <w:rPr>
          <w:rFonts w:cs="Arial" w:ascii="Calibri" w:hAnsi="Calibri"/>
          <w:b/>
          <w:bCs/>
          <w:iCs/>
          <w:sz w:val="24"/>
          <w:szCs w:val="24"/>
        </w:rPr>
        <w:t>Article 8 – Etude d’un système d’abondement sur PEE</w:t>
      </w:r>
    </w:p>
    <w:p>
      <w:pPr>
        <w:pStyle w:val="Projet"/>
        <w:ind w:hanging="0"/>
        <w:rPr>
          <w:rFonts w:ascii="Calibri" w:hAnsi="Calibri" w:cs="Arial"/>
          <w:bCs/>
          <w:iCs/>
          <w:sz w:val="24"/>
          <w:szCs w:val="24"/>
        </w:rPr>
      </w:pPr>
      <w:r>
        <w:rPr>
          <w:rFonts w:cs="Arial" w:ascii="Calibri" w:hAnsi="Calibri"/>
          <w:bCs/>
          <w:iCs/>
          <w:sz w:val="24"/>
          <w:szCs w:val="24"/>
        </w:rPr>
        <w:t xml:space="preserve">La Direction s’engage à négocier la mise en place d’un système d’abondement une fois l’accord de DCI validé. Ceci permettra d’engager les négociations au sein d’HELIDAX avec une référence mais de manière indépendante de l’accord de DCI. </w:t>
      </w:r>
    </w:p>
    <w:p>
      <w:pPr>
        <w:pStyle w:val="Projet"/>
        <w:ind w:hanging="0"/>
        <w:rPr>
          <w:rFonts w:ascii="Calibri" w:hAnsi="Calibri" w:cs="Arial"/>
          <w:b/>
          <w:b/>
          <w:bCs/>
          <w:iCs/>
          <w:sz w:val="24"/>
          <w:szCs w:val="24"/>
        </w:rPr>
      </w:pPr>
      <w:r>
        <w:rPr>
          <w:rFonts w:cs="Arial" w:ascii="Calibri" w:hAnsi="Calibri"/>
          <w:b/>
          <w:bCs/>
          <w:iCs/>
          <w:sz w:val="24"/>
          <w:szCs w:val="24"/>
        </w:rPr>
      </w:r>
    </w:p>
    <w:p>
      <w:pPr>
        <w:pStyle w:val="Projet"/>
        <w:ind w:hanging="0"/>
        <w:rPr>
          <w:rFonts w:ascii="Calibri" w:hAnsi="Calibri" w:cs="Arial"/>
          <w:b/>
          <w:b/>
          <w:bCs/>
          <w:iCs/>
          <w:sz w:val="24"/>
          <w:szCs w:val="24"/>
        </w:rPr>
      </w:pPr>
      <w:r>
        <w:rPr>
          <w:rFonts w:cs="Arial" w:ascii="Calibri" w:hAnsi="Calibri"/>
          <w:b/>
          <w:bCs/>
          <w:iCs/>
          <w:sz w:val="24"/>
          <w:szCs w:val="24"/>
        </w:rPr>
        <w:t>Article 9 – Octroi d’une journée « chômée payée »</w:t>
      </w:r>
    </w:p>
    <w:p>
      <w:pPr>
        <w:pStyle w:val="Projet"/>
        <w:ind w:hanging="0"/>
        <w:rPr>
          <w:rFonts w:ascii="Calibri" w:hAnsi="Calibri" w:cs="Arial"/>
          <w:bCs/>
          <w:iCs/>
          <w:sz w:val="24"/>
          <w:szCs w:val="24"/>
        </w:rPr>
      </w:pPr>
      <w:r>
        <w:rPr>
          <w:rFonts w:cs="Arial" w:ascii="Calibri" w:hAnsi="Calibri"/>
          <w:bCs/>
          <w:iCs/>
          <w:sz w:val="24"/>
          <w:szCs w:val="24"/>
        </w:rPr>
        <w:t>La Direction offre la journée de solidarité, le lundi de Pentecôte 6 juin 2022 à condition que les bases militaires ne sollicitent pas HELIDAX ce jour-là : cette journée de solidarité sera ainsi chômée et payée.</w:t>
      </w:r>
    </w:p>
    <w:p>
      <w:pPr>
        <w:pStyle w:val="Projet"/>
        <w:ind w:hanging="0"/>
        <w:rPr>
          <w:rFonts w:ascii="Calibri" w:hAnsi="Calibri" w:cs="Arial"/>
          <w:bCs/>
          <w:iCs/>
          <w:sz w:val="24"/>
          <w:szCs w:val="24"/>
        </w:rPr>
      </w:pPr>
      <w:r>
        <w:rPr>
          <w:rFonts w:cs="Arial" w:ascii="Calibri" w:hAnsi="Calibri"/>
          <w:bCs/>
          <w:iCs/>
          <w:sz w:val="24"/>
          <w:szCs w:val="24"/>
        </w:rPr>
        <w:t>Dans le cas contraire, la journée de solidarité sera travaillée.</w:t>
      </w:r>
    </w:p>
    <w:p>
      <w:pPr>
        <w:pStyle w:val="Projet"/>
        <w:ind w:hanging="0"/>
        <w:rPr>
          <w:rFonts w:ascii="Calibri" w:hAnsi="Calibri" w:cs="Arial"/>
          <w:bCs/>
          <w:iCs/>
          <w:sz w:val="24"/>
          <w:szCs w:val="24"/>
        </w:rPr>
      </w:pPr>
      <w:r>
        <w:rPr>
          <w:rFonts w:cs="Arial" w:ascii="Calibri" w:hAnsi="Calibri"/>
          <w:bCs/>
          <w:iCs/>
          <w:sz w:val="24"/>
          <w:szCs w:val="24"/>
        </w:rPr>
      </w:r>
    </w:p>
    <w:p>
      <w:pPr>
        <w:pStyle w:val="Projet"/>
        <w:ind w:hanging="0"/>
        <w:rPr/>
      </w:pPr>
      <w:r>
        <w:rPr>
          <w:rFonts w:cs="Arial" w:ascii="Calibri" w:hAnsi="Calibri"/>
          <w:b/>
          <w:bCs/>
          <w:iCs/>
          <w:sz w:val="24"/>
          <w:szCs w:val="24"/>
        </w:rPr>
        <w:t>Article 10 - Application de l’accord</w:t>
      </w:r>
    </w:p>
    <w:p>
      <w:pPr>
        <w:pStyle w:val="Projet"/>
        <w:ind w:hanging="0"/>
        <w:rPr>
          <w:rFonts w:ascii="Calibri" w:hAnsi="Calibri" w:cs="Arial"/>
          <w:bCs/>
          <w:iCs/>
          <w:sz w:val="24"/>
          <w:szCs w:val="24"/>
        </w:rPr>
      </w:pPr>
      <w:r>
        <w:rPr>
          <w:rFonts w:cs="Arial" w:ascii="Calibri" w:hAnsi="Calibri"/>
          <w:bCs/>
          <w:iCs/>
          <w:sz w:val="24"/>
          <w:szCs w:val="24"/>
        </w:rPr>
        <w:t>Le présent accord est conclu pour l’exercice 2022.</w:t>
      </w:r>
    </w:p>
    <w:p>
      <w:pPr>
        <w:pStyle w:val="Projet"/>
        <w:ind w:hanging="0"/>
        <w:jc w:val="left"/>
        <w:rPr>
          <w:rFonts w:ascii="Calibri" w:hAnsi="Calibri" w:cs="Arial"/>
          <w:b/>
          <w:b/>
          <w:bCs/>
          <w:iCs/>
          <w:sz w:val="24"/>
          <w:szCs w:val="24"/>
        </w:rPr>
      </w:pPr>
      <w:r>
        <w:rPr>
          <w:rFonts w:cs="Arial" w:ascii="Calibri" w:hAnsi="Calibri"/>
          <w:b/>
          <w:bCs/>
          <w:iCs/>
          <w:sz w:val="24"/>
          <w:szCs w:val="24"/>
        </w:rPr>
      </w:r>
    </w:p>
    <w:p>
      <w:pPr>
        <w:pStyle w:val="Projet"/>
        <w:ind w:hanging="0"/>
        <w:jc w:val="left"/>
        <w:rPr>
          <w:rFonts w:ascii="Calibri" w:hAnsi="Calibri" w:cs="Arial"/>
          <w:b/>
          <w:b/>
          <w:bCs/>
          <w:iCs/>
          <w:sz w:val="24"/>
          <w:szCs w:val="24"/>
        </w:rPr>
      </w:pPr>
      <w:r>
        <w:rPr>
          <w:rFonts w:cs="Arial" w:ascii="Calibri" w:hAnsi="Calibri"/>
          <w:b/>
          <w:bCs/>
          <w:iCs/>
          <w:sz w:val="24"/>
          <w:szCs w:val="24"/>
        </w:rPr>
        <w:t>Article 11 – Publicité de l’accord</w:t>
      </w:r>
    </w:p>
    <w:p>
      <w:pPr>
        <w:pStyle w:val="Projet"/>
        <w:ind w:hanging="0"/>
        <w:rPr>
          <w:rFonts w:ascii="Calibri" w:hAnsi="Calibri" w:cs="Arial"/>
          <w:bCs/>
          <w:iCs/>
          <w:sz w:val="24"/>
          <w:szCs w:val="24"/>
        </w:rPr>
      </w:pPr>
      <w:r>
        <w:rPr>
          <w:rFonts w:cs="Arial" w:ascii="Calibri" w:hAnsi="Calibri"/>
          <w:bCs/>
          <w:iCs/>
          <w:sz w:val="24"/>
          <w:szCs w:val="24"/>
        </w:rPr>
        <w:t>Le texte du présent accord, une fois signé, sera notifié à l’ensemble des organisations syndicales représentatives dans l’Entreprise et sera diffusé à l’ensemble des salariés par voie informatique.</w:t>
      </w:r>
    </w:p>
    <w:p>
      <w:pPr>
        <w:pStyle w:val="Projet"/>
        <w:ind w:hanging="0"/>
        <w:rPr>
          <w:rFonts w:ascii="Calibri" w:hAnsi="Calibri" w:cs="Arial"/>
          <w:bCs/>
          <w:iCs/>
          <w:sz w:val="24"/>
          <w:szCs w:val="24"/>
        </w:rPr>
      </w:pPr>
      <w:r>
        <w:rPr>
          <w:rFonts w:cs="Arial" w:ascii="Calibri" w:hAnsi="Calibri"/>
          <w:bCs/>
          <w:iCs/>
          <w:sz w:val="24"/>
          <w:szCs w:val="24"/>
        </w:rPr>
        <w:t>Conformément à la réglementation en vigueur, le présent accord sera déposé à l’initiative de la Direction de l’Entreprise auprès de la Direction Régionale des Entreprises, de la Concurrence, de la Consommation, du Travail et de l’Emploi (DIRECCTE), et en un exemplaire original communiqué par voie postale au Secrétariat du Conseil des Prud’hommes de Dax.</w:t>
      </w:r>
    </w:p>
    <w:p>
      <w:pPr>
        <w:pStyle w:val="Projet"/>
        <w:ind w:hanging="0"/>
        <w:rPr>
          <w:rFonts w:ascii="Calibri" w:hAnsi="Calibri" w:cs="Arial"/>
          <w:bCs/>
          <w:iCs/>
          <w:sz w:val="24"/>
          <w:szCs w:val="24"/>
        </w:rPr>
      </w:pPr>
      <w:r>
        <w:rPr>
          <w:rFonts w:cs="Arial" w:ascii="Calibri" w:hAnsi="Calibri"/>
          <w:bCs/>
          <w:iCs/>
          <w:sz w:val="24"/>
          <w:szCs w:val="24"/>
        </w:rPr>
      </w:r>
    </w:p>
    <w:p>
      <w:pPr>
        <w:pStyle w:val="Normal"/>
        <w:numPr>
          <w:ilvl w:val="0"/>
          <w:numId w:val="0"/>
        </w:numPr>
        <w:ind w:right="-1" w:hanging="0"/>
        <w:jc w:val="both"/>
        <w:outlineLvl w:val="1"/>
        <w:rPr/>
      </w:pPr>
      <w:r>
        <w:rPr>
          <w:rFonts w:cs="Arial" w:ascii="Calibri" w:hAnsi="Calibri"/>
        </w:rPr>
        <w:t>Il fera l’objet d’une publication en ligne dans une version anonyme conformément aux dispositions de l’article R 2231-1-1 du Code du travail.</w:t>
      </w:r>
    </w:p>
    <w:p>
      <w:pPr>
        <w:pStyle w:val="Normal"/>
        <w:numPr>
          <w:ilvl w:val="0"/>
          <w:numId w:val="0"/>
        </w:numPr>
        <w:ind w:right="-1" w:hanging="0"/>
        <w:jc w:val="both"/>
        <w:outlineLvl w:val="1"/>
        <w:rPr>
          <w:rFonts w:ascii="Calibri" w:hAnsi="Calibri" w:cs="Arial"/>
          <w:bCs/>
          <w:iCs/>
        </w:rPr>
      </w:pPr>
      <w:r>
        <w:rPr>
          <w:rFonts w:cs="Arial" w:ascii="Calibri" w:hAnsi="Calibri"/>
          <w:bCs/>
          <w:iCs/>
        </w:rPr>
      </w:r>
    </w:p>
    <w:p>
      <w:pPr>
        <w:pStyle w:val="Projet"/>
        <w:ind w:hanging="0"/>
        <w:rPr>
          <w:rFonts w:ascii="Calibri" w:hAnsi="Calibri" w:cs="Arial"/>
          <w:bCs/>
          <w:iCs/>
          <w:sz w:val="24"/>
          <w:szCs w:val="24"/>
        </w:rPr>
      </w:pPr>
      <w:r>
        <w:rPr>
          <w:rFonts w:cs="Arial" w:ascii="Calibri" w:hAnsi="Calibri"/>
          <w:bCs/>
          <w:iCs/>
          <w:sz w:val="24"/>
          <w:szCs w:val="24"/>
        </w:rPr>
        <w:t>Fait à Dax, le 8 février 2022</w:t>
      </w:r>
    </w:p>
    <w:p>
      <w:pPr>
        <w:pStyle w:val="Projet"/>
        <w:ind w:hanging="0"/>
        <w:rPr>
          <w:rFonts w:ascii="Calibri" w:hAnsi="Calibri" w:cs="Arial"/>
          <w:bCs/>
          <w:iCs/>
          <w:sz w:val="24"/>
          <w:szCs w:val="24"/>
        </w:rPr>
      </w:pPr>
      <w:r>
        <w:rPr>
          <w:rFonts w:cs="Arial" w:ascii="Calibri" w:hAnsi="Calibri"/>
          <w:bCs/>
          <w:iCs/>
          <w:sz w:val="24"/>
          <w:szCs w:val="24"/>
        </w:rPr>
      </w:r>
    </w:p>
    <w:p>
      <w:pPr>
        <w:pStyle w:val="Projet"/>
        <w:ind w:right="-851" w:hanging="0"/>
        <w:rPr/>
      </w:pPr>
      <w:r>
        <w:rPr>
          <w:rFonts w:cs="Arial" w:ascii="Calibri" w:hAnsi="Calibri"/>
          <w:bCs/>
          <w:iCs/>
          <w:sz w:val="24"/>
          <w:szCs w:val="24"/>
        </w:rPr>
        <w:t xml:space="preserve">Pour la société HELIDAX, </w:t>
        <w:tab/>
        <w:tab/>
        <w:tab/>
        <w:tab/>
        <w:t>Pour la CFDT M</w:t>
      </w:r>
      <w:r>
        <w:rPr/>
        <w:t>étallurgie Pays Basque et Landes</w:t>
      </w:r>
    </w:p>
    <w:tbl>
      <w:tblPr>
        <w:tblW w:w="21912" w:type="dxa"/>
        <w:jc w:val="left"/>
        <w:tblInd w:w="148" w:type="dxa"/>
        <w:tblBorders/>
        <w:tblCellMar>
          <w:top w:w="0" w:type="dxa"/>
          <w:left w:w="70" w:type="dxa"/>
          <w:bottom w:w="0" w:type="dxa"/>
          <w:right w:w="70" w:type="dxa"/>
        </w:tblCellMar>
      </w:tblPr>
      <w:tblGrid>
        <w:gridCol w:w="7304"/>
        <w:gridCol w:w="7304"/>
        <w:gridCol w:w="7304"/>
      </w:tblGrid>
      <w:tr>
        <w:trPr>
          <w:trHeight w:val="702" w:hRule="atLeast"/>
        </w:trPr>
        <w:tc>
          <w:tcPr>
            <w:tcW w:w="7304" w:type="dxa"/>
            <w:tcBorders/>
            <w:shd w:fill="auto" w:val="clear"/>
          </w:tcPr>
          <w:p>
            <w:pPr>
              <w:pStyle w:val="Normal"/>
              <w:ind w:left="-148" w:hanging="0"/>
              <w:jc w:val="both"/>
              <w:rPr>
                <w:rFonts w:ascii="Calibri" w:hAnsi="Calibri" w:cs="Arial"/>
                <w:b/>
                <w:b/>
              </w:rPr>
            </w:pPr>
            <w:r>
              <w:rPr>
                <w:rFonts w:cs="Arial" w:ascii="Calibri" w:hAnsi="Calibri"/>
                <w:bCs/>
                <w:iCs/>
              </w:rPr>
              <w:t>M</w:t>
              <w:tab/>
              <w:tab/>
              <w:tab/>
              <w:t xml:space="preserve">                                                  M. </w:t>
            </w:r>
          </w:p>
        </w:tc>
        <w:tc>
          <w:tcPr>
            <w:tcW w:w="7304" w:type="dxa"/>
            <w:tcBorders/>
            <w:shd w:fill="auto" w:val="clear"/>
          </w:tcPr>
          <w:p>
            <w:pPr>
              <w:pStyle w:val="Normal"/>
              <w:snapToGrid w:val="false"/>
              <w:rPr>
                <w:rFonts w:ascii="Calibri" w:hAnsi="Calibri" w:cs="Arial"/>
                <w:b/>
                <w:b/>
              </w:rPr>
            </w:pPr>
            <w:r>
              <w:rPr>
                <w:rFonts w:cs="Arial" w:ascii="Calibri" w:hAnsi="Calibri"/>
                <w:b/>
              </w:rPr>
            </w:r>
          </w:p>
        </w:tc>
        <w:tc>
          <w:tcPr>
            <w:tcW w:w="7304" w:type="dxa"/>
            <w:tcBorders/>
            <w:shd w:fill="auto" w:val="clear"/>
          </w:tcPr>
          <w:p>
            <w:pPr>
              <w:pStyle w:val="Normal"/>
              <w:snapToGrid w:val="false"/>
              <w:rPr>
                <w:rFonts w:ascii="Calibri" w:hAnsi="Calibri" w:cs="Arial"/>
                <w:b/>
                <w:b/>
              </w:rPr>
            </w:pPr>
            <w:r>
              <w:rPr>
                <w:rFonts w:cs="Arial" w:ascii="Calibri" w:hAnsi="Calibri"/>
                <w:b/>
              </w:rPr>
            </w:r>
          </w:p>
        </w:tc>
      </w:tr>
    </w:tbl>
    <w:p>
      <w:pPr>
        <w:pStyle w:val="Normal"/>
        <w:tabs>
          <w:tab w:val="left" w:pos="2220" w:leader="none"/>
        </w:tabs>
        <w:rPr/>
      </w:pPr>
      <w:r>
        <w:rPr/>
        <w:tab/>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Verdana">
    <w:charset w:val="00"/>
    <w:family w:val="swiss"/>
    <w:pitch w:val="variable"/>
  </w:font>
  <w:font w:name="Tahoma">
    <w:charset w:val="00"/>
    <w:family w:val="swiss"/>
    <w:pitch w:val="variable"/>
  </w:font>
  <w:font w:name="Bookman Old Style">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rStyle w:val="PageNumbe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sz w:val="20"/>
        <w:szCs w:val="20"/>
        <w:lang w:val="en-GB" w:eastAsia="en-GB"/>
      </w:rPr>
    </w:pPr>
    <w:r>
      <w:rPr>
        <w:rFonts w:cs="Arial" w:ascii="Arial" w:hAnsi="Arial"/>
        <w:sz w:val="20"/>
        <w:szCs w:val="20"/>
        <w:lang w:val="en-GB" w:eastAsia="en-GB"/>
      </w:rPr>
      <w:drawing>
        <wp:anchor behindDoc="1" distT="0" distB="0" distL="114935" distR="114935" simplePos="0" locked="0" layoutInCell="1" allowOverlap="1" relativeHeight="3">
          <wp:simplePos x="0" y="0"/>
          <wp:positionH relativeFrom="margin">
            <wp:posOffset>4887595</wp:posOffset>
          </wp:positionH>
          <wp:positionV relativeFrom="margin">
            <wp:posOffset>-730250</wp:posOffset>
          </wp:positionV>
          <wp:extent cx="1085850" cy="45720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rcRect l="-33" t="-78" r="-33" b="-78"/>
                  <a:stretch>
                    <a:fillRect/>
                  </a:stretch>
                </pic:blipFill>
                <pic:spPr bwMode="auto">
                  <a:xfrm>
                    <a:off x="0" y="0"/>
                    <a:ext cx="1085850" cy="457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709"/>
        </w:tabs>
        <w:ind w:left="720" w:hanging="360"/>
      </w:pPr>
      <w:rPr>
        <w:rFonts w:ascii="Symbol" w:hAnsi="Symbol" w:cs="Symbol" w:hint="default"/>
        <w:rFonts w:cs="Symbol"/>
      </w:rPr>
    </w:lvl>
  </w:abstractNum>
  <w:abstractNum w:abstractNumId="3">
    <w:lvl w:ilvl="0">
      <w:start w:val="2"/>
      <w:numFmt w:val="bullet"/>
      <w:lvlText w:val="-"/>
      <w:lvlJc w:val="left"/>
      <w:pPr>
        <w:ind w:left="720" w:hanging="360"/>
      </w:pPr>
      <w:rPr>
        <w:rFonts w:ascii="Calibri" w:hAnsi="Calibri" w:cs="Calibri" w:hint="default"/>
        <w:rFonts w:cs="Calibri"/>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Calibri" w:hAnsi="Calibri" w:eastAsia="Times New Roman" w:cs="Calibri"/>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b w:val="fals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Times New Roman" w:hAnsi="Times New Roman" w:eastAsia="Times New Roman" w:cs="Times New Roman"/>
      <w:b w:val="false"/>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Times New Roman" w:hAnsi="Times New Roman" w:eastAsia="Times New Roman" w:cs="Times New Roman"/>
      <w:b w:val="false"/>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style>
  <w:style w:type="character" w:styleId="WW8Num14z0">
    <w:name w:val="WW8Num14z0"/>
    <w:qFormat/>
    <w:rPr/>
  </w:style>
  <w:style w:type="character" w:styleId="WW8Num15z0">
    <w:name w:val="WW8Num15z0"/>
    <w:qFormat/>
    <w:rPr>
      <w:rFonts w:ascii="Times New Roman" w:hAnsi="Times New Roman" w:eastAsia="Times New Roman" w:cs="Times New Roman"/>
      <w:b w:val="false"/>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b w:val="false"/>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b w:val="false"/>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Arial" w:hAnsi="Arial" w:eastAsia="Times New Roman" w:cs="Aria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b w:val="false"/>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b w:val="false"/>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eastAsia="Times New Roman" w:cs="Times New Roman"/>
      <w:b w:val="false"/>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Arial" w:hAnsi="Arial"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rFonts w:ascii="Times New Roman" w:hAnsi="Times New Roman" w:eastAsia="Times New Roman" w:cs="Times New Roman"/>
      <w:b w:val="false"/>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Times New Roman" w:hAnsi="Times New Roman" w:eastAsia="Times New Roman" w:cs="Times New Roman"/>
      <w:b w:val="false"/>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eastAsia="Times New Roman" w:cs="Times New Roman"/>
      <w:b w:val="false"/>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Times New Roman" w:cs="Times New Roman"/>
      <w:b w:val="false"/>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3z0">
    <w:name w:val="WW8Num33z0"/>
    <w:qFormat/>
    <w:rPr>
      <w:rFonts w:ascii="Times New Roman" w:hAnsi="Times New Roman" w:eastAsia="Times New Roman" w:cs="Times New Roman"/>
      <w:b w:val="false"/>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Wingdings" w:hAnsi="Wingdings" w:cs="Wingdings"/>
    </w:rPr>
  </w:style>
  <w:style w:type="character" w:styleId="WW8Num35z1">
    <w:name w:val="WW8Num35z1"/>
    <w:qFormat/>
    <w:rPr>
      <w:rFonts w:ascii="Times New Roman" w:hAnsi="Times New Roman" w:eastAsia="Times New Roman" w:cs="Times New Roman"/>
      <w:b w:val="false"/>
    </w:rPr>
  </w:style>
  <w:style w:type="character" w:styleId="WW8Num35z3">
    <w:name w:val="WW8Num35z3"/>
    <w:qFormat/>
    <w:rPr>
      <w:rFonts w:ascii="Symbol" w:hAnsi="Symbol" w:cs="Symbol"/>
    </w:rPr>
  </w:style>
  <w:style w:type="character" w:styleId="WW8Num35z4">
    <w:name w:val="WW8Num35z4"/>
    <w:qFormat/>
    <w:rPr>
      <w:rFonts w:ascii="Courier New" w:hAnsi="Courier New" w:cs="Courier New"/>
    </w:rPr>
  </w:style>
  <w:style w:type="character" w:styleId="Policepardfaut">
    <w:name w:val="Police par défaut"/>
    <w:qFormat/>
    <w:rPr/>
  </w:style>
  <w:style w:type="character" w:styleId="PageNumber">
    <w:name w:val="Page Number"/>
    <w:basedOn w:val="Policepardfaut"/>
    <w:rPr/>
  </w:style>
  <w:style w:type="character" w:styleId="Spipsurligne1">
    <w:name w:val="spip_surligne1"/>
    <w:qFormat/>
    <w:rPr>
      <w:shd w:fill="FFFF66" w:val="clear"/>
    </w:rPr>
  </w:style>
  <w:style w:type="character" w:styleId="Error">
    <w:name w:val="error"/>
    <w:basedOn w:val="Policepardfaut"/>
    <w:qFormat/>
    <w:rPr/>
  </w:style>
  <w:style w:type="character" w:styleId="InternetLink">
    <w:name w:val="Internet Link"/>
    <w:rPr>
      <w:color w:val="0000FF"/>
      <w:u w:val="single"/>
    </w:rPr>
  </w:style>
  <w:style w:type="character" w:styleId="Spipsurligne">
    <w:name w:val="spip_surligne"/>
    <w:basedOn w:val="Policepardfaut"/>
    <w:qFormat/>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Retrait1">
    <w:name w:val="Retrait1"/>
    <w:basedOn w:val="Normal"/>
    <w:qFormat/>
    <w:pPr>
      <w:widowControl w:val="false"/>
      <w:ind w:left="567" w:hanging="0"/>
      <w:jc w:val="both"/>
    </w:pPr>
    <w:rPr>
      <w:rFonts w:ascii="Arial" w:hAnsi="Arial" w:cs="Arial"/>
      <w:color w:val="000000"/>
      <w:sz w:val="20"/>
      <w:szCs w:val="20"/>
    </w:rPr>
  </w:style>
  <w:style w:type="paragraph" w:styleId="NormalWeb">
    <w:name w:val="Normal (Web)"/>
    <w:basedOn w:val="Normal"/>
    <w:qFormat/>
    <w:pPr>
      <w:spacing w:before="280" w:after="280"/>
    </w:pPr>
    <w:rPr>
      <w:color w:val="000000"/>
    </w:rPr>
  </w:style>
  <w:style w:type="paragraph" w:styleId="Para">
    <w:name w:val="para"/>
    <w:basedOn w:val="Normal"/>
    <w:qFormat/>
    <w:pPr>
      <w:spacing w:before="280" w:after="280"/>
    </w:pPr>
    <w:rPr/>
  </w:style>
  <w:style w:type="paragraph" w:styleId="Retrait11">
    <w:name w:val="retrait1"/>
    <w:basedOn w:val="Normal"/>
    <w:qFormat/>
    <w:pPr>
      <w:ind w:left="340" w:right="113" w:hanging="0"/>
      <w:jc w:val="both"/>
    </w:pPr>
    <w:rPr>
      <w:rFonts w:ascii="Verdana" w:hAnsi="Verdana" w:cs="Verdana"/>
      <w:sz w:val="20"/>
      <w:szCs w:val="20"/>
    </w:rPr>
  </w:style>
  <w:style w:type="paragraph" w:styleId="Textedebulles">
    <w:name w:val="Texte de bulles"/>
    <w:basedOn w:val="Normal"/>
    <w:qFormat/>
    <w:pPr/>
    <w:rPr>
      <w:rFonts w:ascii="Tahoma" w:hAnsi="Tahoma" w:cs="Tahoma"/>
      <w:sz w:val="16"/>
      <w:szCs w:val="16"/>
    </w:rPr>
  </w:style>
  <w:style w:type="paragraph" w:styleId="Retrait2">
    <w:name w:val="retrait2"/>
    <w:basedOn w:val="Normal"/>
    <w:qFormat/>
    <w:pPr>
      <w:ind w:left="794" w:hanging="0"/>
      <w:jc w:val="both"/>
    </w:pPr>
    <w:rPr>
      <w:rFonts w:ascii="Verdana" w:hAnsi="Verdana" w:cs="Verdana"/>
      <w:sz w:val="20"/>
      <w:szCs w:val="20"/>
    </w:rPr>
  </w:style>
  <w:style w:type="paragraph" w:styleId="Default">
    <w:name w:val="Default"/>
    <w:qFormat/>
    <w:pPr>
      <w:widowControl/>
      <w:autoSpaceDE w:val="false"/>
    </w:pPr>
    <w:rPr>
      <w:rFonts w:ascii="Bookman Old Style" w:hAnsi="Bookman Old Style" w:eastAsia="Times New Roman" w:cs="Bookman Old Style"/>
      <w:color w:val="000000"/>
      <w:sz w:val="24"/>
      <w:szCs w:val="24"/>
      <w:lang w:val="fr-FR" w:bidi="ar-SA" w:eastAsia="zh-CN"/>
    </w:rPr>
  </w:style>
  <w:style w:type="paragraph" w:styleId="Corpsdetexte2">
    <w:name w:val="Corps de texte 2"/>
    <w:basedOn w:val="Normal"/>
    <w:qFormat/>
    <w:pPr>
      <w:jc w:val="both"/>
    </w:pPr>
    <w:rPr>
      <w:rFonts w:ascii="Georgia" w:hAnsi="Georgia" w:cs="Georgia"/>
    </w:rPr>
  </w:style>
  <w:style w:type="paragraph" w:styleId="Projet">
    <w:name w:val="projet"/>
    <w:basedOn w:val="Normal"/>
    <w:qFormat/>
    <w:pPr>
      <w:ind w:firstLine="851"/>
      <w:jc w:val="both"/>
    </w:pPr>
    <w:rPr>
      <w:sz w:val="26"/>
      <w:szCs w:val="20"/>
    </w:rPr>
  </w:style>
  <w:style w:type="paragraph" w:styleId="Contents1">
    <w:name w:val="TOC 1"/>
    <w:basedOn w:val="Normal"/>
    <w:next w:val="Normal"/>
    <w:pPr>
      <w:tabs>
        <w:tab w:val="left" w:pos="720" w:leader="none"/>
        <w:tab w:val="right" w:pos="9062" w:leader="dot"/>
      </w:tabs>
      <w:ind w:firstLine="540"/>
    </w:pPr>
    <w:rPr>
      <w:rFonts w:ascii="Arial" w:hAnsi="Arial" w:cs="Arial"/>
      <w:sz w:val="20"/>
      <w:szCs w:val="20"/>
      <w:lang w:val="en-GB" w:eastAsia="en-GB"/>
    </w:rPr>
  </w:style>
  <w:style w:type="paragraph" w:styleId="Contents2">
    <w:name w:val="TOC 2"/>
    <w:basedOn w:val="Normal"/>
    <w:next w:val="Normal"/>
    <w:pPr>
      <w:tabs>
        <w:tab w:val="left" w:pos="720" w:leader="none"/>
        <w:tab w:val="right" w:pos="9062" w:leader="dot"/>
      </w:tabs>
      <w:ind w:left="240" w:hanging="0"/>
    </w:pPr>
    <w:rPr/>
  </w:style>
  <w:style w:type="paragraph" w:styleId="Contents3">
    <w:name w:val="TOC 3"/>
    <w:basedOn w:val="Normal"/>
    <w:next w:val="Normal"/>
    <w:pPr>
      <w:tabs>
        <w:tab w:val="left" w:pos="1200" w:leader="none"/>
        <w:tab w:val="right" w:pos="9062" w:leader="dot"/>
      </w:tabs>
      <w:ind w:left="480" w:firstLine="60"/>
    </w:pPr>
    <w:rPr>
      <w:rFonts w:ascii="Arial" w:hAnsi="Arial" w:cs="Arial"/>
      <w:sz w:val="20"/>
      <w:szCs w:val="20"/>
      <w:lang w:val="en-GB" w:eastAsia="en-GB"/>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Paragraphedeliste">
    <w:name w:val="Paragraphe de liste"/>
    <w:basedOn w:val="Normal"/>
    <w:qFormat/>
    <w:pPr>
      <w:spacing w:before="0" w:after="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2022-02-21T14:41:00Z</dcterms:created>
  <dc:creator/>
  <dc:description/>
  <dc:language>en-GB</dc:language>
  <cp:lastModifiedBy/>
  <cp:lastPrinted>2022-02-15T16:13:00Z</cp:lastPrinted>
  <dcterms:modified xsi:type="dcterms:W3CDTF">2022-02-21T14:41:00Z</dcterms:modified>
  <cp:revision>2</cp:revision>
  <dc:subject/>
  <dc:title>B-</dc:title>
</cp:coreProperties>
</file>