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P="007E5F52" w:rsidR="00F02CF2" w:rsidRDefault="00F02CF2">
      <w:pPr>
        <w:pBdr>
          <w:top w:val="nil"/>
          <w:left w:val="nil"/>
          <w:bottom w:val="nil"/>
          <w:right w:val="nil"/>
          <w:between w:val="nil"/>
        </w:pBdr>
        <w:spacing w:line="240" w:lineRule="auto"/>
        <w:rPr>
          <w:b/>
          <w:color w:val="000000"/>
          <w:sz w:val="10"/>
          <w:szCs w:val="10"/>
        </w:rPr>
      </w:pPr>
    </w:p>
    <w:p w:rsidR="00F02CF2" w:rsidRDefault="007E5F52">
      <w:pPr>
        <w:pBdr>
          <w:top w:val="nil"/>
          <w:left w:val="nil"/>
          <w:bottom w:val="nil"/>
          <w:right w:val="nil"/>
          <w:between w:val="nil"/>
        </w:pBdr>
        <w:spacing w:line="240" w:lineRule="auto"/>
        <w:ind w:hanging="4" w:left="2"/>
        <w:jc w:val="center"/>
        <w:rPr>
          <w:b/>
          <w:color w:val="000000"/>
          <w:sz w:val="40"/>
          <w:szCs w:val="40"/>
        </w:rPr>
      </w:pPr>
      <w:r>
        <w:rPr>
          <w:b/>
          <w:color w:val="000000"/>
          <w:sz w:val="40"/>
          <w:szCs w:val="40"/>
        </w:rPr>
        <w:t>SURAVENIR ASSURANCES</w:t>
      </w:r>
    </w:p>
    <w:p w:rsidR="00F02CF2" w:rsidRDefault="00F02CF2">
      <w:pPr>
        <w:ind w:hanging="4" w:left="2"/>
        <w:jc w:val="center"/>
        <w:rPr>
          <w:sz w:val="40"/>
          <w:szCs w:val="40"/>
        </w:rPr>
      </w:pPr>
    </w:p>
    <w:p w:rsidR="00F02CF2" w:rsidRDefault="007E5F52">
      <w:pPr>
        <w:ind w:hanging="4" w:left="2"/>
        <w:jc w:val="center"/>
        <w:rPr>
          <w:sz w:val="40"/>
          <w:szCs w:val="40"/>
        </w:rPr>
      </w:pPr>
      <w:r>
        <w:rPr>
          <w:b/>
          <w:sz w:val="40"/>
          <w:szCs w:val="40"/>
        </w:rPr>
        <w:t>NÉGOCIATION ANNUELLE SUR LA RÉMUNÉRATION</w:t>
      </w:r>
    </w:p>
    <w:p w:rsidR="00F02CF2" w:rsidRDefault="00F02CF2">
      <w:pPr>
        <w:ind w:hanging="4" w:left="2"/>
        <w:rPr>
          <w:sz w:val="40"/>
          <w:szCs w:val="40"/>
        </w:rPr>
      </w:pPr>
    </w:p>
    <w:p w:rsidR="00F02CF2" w:rsidRDefault="00F02CF2">
      <w:pPr>
        <w:ind w:hanging="4" w:left="2"/>
        <w:rPr>
          <w:sz w:val="40"/>
          <w:szCs w:val="40"/>
        </w:rPr>
      </w:pPr>
    </w:p>
    <w:p w:rsidR="00F02CF2" w:rsidRDefault="00F02CF2">
      <w:pPr>
        <w:ind w:hanging="4" w:left="2"/>
        <w:rPr>
          <w:sz w:val="40"/>
          <w:szCs w:val="40"/>
        </w:rPr>
      </w:pPr>
    </w:p>
    <w:p w:rsidR="00F02CF2" w:rsidRDefault="007E5F52">
      <w:pPr>
        <w:ind w:hanging="2" w:left="0"/>
        <w:jc w:val="both"/>
      </w:pPr>
      <w:r>
        <w:t>Entre d’une part SURAVENIR ASSURANCES représentée par xxxx</w:t>
      </w:r>
      <w:r>
        <w:t>, Directeur Général</w:t>
      </w:r>
    </w:p>
    <w:p w:rsidR="00F02CF2" w:rsidRDefault="00F02CF2">
      <w:pPr>
        <w:ind w:hanging="2" w:left="0"/>
        <w:jc w:val="both"/>
      </w:pPr>
    </w:p>
    <w:p w:rsidR="00F02CF2" w:rsidRDefault="007E5F52">
      <w:pPr>
        <w:ind w:hanging="2" w:left="0"/>
        <w:jc w:val="both"/>
      </w:pPr>
      <w:r>
        <w:t>et d’autre part,</w:t>
      </w:r>
    </w:p>
    <w:p w:rsidR="00F02CF2" w:rsidRDefault="00F02CF2">
      <w:pPr>
        <w:ind w:hanging="2" w:left="0"/>
        <w:jc w:val="both"/>
        <w:rPr>
          <w:sz w:val="18"/>
          <w:szCs w:val="18"/>
        </w:rPr>
      </w:pPr>
    </w:p>
    <w:p w:rsidR="00F02CF2" w:rsidRDefault="007E5F52">
      <w:pPr>
        <w:ind w:hanging="2" w:left="0"/>
        <w:jc w:val="both"/>
      </w:pPr>
      <w:r>
        <w:t>La CFDT représentée par xxxx</w:t>
      </w:r>
    </w:p>
    <w:p w:rsidR="00F02CF2" w:rsidRDefault="00F02CF2">
      <w:pPr>
        <w:ind w:hanging="2" w:left="0"/>
        <w:jc w:val="both"/>
        <w:rPr>
          <w:sz w:val="18"/>
          <w:szCs w:val="18"/>
        </w:rPr>
      </w:pPr>
    </w:p>
    <w:p w:rsidR="00F02CF2" w:rsidRDefault="00F02CF2">
      <w:pPr>
        <w:ind w:hanging="2" w:left="0"/>
        <w:jc w:val="both"/>
      </w:pPr>
    </w:p>
    <w:p w:rsidR="00F02CF2" w:rsidRDefault="007E5F52">
      <w:pPr>
        <w:ind w:hanging="2" w:left="0"/>
        <w:jc w:val="both"/>
      </w:pPr>
      <w:r>
        <w:t>Il est convenu ce qui suit :</w:t>
      </w:r>
    </w:p>
    <w:p w:rsidR="00F02CF2" w:rsidRDefault="00F02CF2">
      <w:pPr>
        <w:ind w:hanging="2" w:left="0"/>
        <w:jc w:val="both"/>
      </w:pPr>
    </w:p>
    <w:p w:rsidR="00F02CF2" w:rsidRDefault="007E5F52">
      <w:pPr>
        <w:ind w:hanging="2" w:left="0"/>
        <w:jc w:val="both"/>
      </w:pPr>
      <w:r>
        <w:t>Conformément aux termes de l’article L.2242-1 et s. du Code du Travail, la négociation annuelle s’est engagée entre les partenaires sociaux. Les documents et informations prévus par la loi ont été remis par la Direction aux Délégués aux négociations lors d</w:t>
      </w:r>
      <w:r>
        <w:t>e la première réunion. A l’issue de la négociation, il a été décidé des mesures suivantes  :</w:t>
      </w:r>
    </w:p>
    <w:p w:rsidR="00F02CF2" w:rsidRDefault="00F02CF2">
      <w:pPr>
        <w:ind w:hanging="2" w:left="0"/>
        <w:jc w:val="both"/>
      </w:pPr>
    </w:p>
    <w:p w:rsidR="00F02CF2" w:rsidRDefault="007E5F52">
      <w:pPr>
        <w:keepNext/>
        <w:pBdr>
          <w:top w:val="nil"/>
          <w:left w:val="nil"/>
          <w:bottom w:val="nil"/>
          <w:right w:val="nil"/>
          <w:between w:val="nil"/>
        </w:pBdr>
        <w:spacing w:after="240" w:before="240" w:line="240" w:lineRule="auto"/>
        <w:ind w:hanging="3" w:left="1"/>
        <w:rPr>
          <w:rFonts w:ascii="Verdana" w:cs="Verdana" w:eastAsia="Verdana" w:hAnsi="Verdana"/>
          <w:b/>
          <w:color w:val="000000"/>
          <w:sz w:val="28"/>
          <w:szCs w:val="28"/>
        </w:rPr>
      </w:pPr>
      <w:r>
        <w:rPr>
          <w:rFonts w:ascii="Verdana" w:cs="Verdana" w:eastAsia="Verdana" w:hAnsi="Verdana"/>
          <w:b/>
          <w:color w:val="000000"/>
          <w:sz w:val="28"/>
          <w:szCs w:val="28"/>
        </w:rPr>
        <w:t xml:space="preserve">Article 1. AUGMENTATION </w:t>
      </w:r>
      <w:r>
        <w:rPr>
          <w:rFonts w:ascii="Verdana" w:cs="Verdana" w:eastAsia="Verdana" w:hAnsi="Verdana"/>
          <w:b/>
          <w:sz w:val="28"/>
          <w:szCs w:val="28"/>
        </w:rPr>
        <w:t>GÉNÉRALE</w:t>
      </w:r>
    </w:p>
    <w:p w:rsidR="00F02CF2" w:rsidRDefault="007E5F52">
      <w:pPr>
        <w:ind w:hanging="2" w:left="0"/>
        <w:jc w:val="both"/>
      </w:pPr>
      <w:r>
        <w:t>Les dispositions concernant les augmentations générales sont ainsi définies :</w:t>
      </w:r>
    </w:p>
    <w:p w:rsidR="00F02CF2" w:rsidRDefault="00F02CF2">
      <w:pPr>
        <w:ind w:hanging="2" w:left="0"/>
        <w:jc w:val="both"/>
      </w:pPr>
    </w:p>
    <w:p w:rsidP="007E5F52" w:rsidR="00F02CF2" w:rsidRDefault="007E5F52">
      <w:pPr>
        <w:numPr>
          <w:ilvl w:val="0"/>
          <w:numId w:val="4"/>
        </w:numPr>
        <w:shd w:color="auto" w:fill="FFFFFF" w:val="clear"/>
        <w:ind w:hanging="2" w:left="0"/>
      </w:pPr>
      <w:r>
        <w:t xml:space="preserve">Les salaires de base inférieurs à </w:t>
      </w:r>
      <w:r>
        <w:rPr>
          <w:b/>
        </w:rPr>
        <w:t>30 K€ brut annue</w:t>
      </w:r>
      <w:r>
        <w:rPr>
          <w:b/>
        </w:rPr>
        <w:t xml:space="preserve">l </w:t>
      </w:r>
      <w:r>
        <w:t>pour un équivalent temps plein</w:t>
      </w:r>
      <w:r>
        <w:rPr>
          <w:b/>
        </w:rPr>
        <w:t xml:space="preserve"> </w:t>
      </w:r>
      <w:r>
        <w:t xml:space="preserve">se verront appliquer une augmentation de </w:t>
      </w:r>
    </w:p>
    <w:p w:rsidP="007E5F52" w:rsidR="00F02CF2" w:rsidRDefault="007E5F52">
      <w:pPr>
        <w:shd w:color="auto" w:fill="FFFFFF" w:val="clear"/>
        <w:ind w:hanging="2" w:left="0"/>
      </w:pPr>
      <w:r>
        <w:rPr>
          <w:b/>
        </w:rPr>
        <w:t xml:space="preserve">=&gt; 500 € brut annuel </w:t>
      </w:r>
      <w:r>
        <w:t>pour un temps plein;</w:t>
      </w:r>
    </w:p>
    <w:p w:rsidP="007E5F52" w:rsidR="00F02CF2" w:rsidRDefault="007E5F52">
      <w:pPr>
        <w:numPr>
          <w:ilvl w:val="0"/>
          <w:numId w:val="2"/>
        </w:numPr>
        <w:shd w:color="auto" w:fill="FFFFFF" w:val="clear"/>
        <w:ind w:hanging="2" w:left="0"/>
      </w:pPr>
      <w:r>
        <w:t>L’augmentation générale s’applique sur le salaire de base annuel au 31 décembre 2021;</w:t>
      </w:r>
    </w:p>
    <w:p w:rsidP="007E5F52" w:rsidR="00F02CF2" w:rsidRDefault="007E5F52">
      <w:pPr>
        <w:numPr>
          <w:ilvl w:val="0"/>
          <w:numId w:val="2"/>
        </w:numPr>
        <w:ind w:hanging="2" w:left="0"/>
        <w:jc w:val="both"/>
      </w:pPr>
      <w:r>
        <w:t>L’augmentation générale s’applique au personnel trava</w:t>
      </w:r>
      <w:r>
        <w:t>illant dans l’entreprise du fait d’un CDI, CDD ou d’une mission d’intérim et présent à la date de signature de l’accord ;</w:t>
      </w:r>
    </w:p>
    <w:p w:rsidP="007E5F52" w:rsidR="00F02CF2" w:rsidRDefault="007E5F52">
      <w:pPr>
        <w:numPr>
          <w:ilvl w:val="0"/>
          <w:numId w:val="2"/>
        </w:numPr>
        <w:ind w:hanging="2" w:left="0"/>
        <w:jc w:val="both"/>
      </w:pPr>
      <w:r>
        <w:t>Les montants sont proratisés pour les temps partiels;</w:t>
      </w:r>
    </w:p>
    <w:p w:rsidP="007E5F52" w:rsidR="00F02CF2" w:rsidRDefault="007E5F52">
      <w:pPr>
        <w:numPr>
          <w:ilvl w:val="0"/>
          <w:numId w:val="2"/>
        </w:numPr>
        <w:ind w:hanging="2" w:left="0"/>
        <w:jc w:val="both"/>
      </w:pPr>
      <w:r>
        <w:t xml:space="preserve">L’augmentation sera applicable sur le </w:t>
      </w:r>
      <w:r>
        <w:rPr>
          <w:b/>
        </w:rPr>
        <w:t>salaire d’avril</w:t>
      </w:r>
      <w:r>
        <w:rPr>
          <w:b/>
          <w:color w:val="FF0000"/>
        </w:rPr>
        <w:t xml:space="preserve"> </w:t>
      </w:r>
      <w:r>
        <w:rPr>
          <w:b/>
        </w:rPr>
        <w:t>2022</w:t>
      </w:r>
      <w:r>
        <w:t xml:space="preserve">, avec </w:t>
      </w:r>
      <w:r>
        <w:rPr>
          <w:b/>
        </w:rPr>
        <w:t>effet rétroacti</w:t>
      </w:r>
      <w:r>
        <w:rPr>
          <w:b/>
        </w:rPr>
        <w:t>f au 1er janvier 2022.</w:t>
      </w:r>
    </w:p>
    <w:p w:rsidR="00F02CF2" w:rsidRDefault="00F02CF2">
      <w:pPr>
        <w:ind w:hanging="2" w:left="0"/>
        <w:jc w:val="both"/>
      </w:pPr>
    </w:p>
    <w:p w:rsidR="00F02CF2" w:rsidRDefault="007E5F52">
      <w:pPr>
        <w:keepNext/>
        <w:pBdr>
          <w:top w:val="nil"/>
          <w:left w:val="nil"/>
          <w:bottom w:val="nil"/>
          <w:right w:val="nil"/>
          <w:between w:val="nil"/>
        </w:pBdr>
        <w:spacing w:after="240" w:before="240" w:line="240" w:lineRule="auto"/>
        <w:ind w:hanging="3" w:left="1"/>
        <w:rPr>
          <w:rFonts w:ascii="Verdana" w:cs="Verdana" w:eastAsia="Verdana" w:hAnsi="Verdana"/>
          <w:b/>
          <w:sz w:val="28"/>
          <w:szCs w:val="28"/>
        </w:rPr>
      </w:pPr>
      <w:r>
        <w:rPr>
          <w:rFonts w:ascii="Verdana" w:cs="Verdana" w:eastAsia="Verdana" w:hAnsi="Verdana"/>
          <w:b/>
          <w:color w:val="000000"/>
          <w:sz w:val="28"/>
          <w:szCs w:val="28"/>
        </w:rPr>
        <w:t>Article 2. P</w:t>
      </w:r>
      <w:r>
        <w:rPr>
          <w:rFonts w:ascii="Verdana" w:cs="Verdana" w:eastAsia="Verdana" w:hAnsi="Verdana"/>
          <w:b/>
          <w:sz w:val="28"/>
          <w:szCs w:val="28"/>
        </w:rPr>
        <w:t>RIME EXCEPTIONNELLE DE POUVOIR D’ACHAT</w:t>
      </w:r>
    </w:p>
    <w:p w:rsidP="007E5F52" w:rsidR="00F02CF2" w:rsidRDefault="007E5F52">
      <w:pPr>
        <w:keepNext/>
        <w:pBdr>
          <w:top w:val="nil"/>
          <w:left w:val="nil"/>
          <w:bottom w:val="nil"/>
          <w:right w:val="nil"/>
          <w:between w:val="nil"/>
        </w:pBdr>
        <w:spacing w:after="240" w:before="240" w:line="240" w:lineRule="auto"/>
        <w:ind w:hanging="2" w:left="0"/>
      </w:pPr>
      <w:r>
        <w:t xml:space="preserve">Une prime exceptionnelle de pouvoir d’achat de </w:t>
      </w:r>
      <w:r>
        <w:rPr>
          <w:b/>
        </w:rPr>
        <w:t xml:space="preserve">1000 € brut </w:t>
      </w:r>
      <w:r>
        <w:t xml:space="preserve">sera versée à tous les collaborateurs présents au 31 Mars 2022 sur le bulletin de paie de Mars. Pour les </w:t>
      </w:r>
      <w:r>
        <w:lastRenderedPageBreak/>
        <w:t>collaborateurs dont le salaire n’excède pas trois fois la valeur annuelle du SMIC brut, cette prime sera exonérée d’impôt et de charges sociales.</w:t>
      </w:r>
    </w:p>
    <w:p w:rsidP="007E5F52" w:rsidR="00F02CF2" w:rsidRDefault="007E5F52">
      <w:pPr>
        <w:keepNext/>
        <w:pBdr>
          <w:top w:val="nil"/>
          <w:left w:val="nil"/>
          <w:bottom w:val="nil"/>
          <w:right w:val="nil"/>
          <w:between w:val="nil"/>
        </w:pBdr>
        <w:spacing w:after="240" w:before="240" w:line="240" w:lineRule="auto"/>
        <w:ind w:hanging="2" w:left="0"/>
      </w:pPr>
      <w:r>
        <w:t>Le mo</w:t>
      </w:r>
      <w:r>
        <w:t>ntant de la prime varie en fonction du temps de travail effectif au cours des 12 mois précédant la date de versement de la prime, sachant que sont assimilées à du temps de travail au sein de SURAVENIR ASSURANCES :</w:t>
      </w:r>
    </w:p>
    <w:p w:rsidP="007E5F52" w:rsidR="00F02CF2" w:rsidRDefault="007E5F52">
      <w:pPr>
        <w:keepNext/>
        <w:numPr>
          <w:ilvl w:val="0"/>
          <w:numId w:val="3"/>
        </w:numPr>
        <w:pBdr>
          <w:top w:val="nil"/>
          <w:left w:val="nil"/>
          <w:bottom w:val="nil"/>
          <w:right w:val="nil"/>
          <w:between w:val="nil"/>
        </w:pBdr>
        <w:spacing w:before="240" w:line="240" w:lineRule="auto"/>
        <w:ind w:hanging="2" w:left="0"/>
      </w:pPr>
      <w:r>
        <w:t>Les périodes considérées comme telles dans</w:t>
      </w:r>
      <w:r>
        <w:t xml:space="preserve"> l’accord d’intéressement</w:t>
      </w:r>
    </w:p>
    <w:p w:rsidP="007E5F52" w:rsidR="00F02CF2" w:rsidRDefault="007E5F52">
      <w:pPr>
        <w:keepNext/>
        <w:numPr>
          <w:ilvl w:val="0"/>
          <w:numId w:val="3"/>
        </w:numPr>
        <w:pBdr>
          <w:top w:val="nil"/>
          <w:left w:val="nil"/>
          <w:bottom w:val="nil"/>
          <w:right w:val="nil"/>
          <w:between w:val="nil"/>
        </w:pBdr>
        <w:spacing w:line="240" w:lineRule="auto"/>
        <w:ind w:hanging="2" w:left="0"/>
      </w:pPr>
      <w:r>
        <w:t>Les congés d’éducation parentale, pour maladie d’un enfant et de présence parentale</w:t>
      </w:r>
    </w:p>
    <w:p w:rsidP="007E5F52" w:rsidR="00F02CF2" w:rsidRDefault="007E5F52">
      <w:pPr>
        <w:keepNext/>
        <w:numPr>
          <w:ilvl w:val="0"/>
          <w:numId w:val="3"/>
        </w:numPr>
        <w:pBdr>
          <w:top w:val="nil"/>
          <w:left w:val="nil"/>
          <w:bottom w:val="nil"/>
          <w:right w:val="nil"/>
          <w:between w:val="nil"/>
        </w:pBdr>
        <w:spacing w:after="240" w:line="240" w:lineRule="auto"/>
        <w:ind w:hanging="2" w:left="0"/>
      </w:pPr>
      <w:r>
        <w:t>Les périodes de temps de travail effectuées au sein d’une autre société du groupe ARKEA en cas de reprise d’ancienneté groupe au contrat de travail.</w:t>
      </w:r>
    </w:p>
    <w:p w:rsidP="007E5F52" w:rsidR="00F02CF2" w:rsidRDefault="007E5F52">
      <w:pPr>
        <w:keepNext/>
        <w:pBdr>
          <w:top w:val="nil"/>
          <w:left w:val="nil"/>
          <w:bottom w:val="nil"/>
          <w:right w:val="nil"/>
          <w:between w:val="nil"/>
        </w:pBdr>
        <w:spacing w:after="240" w:before="240" w:line="240" w:lineRule="auto"/>
        <w:ind w:hanging="2" w:left="0"/>
      </w:pPr>
      <w:r>
        <w:t>La présente prime ne se substitue à aucun élément de rémunération et à aucune prime prévue conventionnellem</w:t>
      </w:r>
      <w:r>
        <w:t>ent ou par usage dans l’entreprise.</w:t>
      </w:r>
    </w:p>
    <w:p w:rsidP="007E5F52" w:rsidR="00F02CF2" w:rsidRDefault="00F02CF2">
      <w:pPr>
        <w:keepNext/>
        <w:pBdr>
          <w:top w:val="nil"/>
          <w:left w:val="nil"/>
          <w:bottom w:val="nil"/>
          <w:right w:val="nil"/>
          <w:between w:val="nil"/>
        </w:pBdr>
        <w:spacing w:after="240" w:before="240" w:line="240" w:lineRule="auto"/>
        <w:ind w:hanging="2" w:left="0"/>
        <w:rPr>
          <w:sz w:val="18"/>
          <w:szCs w:val="18"/>
        </w:rPr>
      </w:pPr>
    </w:p>
    <w:p w:rsidR="00F02CF2" w:rsidRDefault="007E5F52">
      <w:pPr>
        <w:keepNext/>
        <w:pBdr>
          <w:top w:val="nil"/>
          <w:left w:val="nil"/>
          <w:bottom w:val="nil"/>
          <w:right w:val="nil"/>
          <w:between w:val="nil"/>
        </w:pBdr>
        <w:spacing w:after="240" w:before="240" w:line="240" w:lineRule="auto"/>
        <w:ind w:hanging="3" w:left="1"/>
        <w:rPr>
          <w:rFonts w:ascii="Verdana" w:cs="Verdana" w:eastAsia="Verdana" w:hAnsi="Verdana"/>
          <w:b/>
          <w:color w:val="000000"/>
          <w:sz w:val="28"/>
          <w:szCs w:val="28"/>
        </w:rPr>
      </w:pPr>
      <w:r>
        <w:rPr>
          <w:rFonts w:ascii="Verdana" w:cs="Verdana" w:eastAsia="Verdana" w:hAnsi="Verdana"/>
          <w:b/>
          <w:sz w:val="28"/>
          <w:szCs w:val="28"/>
        </w:rPr>
        <w:t xml:space="preserve">Article 3. </w:t>
      </w:r>
      <w:r>
        <w:rPr>
          <w:rFonts w:ascii="Verdana" w:cs="Verdana" w:eastAsia="Verdana" w:hAnsi="Verdana"/>
          <w:b/>
          <w:color w:val="000000"/>
          <w:sz w:val="28"/>
          <w:szCs w:val="28"/>
        </w:rPr>
        <w:t xml:space="preserve">ENVELOPPE </w:t>
      </w:r>
      <w:r>
        <w:rPr>
          <w:rFonts w:ascii="Verdana" w:cs="Verdana" w:eastAsia="Verdana" w:hAnsi="Verdana"/>
          <w:b/>
          <w:sz w:val="28"/>
          <w:szCs w:val="28"/>
        </w:rPr>
        <w:t>EGALITÉ</w:t>
      </w:r>
      <w:r>
        <w:rPr>
          <w:rFonts w:ascii="Verdana" w:cs="Verdana" w:eastAsia="Verdana" w:hAnsi="Verdana"/>
          <w:b/>
          <w:color w:val="000000"/>
          <w:sz w:val="28"/>
          <w:szCs w:val="28"/>
        </w:rPr>
        <w:t xml:space="preserve"> PROFESSIONNELLE</w:t>
      </w:r>
    </w:p>
    <w:p w:rsidR="00F02CF2" w:rsidRDefault="007E5F52">
      <w:pPr>
        <w:ind w:hanging="2" w:left="0"/>
        <w:jc w:val="both"/>
      </w:pPr>
      <w:r>
        <w:t xml:space="preserve">Une enveloppe supplémentaire de </w:t>
      </w:r>
      <w:r>
        <w:rPr>
          <w:b/>
        </w:rPr>
        <w:t>10 000 €</w:t>
      </w:r>
      <w:r>
        <w:t xml:space="preserve"> est réservée à la correction de certains écarts de rémunération entre les hommes et les femmes.</w:t>
      </w:r>
    </w:p>
    <w:p w:rsidR="00F02CF2" w:rsidRDefault="00F02CF2">
      <w:pPr>
        <w:ind w:hanging="2" w:left="0"/>
        <w:jc w:val="both"/>
        <w:rPr>
          <w:sz w:val="18"/>
          <w:szCs w:val="18"/>
        </w:rPr>
      </w:pPr>
    </w:p>
    <w:p w:rsidR="00F02CF2" w:rsidRDefault="00F02CF2">
      <w:pPr>
        <w:ind w:hanging="2" w:left="0"/>
        <w:jc w:val="both"/>
        <w:rPr>
          <w:sz w:val="18"/>
          <w:szCs w:val="18"/>
        </w:rPr>
      </w:pPr>
    </w:p>
    <w:p w:rsidR="00F02CF2" w:rsidRDefault="007E5F52">
      <w:pPr>
        <w:keepNext/>
        <w:spacing w:after="240" w:before="240"/>
        <w:ind w:hanging="3" w:left="1"/>
        <w:rPr>
          <w:rFonts w:ascii="Verdana" w:cs="Verdana" w:eastAsia="Verdana" w:hAnsi="Verdana"/>
          <w:b/>
          <w:sz w:val="28"/>
          <w:szCs w:val="28"/>
        </w:rPr>
      </w:pPr>
      <w:r>
        <w:rPr>
          <w:rFonts w:ascii="Verdana" w:cs="Verdana" w:eastAsia="Verdana" w:hAnsi="Verdana"/>
          <w:b/>
          <w:sz w:val="28"/>
          <w:szCs w:val="28"/>
        </w:rPr>
        <w:t>Article 4. PRIME MOBILITE DURABLE</w:t>
      </w:r>
    </w:p>
    <w:p w:rsidR="00F02CF2" w:rsidRDefault="007E5F52">
      <w:pPr>
        <w:ind w:hanging="2" w:left="0"/>
        <w:jc w:val="both"/>
      </w:pPr>
      <w:r>
        <w:t xml:space="preserve">Le montant de la prime mobilité durable visant à inciter les salariés à l’utilisation de modalités de déplacement améliorant le bilan carbone de l’entreprise (vélos, transports en commun, co-voiturage est réévalué à partir du </w:t>
      </w:r>
      <w:r>
        <w:rPr>
          <w:b/>
        </w:rPr>
        <w:t>1er avril 2022</w:t>
      </w:r>
      <w:r>
        <w:t xml:space="preserve">. </w:t>
      </w:r>
    </w:p>
    <w:p w:rsidR="00F02CF2" w:rsidRDefault="00F02CF2">
      <w:pPr>
        <w:ind w:hanging="2" w:left="0"/>
        <w:jc w:val="both"/>
      </w:pPr>
    </w:p>
    <w:p w:rsidR="00F02CF2" w:rsidRDefault="007E5F52">
      <w:pPr>
        <w:ind w:hanging="2" w:left="0"/>
        <w:jc w:val="both"/>
      </w:pPr>
      <w:r>
        <w:t>Le montant m</w:t>
      </w:r>
      <w:r>
        <w:t xml:space="preserve">aximum annuel passe à  </w:t>
      </w:r>
      <w:r>
        <w:rPr>
          <w:b/>
        </w:rPr>
        <w:t>600 € brut</w:t>
      </w:r>
      <w:r>
        <w:t xml:space="preserve"> </w:t>
      </w:r>
      <w:r>
        <w:rPr>
          <w:b/>
        </w:rPr>
        <w:t>défiscalisé</w:t>
      </w:r>
      <w:r>
        <w:t>.</w:t>
      </w:r>
    </w:p>
    <w:p w:rsidR="00F02CF2" w:rsidRDefault="00F02CF2">
      <w:pPr>
        <w:ind w:hanging="2" w:left="0"/>
        <w:jc w:val="both"/>
        <w:rPr>
          <w:sz w:val="18"/>
          <w:szCs w:val="18"/>
        </w:rPr>
      </w:pPr>
    </w:p>
    <w:p w:rsidR="00F02CF2" w:rsidRDefault="00F02CF2">
      <w:pPr>
        <w:ind w:hanging="2" w:left="0"/>
        <w:jc w:val="both"/>
        <w:rPr>
          <w:sz w:val="18"/>
          <w:szCs w:val="18"/>
        </w:rPr>
      </w:pPr>
    </w:p>
    <w:p w:rsidP="007E5F52" w:rsidR="00F02CF2" w:rsidRDefault="007E5F52">
      <w:pPr>
        <w:keepNext/>
        <w:spacing w:after="240" w:before="240"/>
        <w:ind w:hanging="3" w:left="1"/>
        <w:rPr>
          <w:rFonts w:ascii="Verdana" w:cs="Verdana" w:eastAsia="Verdana" w:hAnsi="Verdana"/>
          <w:b/>
          <w:sz w:val="28"/>
          <w:szCs w:val="28"/>
        </w:rPr>
      </w:pPr>
      <w:r>
        <w:rPr>
          <w:rFonts w:ascii="Verdana" w:cs="Verdana" w:eastAsia="Verdana" w:hAnsi="Verdana"/>
          <w:b/>
          <w:sz w:val="28"/>
          <w:szCs w:val="28"/>
        </w:rPr>
        <w:t>Article 5. AUGMENTATION DE LA VALEUR DU TICKET RESTAURANT</w:t>
      </w:r>
    </w:p>
    <w:p w:rsidP="007E5F52" w:rsidR="00F02CF2" w:rsidRDefault="007E5F52">
      <w:pPr>
        <w:keepNext/>
        <w:spacing w:after="240" w:before="240"/>
        <w:ind w:hanging="2" w:left="0"/>
      </w:pPr>
      <w:r>
        <w:t xml:space="preserve">A compter du 1er avril 2022, la valeur du ticket restaurant est portée à </w:t>
      </w:r>
      <w:r>
        <w:rPr>
          <w:b/>
        </w:rPr>
        <w:t>9 €</w:t>
      </w:r>
      <w:r>
        <w:t xml:space="preserve"> avec 60 % de participation de l’employeur, soit 5,4 €.</w:t>
      </w:r>
    </w:p>
    <w:p w:rsidP="007E5F52" w:rsidR="00F02CF2" w:rsidRDefault="00F02CF2">
      <w:pPr>
        <w:keepNext/>
        <w:spacing w:after="240" w:before="240"/>
        <w:ind w:hanging="2" w:left="0"/>
        <w:rPr>
          <w:sz w:val="18"/>
          <w:szCs w:val="18"/>
        </w:rPr>
      </w:pPr>
    </w:p>
    <w:p w:rsidR="00F02CF2" w:rsidRDefault="007E5F52">
      <w:pPr>
        <w:keepNext/>
        <w:spacing w:after="240" w:before="240"/>
        <w:ind w:hanging="3" w:left="1"/>
        <w:rPr>
          <w:rFonts w:ascii="Verdana" w:cs="Verdana" w:eastAsia="Verdana" w:hAnsi="Verdana"/>
          <w:b/>
          <w:sz w:val="28"/>
          <w:szCs w:val="28"/>
        </w:rPr>
      </w:pPr>
      <w:r>
        <w:rPr>
          <w:rFonts w:ascii="Verdana" w:cs="Verdana" w:eastAsia="Verdana" w:hAnsi="Verdana"/>
          <w:b/>
          <w:sz w:val="28"/>
          <w:szCs w:val="28"/>
        </w:rPr>
        <w:t>Article 6. ABOND</w:t>
      </w:r>
      <w:r>
        <w:rPr>
          <w:rFonts w:ascii="Verdana" w:cs="Verdana" w:eastAsia="Verdana" w:hAnsi="Verdana"/>
          <w:b/>
          <w:sz w:val="28"/>
          <w:szCs w:val="28"/>
        </w:rPr>
        <w:t>EMENT PEE AU TITRE DE LA PARTICIPATION</w:t>
      </w:r>
    </w:p>
    <w:p w:rsidR="00F02CF2" w:rsidRDefault="007E5F52">
      <w:pPr>
        <w:ind w:hanging="2" w:left="0"/>
        <w:jc w:val="both"/>
      </w:pPr>
      <w:r>
        <w:t>Un abondement au PEE sera effectué selon les conditions suivantes :</w:t>
      </w:r>
    </w:p>
    <w:p w:rsidR="00F02CF2" w:rsidRDefault="00F02CF2">
      <w:pPr>
        <w:ind w:hanging="2" w:left="0"/>
        <w:jc w:val="both"/>
      </w:pPr>
    </w:p>
    <w:p w:rsidP="007E5F52" w:rsidR="00F02CF2" w:rsidRDefault="007E5F52">
      <w:pPr>
        <w:numPr>
          <w:ilvl w:val="0"/>
          <w:numId w:val="1"/>
        </w:numPr>
        <w:ind w:hanging="2" w:left="0"/>
        <w:jc w:val="both"/>
      </w:pPr>
      <w:r>
        <w:t xml:space="preserve">Pour un versement minimum de </w:t>
      </w:r>
      <w:r>
        <w:rPr>
          <w:b/>
        </w:rPr>
        <w:t>50 % de la participation</w:t>
      </w:r>
      <w:r>
        <w:t xml:space="preserve"> sur le PEE, le montant de l’abondement sera égal à </w:t>
      </w:r>
      <w:r>
        <w:rPr>
          <w:b/>
        </w:rPr>
        <w:t>450 €</w:t>
      </w:r>
      <w:r>
        <w:t>.</w:t>
      </w:r>
    </w:p>
    <w:p w:rsidP="007E5F52" w:rsidR="00F02CF2" w:rsidRDefault="007E5F52">
      <w:pPr>
        <w:numPr>
          <w:ilvl w:val="0"/>
          <w:numId w:val="1"/>
        </w:numPr>
        <w:ind w:hanging="2" w:left="0"/>
        <w:jc w:val="both"/>
      </w:pPr>
      <w:r>
        <w:lastRenderedPageBreak/>
        <w:t xml:space="preserve">Pour un versement de </w:t>
      </w:r>
      <w:r>
        <w:rPr>
          <w:b/>
        </w:rPr>
        <w:t>100 % de la participation</w:t>
      </w:r>
      <w:r>
        <w:t xml:space="preserve"> sur le PEE, le montant de l’abondement sera égal à </w:t>
      </w:r>
      <w:r>
        <w:rPr>
          <w:b/>
        </w:rPr>
        <w:t>600 €.</w:t>
      </w:r>
    </w:p>
    <w:p w:rsidP="007E5F52" w:rsidR="00F02CF2" w:rsidRDefault="00F02CF2">
      <w:pPr>
        <w:ind w:hanging="2" w:left="0"/>
        <w:jc w:val="both"/>
        <w:rPr>
          <w:b/>
        </w:rPr>
      </w:pPr>
    </w:p>
    <w:p w:rsidP="007E5F52" w:rsidR="00F02CF2" w:rsidRDefault="007E5F52">
      <w:pPr>
        <w:ind w:hanging="2" w:left="0"/>
        <w:jc w:val="both"/>
      </w:pPr>
      <w:r>
        <w:t>L’abondement sera versé sur le fonds FEE Transition trésorerie  au plus tard fin Mai 2022.</w:t>
      </w:r>
    </w:p>
    <w:p w:rsidP="007E5F52" w:rsidR="00F02CF2" w:rsidRDefault="00F02CF2">
      <w:pPr>
        <w:ind w:hanging="2" w:left="0"/>
        <w:jc w:val="both"/>
        <w:rPr>
          <w:b/>
        </w:rPr>
      </w:pPr>
    </w:p>
    <w:p w:rsidP="007E5F52" w:rsidR="00F02CF2" w:rsidRDefault="00F02CF2">
      <w:pPr>
        <w:ind w:hanging="2" w:left="0"/>
        <w:jc w:val="both"/>
      </w:pPr>
    </w:p>
    <w:p w:rsidR="00F02CF2" w:rsidRDefault="007E5F52">
      <w:pPr>
        <w:ind w:hanging="3" w:left="1"/>
        <w:jc w:val="both"/>
        <w:rPr>
          <w:rFonts w:ascii="Verdana" w:cs="Verdana" w:eastAsia="Verdana" w:hAnsi="Verdana"/>
          <w:sz w:val="28"/>
          <w:szCs w:val="28"/>
        </w:rPr>
      </w:pPr>
      <w:r>
        <w:rPr>
          <w:rFonts w:ascii="Verdana" w:cs="Verdana" w:eastAsia="Verdana" w:hAnsi="Verdana"/>
          <w:b/>
          <w:sz w:val="28"/>
          <w:szCs w:val="28"/>
        </w:rPr>
        <w:t>Article 5. PRISE D’EFFET</w:t>
      </w:r>
    </w:p>
    <w:p w:rsidR="00F02CF2" w:rsidRDefault="00F02CF2">
      <w:pPr>
        <w:ind w:hanging="2" w:left="0"/>
        <w:jc w:val="both"/>
      </w:pPr>
    </w:p>
    <w:p w:rsidR="00F02CF2" w:rsidRDefault="007E5F52">
      <w:pPr>
        <w:ind w:hanging="2" w:left="0"/>
      </w:pPr>
      <w:r>
        <w:t xml:space="preserve">Le présent accord prend effet à compter du </w:t>
      </w:r>
      <w:r>
        <w:rPr>
          <w:b/>
        </w:rPr>
        <w:t>3</w:t>
      </w:r>
      <w:r>
        <w:rPr>
          <w:b/>
        </w:rPr>
        <w:t xml:space="preserve"> mars 2022</w:t>
      </w:r>
      <w:r>
        <w:t xml:space="preserve">. </w:t>
      </w:r>
    </w:p>
    <w:p w:rsidR="00F02CF2" w:rsidRDefault="00F02CF2">
      <w:pPr>
        <w:ind w:hanging="2" w:left="0"/>
        <w:jc w:val="both"/>
        <w:rPr>
          <w:sz w:val="18"/>
          <w:szCs w:val="18"/>
        </w:rPr>
      </w:pPr>
    </w:p>
    <w:p w:rsidR="00F02CF2" w:rsidRDefault="007E5F52">
      <w:pPr>
        <w:keepNext/>
        <w:pBdr>
          <w:top w:val="nil"/>
          <w:left w:val="nil"/>
          <w:bottom w:val="nil"/>
          <w:right w:val="nil"/>
          <w:between w:val="nil"/>
        </w:pBdr>
        <w:spacing w:after="240" w:before="240" w:line="240" w:lineRule="auto"/>
        <w:ind w:hanging="3" w:left="1"/>
        <w:rPr>
          <w:rFonts w:ascii="Verdana" w:cs="Verdana" w:eastAsia="Verdana" w:hAnsi="Verdana"/>
          <w:b/>
          <w:color w:val="000000"/>
          <w:sz w:val="28"/>
          <w:szCs w:val="28"/>
        </w:rPr>
      </w:pPr>
      <w:r>
        <w:rPr>
          <w:rFonts w:ascii="Verdana" w:cs="Verdana" w:eastAsia="Verdana" w:hAnsi="Verdana"/>
          <w:b/>
          <w:color w:val="000000"/>
          <w:sz w:val="28"/>
          <w:szCs w:val="28"/>
        </w:rPr>
        <w:t xml:space="preserve">Article </w:t>
      </w:r>
      <w:r>
        <w:rPr>
          <w:rFonts w:ascii="Verdana" w:cs="Verdana" w:eastAsia="Verdana" w:hAnsi="Verdana"/>
          <w:b/>
          <w:sz w:val="28"/>
          <w:szCs w:val="28"/>
        </w:rPr>
        <w:t>6</w:t>
      </w:r>
      <w:r>
        <w:rPr>
          <w:rFonts w:ascii="Verdana" w:cs="Verdana" w:eastAsia="Verdana" w:hAnsi="Verdana"/>
          <w:b/>
          <w:color w:val="000000"/>
          <w:sz w:val="28"/>
          <w:szCs w:val="28"/>
        </w:rPr>
        <w:t xml:space="preserve">. </w:t>
      </w:r>
      <w:r>
        <w:rPr>
          <w:rFonts w:ascii="Verdana" w:cs="Verdana" w:eastAsia="Verdana" w:hAnsi="Verdana"/>
          <w:b/>
          <w:sz w:val="28"/>
          <w:szCs w:val="28"/>
        </w:rPr>
        <w:t>DÉPÔTS</w:t>
      </w:r>
    </w:p>
    <w:p w:rsidR="00F02CF2" w:rsidRDefault="007E5F52">
      <w:pPr>
        <w:pBdr>
          <w:top w:val="nil"/>
          <w:left w:val="nil"/>
          <w:bottom w:val="nil"/>
          <w:right w:val="nil"/>
          <w:between w:val="nil"/>
        </w:pBdr>
        <w:spacing w:line="240" w:lineRule="auto"/>
        <w:ind w:hanging="2" w:left="0"/>
        <w:jc w:val="both"/>
        <w:rPr>
          <w:color w:val="000000"/>
        </w:rPr>
      </w:pPr>
      <w:r>
        <w:rPr>
          <w:color w:val="000000"/>
        </w:rPr>
        <w:t>Le présent accord sera déposé auprès de la Direction Départementale du Travail de l'Emploi et de la Formation Professionnelle ainsi qu'au secrétariat-greffe du Conseil de Prud'hommes de Nantes conformément aux articles L.2231-6 et D.2231-2 du Code du Trava</w:t>
      </w:r>
      <w:r>
        <w:rPr>
          <w:color w:val="000000"/>
        </w:rPr>
        <w:t>il.</w:t>
      </w:r>
    </w:p>
    <w:p w:rsidR="00F02CF2" w:rsidRDefault="00F02CF2">
      <w:pPr>
        <w:ind w:hanging="2" w:left="0"/>
        <w:jc w:val="both"/>
      </w:pPr>
    </w:p>
    <w:p w:rsidR="00F02CF2" w:rsidRDefault="00F02CF2">
      <w:pPr>
        <w:ind w:hanging="2" w:left="0"/>
        <w:jc w:val="both"/>
      </w:pPr>
    </w:p>
    <w:p w:rsidR="00F02CF2" w:rsidRDefault="007E5F52">
      <w:pPr>
        <w:ind w:hanging="2" w:left="0"/>
        <w:jc w:val="both"/>
      </w:pPr>
      <w:bookmarkStart w:colFirst="0" w:colLast="0" w:id="0" w:name="_heading=h.gjdgxs"/>
      <w:bookmarkEnd w:id="0"/>
      <w:r>
        <w:t>A St Herblain, le 3 Mars 2022</w:t>
      </w:r>
    </w:p>
    <w:p w:rsidR="00F02CF2" w:rsidRDefault="00F02CF2">
      <w:pPr>
        <w:ind w:hanging="2" w:left="0"/>
        <w:jc w:val="both"/>
      </w:pPr>
    </w:p>
    <w:p w:rsidR="00F02CF2" w:rsidRDefault="00F02CF2">
      <w:pPr>
        <w:ind w:hanging="2" w:left="0"/>
        <w:jc w:val="both"/>
      </w:pPr>
    </w:p>
    <w:p w:rsidR="00F02CF2" w:rsidRDefault="00F02CF2">
      <w:pPr>
        <w:ind w:hanging="2" w:left="0"/>
        <w:jc w:val="both"/>
      </w:pPr>
    </w:p>
    <w:p w:rsidR="00F02CF2" w:rsidRDefault="007E5F52">
      <w:pPr>
        <w:ind w:hanging="2" w:left="0"/>
        <w:jc w:val="both"/>
      </w:pPr>
      <w:r>
        <w:t>Pour la Direction, xxxx</w:t>
      </w:r>
    </w:p>
    <w:p w:rsidR="00F02CF2" w:rsidRDefault="00F02CF2">
      <w:pPr>
        <w:ind w:hanging="2" w:left="0"/>
        <w:jc w:val="both"/>
      </w:pPr>
    </w:p>
    <w:p w:rsidR="00F02CF2" w:rsidRDefault="00F02CF2">
      <w:pPr>
        <w:ind w:hanging="2" w:left="0"/>
        <w:jc w:val="both"/>
      </w:pPr>
    </w:p>
    <w:p w:rsidR="00F02CF2" w:rsidRDefault="00F02CF2">
      <w:pPr>
        <w:ind w:hanging="2" w:left="0"/>
        <w:jc w:val="both"/>
      </w:pPr>
    </w:p>
    <w:p w:rsidR="00F02CF2" w:rsidRDefault="00F02CF2">
      <w:pPr>
        <w:ind w:hanging="2" w:left="0"/>
        <w:jc w:val="both"/>
      </w:pPr>
    </w:p>
    <w:p w:rsidR="00F02CF2" w:rsidRDefault="00F02CF2">
      <w:pPr>
        <w:ind w:hanging="2" w:left="0"/>
        <w:jc w:val="both"/>
      </w:pPr>
    </w:p>
    <w:p w:rsidR="00F02CF2" w:rsidRDefault="00F02CF2">
      <w:pPr>
        <w:ind w:hanging="2" w:left="0"/>
        <w:jc w:val="both"/>
      </w:pPr>
    </w:p>
    <w:p w:rsidR="00F02CF2" w:rsidRDefault="007E5F52">
      <w:pPr>
        <w:ind w:hanging="2" w:left="0"/>
        <w:jc w:val="both"/>
        <w:rPr>
          <w:rFonts w:ascii="Verdana" w:cs="Verdana" w:eastAsia="Verdana" w:hAnsi="Verdana"/>
        </w:rPr>
      </w:pPr>
      <w:r>
        <w:t>Pour la CFDT, xxxx</w:t>
      </w:r>
      <w:bookmarkStart w:id="1" w:name="_GoBack"/>
      <w:bookmarkEnd w:id="1"/>
    </w:p>
    <w:sectPr w:rsidR="00F02CF2">
      <w:headerReference r:id="rId9" w:type="default"/>
      <w:footerReference r:id="rId10" w:type="even"/>
      <w:footerReference r:id="rId11" w:type="default"/>
      <w:headerReference r:id="rId12" w:type="first"/>
      <w:footerReference r:id="rId13" w:type="first"/>
      <w:pgSz w:h="16838" w:w="11906"/>
      <w:pgMar w:bottom="1417" w:footer="708" w:gutter="0" w:header="708" w:left="1417" w:right="1417" w:top="1417"/>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7E5F52" w:rsidP="007E5F52">
      <w:pPr>
        <w:spacing w:line="240" w:lineRule="auto"/>
        <w:ind w:left="0" w:hanging="2"/>
      </w:pPr>
      <w:r>
        <w:separator/>
      </w:r>
    </w:p>
  </w:endnote>
  <w:endnote w:type="continuationSeparator" w:id="0">
    <w:p w:rsidR="00000000" w:rsidRDefault="007E5F52" w:rsidP="007E5F52">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F02CF2" w:rsidRDefault="007E5F52">
    <w:pPr>
      <w:pBdr>
        <w:top w:val="nil"/>
        <w:left w:val="nil"/>
        <w:bottom w:val="nil"/>
        <w:right w:val="nil"/>
        <w:between w:val="nil"/>
      </w:pBdr>
      <w:tabs>
        <w:tab w:pos="4536" w:val="center"/>
        <w:tab w:pos="9072" w:val="right"/>
      </w:tabs>
      <w:spacing w:line="240" w:lineRule="auto"/>
      <w:ind w:hanging="2" w:left="0"/>
      <w:jc w:val="right"/>
      <w:rPr>
        <w:rFonts w:ascii="Verdana" w:cs="Verdana" w:eastAsia="Verdana" w:hAnsi="Verdana"/>
        <w:color w:val="000000"/>
      </w:rPr>
    </w:pPr>
    <w:r>
      <w:rPr>
        <w:rFonts w:ascii="Verdana" w:cs="Verdana" w:eastAsia="Verdana" w:hAnsi="Verdana"/>
        <w:color w:val="000000"/>
      </w:rPr>
      <w:fldChar w:fldCharType="begin"/>
    </w:r>
    <w:r>
      <w:rPr>
        <w:rFonts w:ascii="Verdana" w:cs="Verdana" w:eastAsia="Verdana" w:hAnsi="Verdana"/>
        <w:color w:val="000000"/>
      </w:rPr>
      <w:instrText>PAGE</w:instrText>
    </w:r>
    <w:r>
      <w:rPr>
        <w:rFonts w:ascii="Verdana" w:cs="Verdana" w:eastAsia="Verdana" w:hAnsi="Verdana"/>
        <w:color w:val="000000"/>
      </w:rPr>
      <w:fldChar w:fldCharType="end"/>
    </w:r>
  </w:p>
  <w:p w:rsidR="00F02CF2" w:rsidRDefault="00F02CF2">
    <w:pPr>
      <w:pBdr>
        <w:top w:val="nil"/>
        <w:left w:val="nil"/>
        <w:bottom w:val="nil"/>
        <w:right w:val="nil"/>
        <w:between w:val="nil"/>
      </w:pBdr>
      <w:tabs>
        <w:tab w:pos="4536" w:val="center"/>
        <w:tab w:pos="9072" w:val="right"/>
      </w:tabs>
      <w:spacing w:line="240" w:lineRule="auto"/>
      <w:ind w:hanging="2" w:left="0" w:right="360"/>
      <w:rPr>
        <w:color w:val="000000"/>
      </w:rPr>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F02CF2" w:rsidRDefault="007E5F52">
    <w:pPr>
      <w:pBdr>
        <w:top w:val="nil"/>
        <w:left w:val="nil"/>
        <w:bottom w:val="nil"/>
        <w:right w:val="nil"/>
        <w:between w:val="nil"/>
      </w:pBdr>
      <w:tabs>
        <w:tab w:pos="4536" w:val="center"/>
        <w:tab w:pos="9072" w:val="right"/>
      </w:tabs>
      <w:spacing w:line="240" w:lineRule="auto"/>
      <w:ind w:hanging="2" w:left="0"/>
      <w:jc w:val="both"/>
      <w:rPr>
        <w:rFonts w:ascii="Verdana" w:cs="Verdana" w:eastAsia="Verdana" w:hAnsi="Verdana"/>
        <w:color w:val="000000"/>
        <w:sz w:val="18"/>
        <w:szCs w:val="18"/>
      </w:rPr>
    </w:pPr>
    <w:r>
      <w:rPr>
        <w:rFonts w:ascii="Verdana" w:cs="Verdana" w:eastAsia="Verdana" w:hAnsi="Verdana"/>
        <w:color w:val="000000"/>
        <w:sz w:val="18"/>
        <w:szCs w:val="18"/>
      </w:rPr>
      <w:t xml:space="preserve">Accord </w:t>
    </w:r>
    <w:r>
      <w:rPr>
        <w:rFonts w:ascii="Verdana" w:cs="Verdana" w:eastAsia="Verdana" w:hAnsi="Verdana"/>
        <w:sz w:val="18"/>
        <w:szCs w:val="18"/>
      </w:rPr>
      <w:t>NAR 2022</w:t>
    </w:r>
    <w:r>
      <w:rPr>
        <w:rFonts w:ascii="Verdana" w:cs="Verdana" w:eastAsia="Verdana" w:hAnsi="Verdana"/>
        <w:color w:val="000000"/>
        <w:sz w:val="18"/>
        <w:szCs w:val="18"/>
      </w:rPr>
      <w:tab/>
      <w:t xml:space="preserve">Page </w:t>
    </w:r>
    <w:r>
      <w:rPr>
        <w:rFonts w:ascii="Verdana" w:cs="Verdana" w:eastAsia="Verdana" w:hAnsi="Verdana"/>
        <w:color w:val="000000"/>
        <w:sz w:val="18"/>
        <w:szCs w:val="18"/>
      </w:rPr>
      <w:fldChar w:fldCharType="begin"/>
    </w:r>
    <w:r>
      <w:rPr>
        <w:rFonts w:ascii="Verdana" w:cs="Verdana" w:eastAsia="Verdana" w:hAnsi="Verdana"/>
        <w:color w:val="000000"/>
        <w:sz w:val="18"/>
        <w:szCs w:val="18"/>
      </w:rPr>
      <w:instrText>PAGE</w:instrText>
    </w:r>
    <w:r>
      <w:rPr>
        <w:rFonts w:ascii="Verdana" w:cs="Verdana" w:eastAsia="Verdana" w:hAnsi="Verdana"/>
        <w:color w:val="000000"/>
        <w:sz w:val="18"/>
        <w:szCs w:val="18"/>
      </w:rPr>
      <w:fldChar w:fldCharType="separate"/>
    </w:r>
    <w:r>
      <w:rPr>
        <w:rFonts w:ascii="Verdana" w:cs="Verdana" w:eastAsia="Verdana" w:hAnsi="Verdana"/>
        <w:noProof/>
        <w:color w:val="000000"/>
        <w:sz w:val="18"/>
        <w:szCs w:val="18"/>
      </w:rPr>
      <w:t>2</w:t>
    </w:r>
    <w:r>
      <w:rPr>
        <w:rFonts w:ascii="Verdana" w:cs="Verdana" w:eastAsia="Verdana" w:hAnsi="Verdana"/>
        <w:color w:val="000000"/>
        <w:sz w:val="18"/>
        <w:szCs w:val="18"/>
      </w:rPr>
      <w:fldChar w:fldCharType="end"/>
    </w:r>
    <w:r>
      <w:rPr>
        <w:rFonts w:ascii="Verdana" w:cs="Verdana" w:eastAsia="Verdana" w:hAnsi="Verdana"/>
        <w:color w:val="000000"/>
        <w:sz w:val="18"/>
        <w:szCs w:val="18"/>
      </w:rPr>
      <w:t xml:space="preserve"> sur </w:t>
    </w:r>
    <w:r>
      <w:rPr>
        <w:rFonts w:ascii="Verdana" w:cs="Verdana" w:eastAsia="Verdana" w:hAnsi="Verdana"/>
        <w:color w:val="000000"/>
        <w:sz w:val="18"/>
        <w:szCs w:val="18"/>
      </w:rPr>
      <w:fldChar w:fldCharType="begin"/>
    </w:r>
    <w:r>
      <w:rPr>
        <w:rFonts w:ascii="Verdana" w:cs="Verdana" w:eastAsia="Verdana" w:hAnsi="Verdana"/>
        <w:color w:val="000000"/>
        <w:sz w:val="18"/>
        <w:szCs w:val="18"/>
      </w:rPr>
      <w:instrText>NUMPAGES</w:instrText>
    </w:r>
    <w:r>
      <w:rPr>
        <w:rFonts w:ascii="Verdana" w:cs="Verdana" w:eastAsia="Verdana" w:hAnsi="Verdana"/>
        <w:color w:val="000000"/>
        <w:sz w:val="18"/>
        <w:szCs w:val="18"/>
      </w:rPr>
      <w:fldChar w:fldCharType="separate"/>
    </w:r>
    <w:r>
      <w:rPr>
        <w:rFonts w:ascii="Verdana" w:cs="Verdana" w:eastAsia="Verdana" w:hAnsi="Verdana"/>
        <w:noProof/>
        <w:color w:val="000000"/>
        <w:sz w:val="18"/>
        <w:szCs w:val="18"/>
      </w:rPr>
      <w:t>3</w:t>
    </w:r>
    <w:r>
      <w:rPr>
        <w:rFonts w:ascii="Verdana" w:cs="Verdana" w:eastAsia="Verdana" w:hAnsi="Verdana"/>
        <w:color w:val="000000"/>
        <w:sz w:val="18"/>
        <w:szCs w:val="18"/>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F02CF2" w:rsidRDefault="007E5F52">
    <w:pPr>
      <w:pBdr>
        <w:top w:val="nil"/>
        <w:left w:val="nil"/>
        <w:bottom w:val="nil"/>
        <w:right w:val="nil"/>
        <w:between w:val="nil"/>
      </w:pBdr>
      <w:tabs>
        <w:tab w:pos="4536" w:val="center"/>
        <w:tab w:pos="9072" w:val="right"/>
      </w:tabs>
      <w:spacing w:line="240" w:lineRule="auto"/>
      <w:ind w:hanging="2" w:left="0"/>
      <w:jc w:val="both"/>
      <w:rPr>
        <w:rFonts w:ascii="Verdana" w:cs="Verdana" w:eastAsia="Verdana" w:hAnsi="Verdana"/>
        <w:color w:val="000000"/>
        <w:sz w:val="18"/>
        <w:szCs w:val="18"/>
      </w:rPr>
    </w:pPr>
    <w:r>
      <w:rPr>
        <w:rFonts w:ascii="Verdana" w:cs="Verdana" w:eastAsia="Verdana" w:hAnsi="Verdana"/>
        <w:color w:val="000000"/>
        <w:sz w:val="18"/>
        <w:szCs w:val="18"/>
      </w:rPr>
      <w:t>Accord 202</w:t>
    </w:r>
    <w:r>
      <w:rPr>
        <w:rFonts w:ascii="Verdana" w:cs="Verdana" w:eastAsia="Verdana" w:hAnsi="Verdana"/>
        <w:sz w:val="18"/>
        <w:szCs w:val="18"/>
      </w:rPr>
      <w:t>1</w:t>
    </w:r>
    <w:r>
      <w:rPr>
        <w:rFonts w:ascii="Verdana" w:cs="Verdana" w:eastAsia="Verdana" w:hAnsi="Verdana"/>
        <w:color w:val="000000"/>
        <w:sz w:val="18"/>
        <w:szCs w:val="18"/>
      </w:rPr>
      <w:t xml:space="preserve"> 0</w:t>
    </w:r>
    <w:r>
      <w:rPr>
        <w:rFonts w:ascii="Verdana" w:cs="Verdana" w:eastAsia="Verdana" w:hAnsi="Verdana"/>
        <w:sz w:val="18"/>
        <w:szCs w:val="18"/>
      </w:rPr>
      <w:t>3</w:t>
    </w:r>
    <w:r>
      <w:rPr>
        <w:rFonts w:ascii="Verdana" w:cs="Verdana" w:eastAsia="Verdana" w:hAnsi="Verdana"/>
        <w:color w:val="000000"/>
        <w:sz w:val="18"/>
        <w:szCs w:val="18"/>
      </w:rPr>
      <w:t xml:space="preserve"> </w:t>
    </w:r>
    <w:r>
      <w:rPr>
        <w:rFonts w:ascii="Verdana" w:cs="Verdana" w:eastAsia="Verdana" w:hAnsi="Verdana"/>
        <w:sz w:val="18"/>
        <w:szCs w:val="18"/>
      </w:rPr>
      <w:t>25</w:t>
    </w:r>
    <w:r>
      <w:rPr>
        <w:rFonts w:ascii="Verdana" w:cs="Verdana" w:eastAsia="Verdana" w:hAnsi="Verdana"/>
        <w:color w:val="000000"/>
        <w:sz w:val="18"/>
        <w:szCs w:val="18"/>
      </w:rPr>
      <w:tab/>
      <w:t xml:space="preserve">Page </w:t>
    </w:r>
    <w:r>
      <w:rPr>
        <w:rFonts w:ascii="Verdana" w:cs="Verdana" w:eastAsia="Verdana" w:hAnsi="Verdana"/>
        <w:color w:val="000000"/>
        <w:sz w:val="18"/>
        <w:szCs w:val="18"/>
      </w:rPr>
      <w:fldChar w:fldCharType="begin"/>
    </w:r>
    <w:r>
      <w:rPr>
        <w:rFonts w:ascii="Verdana" w:cs="Verdana" w:eastAsia="Verdana" w:hAnsi="Verdana"/>
        <w:color w:val="000000"/>
        <w:sz w:val="18"/>
        <w:szCs w:val="18"/>
      </w:rPr>
      <w:instrText>PAGE</w:instrText>
    </w:r>
    <w:r>
      <w:rPr>
        <w:rFonts w:ascii="Verdana" w:cs="Verdana" w:eastAsia="Verdana" w:hAnsi="Verdana"/>
        <w:color w:val="000000"/>
        <w:sz w:val="18"/>
        <w:szCs w:val="18"/>
      </w:rPr>
      <w:fldChar w:fldCharType="end"/>
    </w:r>
    <w:r>
      <w:rPr>
        <w:rFonts w:ascii="Verdana" w:cs="Verdana" w:eastAsia="Verdana" w:hAnsi="Verdana"/>
        <w:color w:val="000000"/>
        <w:sz w:val="18"/>
        <w:szCs w:val="18"/>
      </w:rPr>
      <w:t xml:space="preserve"> sur </w:t>
    </w:r>
    <w:r>
      <w:rPr>
        <w:rFonts w:ascii="Verdana" w:cs="Verdana" w:eastAsia="Verdana" w:hAnsi="Verdana"/>
        <w:color w:val="000000"/>
        <w:sz w:val="18"/>
        <w:szCs w:val="18"/>
      </w:rPr>
      <w:fldChar w:fldCharType="begin"/>
    </w:r>
    <w:r>
      <w:rPr>
        <w:rFonts w:ascii="Verdana" w:cs="Verdana" w:eastAsia="Verdana" w:hAnsi="Verdana"/>
        <w:color w:val="000000"/>
        <w:sz w:val="18"/>
        <w:szCs w:val="18"/>
      </w:rPr>
      <w:instrText>NUMPAGES</w:instrText>
    </w:r>
    <w:r>
      <w:rPr>
        <w:rFonts w:ascii="Verdana" w:cs="Verdana" w:eastAsia="Verdana" w:hAnsi="Verdana"/>
        <w:color w:val="000000"/>
        <w:sz w:val="18"/>
        <w:szCs w:val="18"/>
      </w:rPr>
      <w:fldChar w:fldCharType="end"/>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rsidP="007E5F52" w:rsidR="00000000" w:rsidRDefault="007E5F52">
      <w:pPr>
        <w:spacing w:line="240" w:lineRule="auto"/>
        <w:ind w:hanging="2" w:left="0"/>
      </w:pPr>
      <w:r>
        <w:separator/>
      </w:r>
    </w:p>
  </w:footnote>
  <w:footnote w:id="0" w:type="continuationSeparator">
    <w:p w:rsidP="007E5F52" w:rsidR="00000000" w:rsidRDefault="007E5F52">
      <w:pPr>
        <w:spacing w:line="240" w:lineRule="auto"/>
        <w:ind w:hanging="2" w:left="0"/>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F02CF2" w:rsidRDefault="007E5F52">
    <w:pPr>
      <w:pBdr>
        <w:top w:val="nil"/>
        <w:left w:val="nil"/>
        <w:bottom w:val="nil"/>
        <w:right w:val="nil"/>
        <w:between w:val="nil"/>
      </w:pBdr>
      <w:tabs>
        <w:tab w:pos="4536" w:val="center"/>
        <w:tab w:pos="9072" w:val="right"/>
      </w:tabs>
      <w:spacing w:line="240" w:lineRule="auto"/>
      <w:ind w:hanging="2" w:left="0"/>
      <w:jc w:val="right"/>
      <w:rPr>
        <w:color w:val="000000"/>
      </w:rPr>
    </w:pPr>
    <w:r>
      <w:rPr>
        <w:rFonts w:ascii="Verdana" w:cs="Verdana" w:eastAsia="Verdana" w:hAnsi="Verdana"/>
        <w:noProof/>
        <w:color w:val="000000"/>
      </w:rPr>
      <w:drawing>
        <wp:inline distB="0" distL="114300" distR="114300" distT="0">
          <wp:extent cx="2021840" cy="591185"/>
          <wp:effectExtent b="0" l="0" r="0" t="0"/>
          <wp:docPr id="103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021840" cy="591185"/>
                  </a:xfrm>
                  <a:prstGeom prst="rect">
                    <a:avLst/>
                  </a:prstGeom>
                  <a:ln/>
                </pic:spPr>
              </pic:pic>
            </a:graphicData>
          </a:graphic>
        </wp:inline>
      </w:drawing>
    </w:r>
  </w:p>
  <w:p w:rsidR="00F02CF2" w:rsidRDefault="00F02CF2">
    <w:pPr>
      <w:pBdr>
        <w:top w:val="nil"/>
        <w:left w:val="nil"/>
        <w:bottom w:val="nil"/>
        <w:right w:val="nil"/>
        <w:between w:val="nil"/>
      </w:pBdr>
      <w:tabs>
        <w:tab w:pos="4536" w:val="center"/>
        <w:tab w:pos="9072" w:val="right"/>
      </w:tabs>
      <w:spacing w:line="240" w:lineRule="auto"/>
      <w:ind w:hanging="2" w:left="0"/>
      <w:jc w:val="right"/>
      <w:rPr>
        <w:color w:val="000000"/>
      </w:rPr>
    </w:pPr>
  </w:p>
  <w:p w:rsidR="00F02CF2" w:rsidRDefault="00F02CF2">
    <w:pPr>
      <w:pBdr>
        <w:top w:val="nil"/>
        <w:left w:val="nil"/>
        <w:bottom w:val="nil"/>
        <w:right w:val="nil"/>
        <w:between w:val="nil"/>
      </w:pBdr>
      <w:tabs>
        <w:tab w:pos="4536" w:val="center"/>
        <w:tab w:pos="9072" w:val="right"/>
      </w:tabs>
      <w:spacing w:line="240" w:lineRule="auto"/>
      <w:ind w:hanging="2" w:left="0"/>
      <w:jc w:val="right"/>
      <w:rPr>
        <w:color w:val="000000"/>
      </w:rPr>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F02CF2" w:rsidRDefault="00F02CF2">
    <w:pPr>
      <w:pBdr>
        <w:top w:val="nil"/>
        <w:left w:val="nil"/>
        <w:bottom w:val="nil"/>
        <w:right w:val="nil"/>
        <w:between w:val="nil"/>
      </w:pBdr>
      <w:tabs>
        <w:tab w:pos="4536" w:val="center"/>
        <w:tab w:pos="9072" w:val="right"/>
      </w:tabs>
      <w:spacing w:line="240" w:lineRule="auto"/>
      <w:ind w:hanging="2" w:left="0"/>
      <w:jc w:val="right"/>
      <w:rPr>
        <w:color w:val="000000"/>
      </w:rPr>
    </w:pPr>
  </w:p>
  <w:p w:rsidR="00F02CF2" w:rsidRDefault="007E5F52">
    <w:pPr>
      <w:pBdr>
        <w:top w:val="nil"/>
        <w:left w:val="nil"/>
        <w:bottom w:val="nil"/>
        <w:right w:val="nil"/>
        <w:between w:val="nil"/>
      </w:pBdr>
      <w:tabs>
        <w:tab w:pos="4536" w:val="center"/>
        <w:tab w:pos="9072" w:val="right"/>
      </w:tabs>
      <w:spacing w:line="240" w:lineRule="auto"/>
      <w:ind w:hanging="2" w:left="0"/>
      <w:rPr>
        <w:color w:val="000000"/>
      </w:rPr>
    </w:pPr>
    <w:r>
      <w:rPr>
        <w:rFonts w:ascii="Verdana" w:cs="Verdana" w:eastAsia="Verdana" w:hAnsi="Verdana"/>
        <w:noProof/>
        <w:color w:val="000000"/>
      </w:rPr>
      <w:drawing>
        <wp:inline distB="0" distL="114300" distR="114300" distT="0">
          <wp:extent cx="2021840" cy="591185"/>
          <wp:effectExtent b="0" l="0" r="0" t="0"/>
          <wp:docPr id="103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021840" cy="591185"/>
                  </a:xfrm>
                  <a:prstGeom prst="rect">
                    <a:avLst/>
                  </a:prstGeom>
                  <a:ln/>
                </pic:spPr>
              </pic:pic>
            </a:graphicData>
          </a:graphic>
        </wp:inline>
      </w:drawing>
    </w: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015A028A"/>
    <w:multiLevelType w:val="multilevel"/>
    <w:tmpl w:val="445CFE9C"/>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1">
    <w:nsid w:val="1776360B"/>
    <w:multiLevelType w:val="multilevel"/>
    <w:tmpl w:val="0FC2F60C"/>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2">
    <w:nsid w:val="1E457402"/>
    <w:multiLevelType w:val="multilevel"/>
    <w:tmpl w:val="A654911A"/>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3">
    <w:nsid w:val="7F9F5540"/>
    <w:multiLevelType w:val="multilevel"/>
    <w:tmpl w:val="A09CFCA0"/>
    <w:lvl w:ilvl="0">
      <w:start w:val="1"/>
      <w:numFmt w:val="bullet"/>
      <w:pStyle w:val="Titre1"/>
      <w:lvlText w:val="➢"/>
      <w:lvlJc w:val="left"/>
      <w:pPr>
        <w:ind w:hanging="360" w:left="720"/>
      </w:pPr>
      <w:rPr>
        <w:u w:val="none"/>
      </w:rPr>
    </w:lvl>
    <w:lvl w:ilvl="1">
      <w:start w:val="1"/>
      <w:numFmt w:val="bullet"/>
      <w:pStyle w:val="Titre2"/>
      <w:lvlText w:val="○"/>
      <w:lvlJc w:val="left"/>
      <w:pPr>
        <w:ind w:hanging="360" w:left="1440"/>
      </w:pPr>
      <w:rPr>
        <w:u w:val="none"/>
      </w:rPr>
    </w:lvl>
    <w:lvl w:ilvl="2">
      <w:start w:val="1"/>
      <w:numFmt w:val="bullet"/>
      <w:pStyle w:val="Titre3"/>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02CF2"/>
    <w:rsid w:val="007E5F52"/>
    <w:rsid w:val="00F02CF2"/>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cs="Times New Roman" w:eastAsia="Times New Roman" w:hAnsi="Times New Roman"/>
        <w:sz w:val="24"/>
        <w:szCs w:val="24"/>
        <w:lang w:bidi="ar-SA" w:eastAsia="fr-FR" w:val="fr-FR"/>
      </w:rPr>
    </w:rPrDefault>
    <w:pPrDefault>
      <w:pPr>
        <w:ind w:hanging="1"/>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pPr>
      <w:suppressAutoHyphens/>
      <w:spacing w:line="1" w:lineRule="atLeast"/>
      <w:ind w:hangingChars="1" w:left="-1" w:leftChars="-1"/>
      <w:textDirection w:val="btLr"/>
      <w:textAlignment w:val="top"/>
      <w:outlineLvl w:val="0"/>
    </w:pPr>
    <w:rPr>
      <w:position w:val="-1"/>
    </w:rPr>
  </w:style>
  <w:style w:styleId="Titre1" w:type="paragraph">
    <w:name w:val="heading 1"/>
    <w:basedOn w:val="default"/>
    <w:next w:val="Normal"/>
    <w:pPr>
      <w:keepNext/>
      <w:numPr>
        <w:numId w:val="1"/>
      </w:numPr>
      <w:spacing w:after="240" w:before="240"/>
      <w:ind w:hanging="1" w:left="-1"/>
    </w:pPr>
    <w:rPr>
      <w:rFonts w:cs="Arial"/>
      <w:b/>
      <w:bCs/>
      <w:color w:val="E53138"/>
      <w:kern w:val="32"/>
      <w:sz w:val="32"/>
      <w:szCs w:val="32"/>
    </w:rPr>
  </w:style>
  <w:style w:styleId="Titre2" w:type="paragraph">
    <w:name w:val="heading 2"/>
    <w:basedOn w:val="Titre1"/>
    <w:next w:val="Normal"/>
    <w:pPr>
      <w:numPr>
        <w:ilvl w:val="1"/>
      </w:numPr>
      <w:ind w:hanging="1" w:left="-1"/>
      <w:outlineLvl w:val="1"/>
    </w:pPr>
    <w:rPr>
      <w:rFonts w:ascii="Arial" w:hAnsi="Arial"/>
      <w:bCs w:val="0"/>
      <w:iCs/>
      <w:sz w:val="28"/>
      <w:szCs w:val="28"/>
    </w:rPr>
  </w:style>
  <w:style w:styleId="Titre3" w:type="paragraph">
    <w:name w:val="heading 3"/>
    <w:basedOn w:val="Titre2"/>
    <w:next w:val="Normal"/>
    <w:pPr>
      <w:numPr>
        <w:ilvl w:val="2"/>
      </w:numPr>
      <w:ind w:hanging="1" w:left="-1"/>
      <w:outlineLvl w:val="2"/>
    </w:pPr>
    <w:rPr>
      <w:b w:val="0"/>
      <w:bCs/>
      <w:sz w:val="26"/>
      <w:szCs w:val="26"/>
    </w:rPr>
  </w:style>
  <w:style w:styleId="Titre4" w:type="paragraph">
    <w:name w:val="heading 4"/>
    <w:basedOn w:val="Normal"/>
    <w:next w:val="Normal"/>
    <w:pPr>
      <w:keepNext/>
      <w:keepLines/>
      <w:spacing w:after="40" w:before="240"/>
      <w:outlineLvl w:val="3"/>
    </w:pPr>
    <w:rPr>
      <w:b/>
    </w:rPr>
  </w:style>
  <w:style w:styleId="Titre5" w:type="paragraph">
    <w:name w:val="heading 5"/>
    <w:basedOn w:val="Normal"/>
    <w:next w:val="Normal"/>
    <w:pPr>
      <w:keepNext/>
      <w:keepLines/>
      <w:spacing w:after="40" w:before="220"/>
      <w:outlineLvl w:val="4"/>
    </w:pPr>
    <w:rPr>
      <w:b/>
      <w:sz w:val="22"/>
      <w:szCs w:val="22"/>
    </w:rPr>
  </w:style>
  <w:style w:styleId="Titre6" w:type="paragraph">
    <w:name w:val="heading 6"/>
    <w:basedOn w:val="Normal"/>
    <w:next w:val="Normal"/>
    <w:pPr>
      <w:keepNext/>
      <w:keepLines/>
      <w:spacing w:after="40" w:before="200"/>
      <w:outlineLvl w:val="5"/>
    </w:pPr>
    <w:rPr>
      <w:b/>
      <w:sz w:val="20"/>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ableNormal" w:type="table">
    <w:name w:val="Table Normal"/>
    <w:tblPr>
      <w:tblCellMar>
        <w:top w:type="dxa" w:w="0"/>
        <w:left w:type="dxa" w:w="0"/>
        <w:bottom w:type="dxa" w:w="0"/>
        <w:right w:type="dxa" w:w="0"/>
      </w:tblCellMar>
    </w:tblPr>
  </w:style>
  <w:style w:styleId="Titre" w:type="paragraph">
    <w:name w:val="Title"/>
    <w:basedOn w:val="Normal"/>
    <w:pPr>
      <w:jc w:val="center"/>
    </w:pPr>
    <w:rPr>
      <w:b/>
      <w:bCs/>
      <w:sz w:val="40"/>
      <w:szCs w:val="40"/>
    </w:rPr>
  </w:style>
  <w:style w:customStyle="1" w:styleId="TableNormal0" w:type="table">
    <w:name w:val="Table Normal"/>
    <w:tblPr>
      <w:tblCellMar>
        <w:top w:type="dxa" w:w="0"/>
        <w:left w:type="dxa" w:w="0"/>
        <w:bottom w:type="dxa" w:w="0"/>
        <w:right w:type="dxa" w:w="0"/>
      </w:tblCellMar>
    </w:tblPr>
  </w:style>
  <w:style w:customStyle="1" w:styleId="TableNormal1" w:type="table">
    <w:name w:val="Table Normal"/>
    <w:tblPr>
      <w:tblCellMar>
        <w:top w:type="dxa" w:w="0"/>
        <w:left w:type="dxa" w:w="0"/>
        <w:bottom w:type="dxa" w:w="0"/>
        <w:right w:type="dxa" w:w="0"/>
      </w:tblCellMar>
    </w:tblPr>
  </w:style>
  <w:style w:customStyle="1" w:styleId="PolicepardfautdefaultCar" w:type="character">
    <w:name w:val="Police par défaut;default Car"/>
    <w:rPr>
      <w:rFonts w:ascii="Verdana" w:hAnsi="Verdana"/>
      <w:w w:val="100"/>
      <w:position w:val="-1"/>
      <w:szCs w:val="24"/>
      <w:effect w:val="none"/>
      <w:vertAlign w:val="baseline"/>
      <w:cs w:val="0"/>
      <w:em w:val="none"/>
      <w:lang w:bidi="ar-SA" w:eastAsia="en-US" w:val="en-US"/>
    </w:rPr>
  </w:style>
  <w:style w:styleId="En-tte" w:type="paragraph">
    <w:name w:val="header"/>
    <w:basedOn w:val="Normal"/>
    <w:pPr>
      <w:tabs>
        <w:tab w:pos="4536" w:val="center"/>
        <w:tab w:pos="9072" w:val="right"/>
      </w:tabs>
    </w:pPr>
  </w:style>
  <w:style w:styleId="Pieddepage" w:type="paragraph">
    <w:name w:val="footer"/>
    <w:basedOn w:val="Normal"/>
    <w:pPr>
      <w:tabs>
        <w:tab w:pos="4536" w:val="center"/>
        <w:tab w:pos="9072" w:val="right"/>
      </w:tabs>
    </w:pPr>
  </w:style>
  <w:style w:customStyle="1" w:styleId="default" w:type="paragraph">
    <w:name w:val="default"/>
    <w:basedOn w:val="Normal"/>
    <w:pPr>
      <w:spacing w:after="160" w:line="240" w:lineRule="atLeast"/>
    </w:pPr>
    <w:rPr>
      <w:rFonts w:ascii="Verdana" w:hAnsi="Verdana"/>
      <w:sz w:val="20"/>
      <w:lang w:eastAsia="en-US" w:val="en-US"/>
    </w:rPr>
  </w:style>
  <w:style w:styleId="Grilledutableau" w:type="table">
    <w:name w:val="Table Grid"/>
    <w:basedOn w:val="TableauNormal"/>
    <w:pPr>
      <w:suppressAutoHyphens/>
      <w:spacing w:line="1" w:lineRule="atLeast"/>
      <w:ind w:hangingChars="1" w:left="-1" w:left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M1" w:type="paragraph">
    <w:name w:val="toc 1"/>
    <w:basedOn w:val="Normal"/>
    <w:next w:val="Normal"/>
  </w:style>
  <w:style w:styleId="TM2" w:type="paragraph">
    <w:name w:val="toc 2"/>
    <w:basedOn w:val="Normal"/>
    <w:next w:val="Normal"/>
    <w:pPr>
      <w:ind w:left="240"/>
    </w:pPr>
  </w:style>
  <w:style w:styleId="TM3" w:type="paragraph">
    <w:name w:val="toc 3"/>
    <w:basedOn w:val="Normal"/>
    <w:next w:val="Normal"/>
    <w:pPr>
      <w:ind w:left="480"/>
    </w:pPr>
  </w:style>
  <w:style w:styleId="Lienhypertexte" w:type="character">
    <w:name w:val="Hyperlink"/>
    <w:rPr>
      <w:rFonts w:ascii="Verdana" w:hAnsi="Verdana"/>
      <w:color w:val="0000FF"/>
      <w:w w:val="100"/>
      <w:position w:val="-1"/>
      <w:szCs w:val="24"/>
      <w:u w:val="single"/>
      <w:effect w:val="none"/>
      <w:vertAlign w:val="baseline"/>
      <w:cs w:val="0"/>
      <w:em w:val="none"/>
      <w:lang w:bidi="ar-SA" w:eastAsia="en-US" w:val="en-US"/>
    </w:rPr>
  </w:style>
  <w:style w:styleId="Numrodepage" w:type="character">
    <w:name w:val="page number"/>
    <w:basedOn w:val="PolicepardfautdefaultCar"/>
    <w:rPr>
      <w:rFonts w:ascii="Verdana" w:hAnsi="Verdana"/>
      <w:w w:val="100"/>
      <w:position w:val="-1"/>
      <w:szCs w:val="24"/>
      <w:effect w:val="none"/>
      <w:vertAlign w:val="baseline"/>
      <w:cs w:val="0"/>
      <w:em w:val="none"/>
      <w:lang w:bidi="ar-SA" w:eastAsia="en-US" w:val="en-US"/>
    </w:rPr>
  </w:style>
  <w:style w:customStyle="1" w:styleId="TitreCar" w:type="character">
    <w:name w:val="Titre Car"/>
    <w:rPr>
      <w:rFonts w:ascii="Verdana" w:hAnsi="Verdana"/>
      <w:b/>
      <w:bCs/>
      <w:w w:val="100"/>
      <w:position w:val="-1"/>
      <w:sz w:val="40"/>
      <w:szCs w:val="40"/>
      <w:effect w:val="none"/>
      <w:vertAlign w:val="baseline"/>
      <w:cs w:val="0"/>
      <w:em w:val="none"/>
      <w:lang w:bidi="ar-SA" w:eastAsia="en-US" w:val="en-US"/>
    </w:rPr>
  </w:style>
  <w:style w:styleId="Textedebulles" w:type="paragraph">
    <w:name w:val="Balloon Text"/>
    <w:basedOn w:val="Normal"/>
    <w:qFormat/>
    <w:rPr>
      <w:rFonts w:ascii="Tahoma" w:cs="Tahoma" w:hAnsi="Tahoma"/>
      <w:sz w:val="16"/>
      <w:szCs w:val="16"/>
    </w:rPr>
  </w:style>
  <w:style w:customStyle="1" w:styleId="TextedebullesCar" w:type="character">
    <w:name w:val="Texte de bulles Car"/>
    <w:rPr>
      <w:rFonts w:ascii="Tahoma" w:cs="Tahoma" w:hAnsi="Tahoma"/>
      <w:w w:val="100"/>
      <w:position w:val="-1"/>
      <w:sz w:val="16"/>
      <w:szCs w:val="16"/>
      <w:effect w:val="none"/>
      <w:vertAlign w:val="baseline"/>
      <w:cs w:val="0"/>
      <w:em w:val="none"/>
      <w:lang w:bidi="ar-SA" w:eastAsia="en-US" w:val="en-US"/>
    </w:rPr>
  </w:style>
  <w:style w:styleId="Paragraphedeliste" w:type="paragraph">
    <w:name w:val="List Paragraph"/>
    <w:basedOn w:val="Normal"/>
    <w:pPr>
      <w:ind w:left="708"/>
    </w:pPr>
  </w:style>
  <w:style w:styleId="Corpsdetexte2" w:type="paragraph">
    <w:name w:val="Body Text 2"/>
    <w:basedOn w:val="Normal"/>
    <w:rPr>
      <w:rFonts w:ascii="Arial" w:hAnsi="Arial"/>
      <w:b/>
      <w:sz w:val="18"/>
      <w:szCs w:val="20"/>
    </w:rPr>
  </w:style>
  <w:style w:customStyle="1" w:styleId="Corpsdetexte2Car" w:type="character">
    <w:name w:val="Corps de texte 2 Car"/>
    <w:rPr>
      <w:rFonts w:ascii="Arial" w:hAnsi="Arial"/>
      <w:b/>
      <w:w w:val="100"/>
      <w:position w:val="-1"/>
      <w:sz w:val="18"/>
      <w:szCs w:val="24"/>
      <w:effect w:val="none"/>
      <w:vertAlign w:val="baseline"/>
      <w:cs w:val="0"/>
      <w:em w:val="none"/>
      <w:lang w:bidi="ar-SA" w:eastAsia="en-US" w:val="en-US"/>
    </w:rPr>
  </w:style>
  <w:style w:styleId="Sous-titre" w:type="paragraph">
    <w:name w:val="Subtitle"/>
    <w:basedOn w:val="Normal"/>
    <w:next w:val="Normal"/>
    <w:pPr>
      <w:keepNext/>
      <w:keepLines/>
      <w:spacing w:after="80" w:before="360"/>
    </w:pPr>
    <w:rPr>
      <w:rFonts w:ascii="Georgia" w:cs="Georgia" w:eastAsia="Georgia" w:hAnsi="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fr-FR" w:eastAsia="fr-FR" w:bidi="ar-SA"/>
      </w:rPr>
    </w:rPrDefault>
    <w:pPrDefault>
      <w:pPr>
        <w:ind w:hang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line="1" w:lineRule="atLeast"/>
      <w:ind w:leftChars="-1" w:left="-1" w:hangingChars="1"/>
      <w:textDirection w:val="btLr"/>
      <w:textAlignment w:val="top"/>
      <w:outlineLvl w:val="0"/>
    </w:pPr>
    <w:rPr>
      <w:position w:val="-1"/>
    </w:rPr>
  </w:style>
  <w:style w:type="paragraph" w:styleId="Titre1">
    <w:name w:val="heading 1"/>
    <w:basedOn w:val="default"/>
    <w:next w:val="Normal"/>
    <w:pPr>
      <w:keepNext/>
      <w:numPr>
        <w:numId w:val="1"/>
      </w:numPr>
      <w:spacing w:before="240" w:after="240"/>
      <w:ind w:left="-1" w:hanging="1"/>
    </w:pPr>
    <w:rPr>
      <w:rFonts w:cs="Arial"/>
      <w:b/>
      <w:bCs/>
      <w:color w:val="E53138"/>
      <w:kern w:val="32"/>
      <w:sz w:val="32"/>
      <w:szCs w:val="32"/>
    </w:rPr>
  </w:style>
  <w:style w:type="paragraph" w:styleId="Titre2">
    <w:name w:val="heading 2"/>
    <w:basedOn w:val="Titre1"/>
    <w:next w:val="Normal"/>
    <w:pPr>
      <w:numPr>
        <w:ilvl w:val="1"/>
      </w:numPr>
      <w:ind w:left="-1" w:hanging="1"/>
      <w:outlineLvl w:val="1"/>
    </w:pPr>
    <w:rPr>
      <w:rFonts w:ascii="Arial" w:hAnsi="Arial"/>
      <w:bCs w:val="0"/>
      <w:iCs/>
      <w:sz w:val="28"/>
      <w:szCs w:val="28"/>
    </w:rPr>
  </w:style>
  <w:style w:type="paragraph" w:styleId="Titre3">
    <w:name w:val="heading 3"/>
    <w:basedOn w:val="Titre2"/>
    <w:next w:val="Normal"/>
    <w:pPr>
      <w:numPr>
        <w:ilvl w:val="2"/>
      </w:numPr>
      <w:ind w:left="-1" w:hanging="1"/>
      <w:outlineLvl w:val="2"/>
    </w:pPr>
    <w:rPr>
      <w:b w:val="0"/>
      <w:bCs/>
      <w:sz w:val="26"/>
      <w:szCs w:val="26"/>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pPr>
      <w:jc w:val="center"/>
    </w:pPr>
    <w:rPr>
      <w:b/>
      <w:bCs/>
      <w:sz w:val="40"/>
      <w:szCs w:val="40"/>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PolicepardfautdefaultCar">
    <w:name w:val="Police par défaut;default Car"/>
    <w:rPr>
      <w:rFonts w:ascii="Verdana" w:hAnsi="Verdana"/>
      <w:w w:val="100"/>
      <w:position w:val="-1"/>
      <w:szCs w:val="24"/>
      <w:effect w:val="none"/>
      <w:vertAlign w:val="baseline"/>
      <w:cs w:val="0"/>
      <w:em w:val="none"/>
      <w:lang w:val="en-US" w:eastAsia="en-US" w:bidi="ar-SA"/>
    </w:r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customStyle="1" w:styleId="default">
    <w:name w:val="default"/>
    <w:basedOn w:val="Normal"/>
    <w:pPr>
      <w:spacing w:after="160" w:line="240" w:lineRule="atLeast"/>
    </w:pPr>
    <w:rPr>
      <w:rFonts w:ascii="Verdana" w:hAnsi="Verdana"/>
      <w:sz w:val="20"/>
      <w:lang w:val="en-US" w:eastAsia="en-US"/>
    </w:rPr>
  </w:style>
  <w:style w:type="table" w:styleId="Grilledutableau">
    <w:name w:val="Table Grid"/>
    <w:basedOn w:val="TableauNormal"/>
    <w:pPr>
      <w:suppressAutoHyphens/>
      <w:spacing w:line="1" w:lineRule="atLeast"/>
      <w:ind w:leftChars="-1" w:left="-1" w:hangingChars="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style>
  <w:style w:type="paragraph" w:styleId="TM2">
    <w:name w:val="toc 2"/>
    <w:basedOn w:val="Normal"/>
    <w:next w:val="Normal"/>
    <w:pPr>
      <w:ind w:left="240"/>
    </w:pPr>
  </w:style>
  <w:style w:type="paragraph" w:styleId="TM3">
    <w:name w:val="toc 3"/>
    <w:basedOn w:val="Normal"/>
    <w:next w:val="Normal"/>
    <w:pPr>
      <w:ind w:left="480"/>
    </w:pPr>
  </w:style>
  <w:style w:type="character" w:styleId="Lienhypertexte">
    <w:name w:val="Hyperlink"/>
    <w:rPr>
      <w:rFonts w:ascii="Verdana" w:hAnsi="Verdana"/>
      <w:color w:val="0000FF"/>
      <w:w w:val="100"/>
      <w:position w:val="-1"/>
      <w:szCs w:val="24"/>
      <w:u w:val="single"/>
      <w:effect w:val="none"/>
      <w:vertAlign w:val="baseline"/>
      <w:cs w:val="0"/>
      <w:em w:val="none"/>
      <w:lang w:val="en-US" w:eastAsia="en-US" w:bidi="ar-SA"/>
    </w:rPr>
  </w:style>
  <w:style w:type="character" w:styleId="Numrodepage">
    <w:name w:val="page number"/>
    <w:basedOn w:val="PolicepardfautdefaultCar"/>
    <w:rPr>
      <w:rFonts w:ascii="Verdana" w:hAnsi="Verdana"/>
      <w:w w:val="100"/>
      <w:position w:val="-1"/>
      <w:szCs w:val="24"/>
      <w:effect w:val="none"/>
      <w:vertAlign w:val="baseline"/>
      <w:cs w:val="0"/>
      <w:em w:val="none"/>
      <w:lang w:val="en-US" w:eastAsia="en-US" w:bidi="ar-SA"/>
    </w:rPr>
  </w:style>
  <w:style w:type="character" w:customStyle="1" w:styleId="TitreCar">
    <w:name w:val="Titre Car"/>
    <w:rPr>
      <w:rFonts w:ascii="Verdana" w:hAnsi="Verdana"/>
      <w:b/>
      <w:bCs/>
      <w:w w:val="100"/>
      <w:position w:val="-1"/>
      <w:sz w:val="40"/>
      <w:szCs w:val="40"/>
      <w:effect w:val="none"/>
      <w:vertAlign w:val="baseline"/>
      <w:cs w:val="0"/>
      <w:em w:val="none"/>
      <w:lang w:val="en-US" w:eastAsia="en-US" w:bidi="ar-SA"/>
    </w:rPr>
  </w:style>
  <w:style w:type="paragraph" w:styleId="Textedebulles">
    <w:name w:val="Balloon Text"/>
    <w:basedOn w:val="Normal"/>
    <w:qFormat/>
    <w:rPr>
      <w:rFonts w:ascii="Tahoma" w:hAnsi="Tahoma" w:cs="Tahoma"/>
      <w:sz w:val="16"/>
      <w:szCs w:val="16"/>
    </w:rPr>
  </w:style>
  <w:style w:type="character" w:customStyle="1" w:styleId="TextedebullesCar">
    <w:name w:val="Texte de bulles Car"/>
    <w:rPr>
      <w:rFonts w:ascii="Tahoma" w:hAnsi="Tahoma" w:cs="Tahoma"/>
      <w:w w:val="100"/>
      <w:position w:val="-1"/>
      <w:sz w:val="16"/>
      <w:szCs w:val="16"/>
      <w:effect w:val="none"/>
      <w:vertAlign w:val="baseline"/>
      <w:cs w:val="0"/>
      <w:em w:val="none"/>
      <w:lang w:val="en-US" w:eastAsia="en-US" w:bidi="ar-SA"/>
    </w:rPr>
  </w:style>
  <w:style w:type="paragraph" w:styleId="Paragraphedeliste">
    <w:name w:val="List Paragraph"/>
    <w:basedOn w:val="Normal"/>
    <w:pPr>
      <w:ind w:left="708"/>
    </w:pPr>
  </w:style>
  <w:style w:type="paragraph" w:styleId="Corpsdetexte2">
    <w:name w:val="Body Text 2"/>
    <w:basedOn w:val="Normal"/>
    <w:rPr>
      <w:rFonts w:ascii="Arial" w:hAnsi="Arial"/>
      <w:b/>
      <w:sz w:val="18"/>
      <w:szCs w:val="20"/>
    </w:rPr>
  </w:style>
  <w:style w:type="character" w:customStyle="1" w:styleId="Corpsdetexte2Car">
    <w:name w:val="Corps de texte 2 Car"/>
    <w:rPr>
      <w:rFonts w:ascii="Arial" w:hAnsi="Arial"/>
      <w:b/>
      <w:w w:val="100"/>
      <w:position w:val="-1"/>
      <w:sz w:val="18"/>
      <w:szCs w:val="24"/>
      <w:effect w:val="none"/>
      <w:vertAlign w:val="baseline"/>
      <w:cs w:val="0"/>
      <w:em w:val="none"/>
      <w:lang w:val="en-US" w:eastAsia="en-US" w:bidi="ar-SA"/>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2.xml" Type="http://schemas.openxmlformats.org/officeDocument/2006/relationships/header"/><Relationship Id="rId13" Target="footer3.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tylesWithEffects.xml" Type="http://schemas.microsoft.com/office/2007/relationships/stylesWithEffect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header1.xml" Type="http://schemas.openxmlformats.org/officeDocument/2006/relationships/header"/></Relationships>
</file>

<file path=word/_rels/header1.xml.rels><?xml version="1.0" encoding="UTF-8" standalone="no"?><Relationships xmlns="http://schemas.openxmlformats.org/package/2006/relationships"><Relationship Id="rId1" Target="media/image1.jpg" Type="http://schemas.openxmlformats.org/officeDocument/2006/relationships/image"/></Relationships>
</file>

<file path=word/_rels/header2.xml.rels><?xml version="1.0" encoding="UTF-8" standalone="no"?><Relationships xmlns="http://schemas.openxmlformats.org/package/2006/relationships"><Relationship Id="rId1" Target="media/image1.jp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DJpCdgpnuiBBq5bwdbTNwV3KA==">AMUW2mWexGcpL6lQOEtHsuJ4SgzKQz3uz9x5Aip/JAYaVYTq2CEr2hGR9yqwtx5zKWjFiHSrPZtfYui8eUCu9aqc2a7oxTrmEJq4xe4zNSNu1fEceWZ/THiqmL0iH7GqRo7amUC1bnRW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598</Words>
  <Characters>3295</Characters>
  <Application>Microsoft Office Word</Application>
  <DocSecurity>0</DocSecurity>
  <Lines>27</Lines>
  <Paragraphs>7</Paragraphs>
  <ScaleCrop>false</ScaleCrop>
  <HeadingPairs>
    <vt:vector baseType="variant" size="2">
      <vt:variant>
        <vt:lpstr>Titre</vt:lpstr>
      </vt:variant>
      <vt:variant>
        <vt:i4>1</vt:i4>
      </vt:variant>
    </vt:vector>
  </HeadingPairs>
  <TitlesOfParts>
    <vt:vector baseType="lpstr" size="1">
      <vt:lpstr/>
    </vt:vector>
  </TitlesOfParts>
  <Company>Credit Mutuel ARKEA</Company>
  <LinksUpToDate>false</LinksUpToDate>
  <CharactersWithSpaces>3886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2022-03-07T08:52:00Z</dcterms:created>
  <dcterms:modified xsi:type="dcterms:W3CDTF">2022-03-07T08:52:00Z</dcterms:modified>
  <cp:revision>2</cp:revision>
</cp:coreProperties>
</file>