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Cs/>
          <w:i/>
          <w:i/>
          <w:iCs/>
          <w:sz w:val="20"/>
        </w:rPr>
      </w:pPr>
      <w:r>
        <w:rPr>
          <w:rFonts w:cs="Arial" w:ascii="Arial" w:hAnsi="Arial"/>
          <w:bCs/>
          <w:i/>
          <w:iCs/>
          <w:sz w:val="20"/>
        </w:rPr>
      </w:r>
    </w:p>
    <w:p>
      <w:pPr>
        <w:pStyle w:val="Normal"/>
        <w:pBdr>
          <w:top w:val="single" w:sz="24" w:space="1" w:color="000000"/>
          <w:left w:val="single" w:sz="24" w:space="4" w:color="000000"/>
          <w:bottom w:val="single" w:sz="24" w:space="1" w:color="000000"/>
          <w:right w:val="single" w:sz="24" w:space="4" w:color="000000"/>
        </w:pBdr>
        <w:jc w:val="center"/>
        <w:rPr/>
      </w:pPr>
      <w:r>
        <w:rPr>
          <w:rFonts w:cs="Arial" w:ascii="Arial" w:hAnsi="Arial"/>
          <w:b/>
          <w:bCs/>
          <w:i/>
          <w:iCs/>
        </w:rPr>
        <w:t>NEGOCIATION ANNUELLE OBLIGATOIRE 2022 DE L’U.E.S. DARTY GRAND OUEST</w:t>
      </w:r>
    </w:p>
    <w:p>
      <w:pPr>
        <w:pStyle w:val="Normal"/>
        <w:jc w:val="both"/>
        <w:rPr>
          <w:rFonts w:ascii="Arial" w:hAnsi="Arial" w:cs="Arial"/>
          <w:b/>
          <w:b/>
          <w:bCs/>
          <w:i/>
          <w:i/>
          <w:iCs/>
          <w:sz w:val="20"/>
        </w:rPr>
      </w:pPr>
      <w:r>
        <w:rPr>
          <w:rFonts w:cs="Arial" w:ascii="Arial" w:hAnsi="Arial"/>
          <w:b/>
          <w:bCs/>
          <w:i/>
          <w:iCs/>
          <w:sz w:val="20"/>
        </w:rPr>
      </w:r>
    </w:p>
    <w:p>
      <w:pPr>
        <w:pStyle w:val="Normal"/>
        <w:jc w:val="both"/>
        <w:rPr>
          <w:rFonts w:ascii="Arial" w:hAnsi="Arial" w:cs="Arial"/>
          <w:bCs/>
          <w:i/>
          <w:i/>
          <w:iCs/>
          <w:sz w:val="20"/>
        </w:rPr>
      </w:pPr>
      <w:r>
        <w:rPr>
          <w:rFonts w:cs="Arial" w:ascii="Arial" w:hAnsi="Arial"/>
          <w:bCs/>
          <w:i/>
          <w:iCs/>
          <w:sz w:val="20"/>
        </w:rPr>
      </w:r>
    </w:p>
    <w:p>
      <w:pPr>
        <w:pStyle w:val="Contents1"/>
        <w:rPr>
          <w:rFonts w:ascii="Calibri" w:hAnsi="Calibri" w:cs="Calibri"/>
          <w:sz w:val="22"/>
          <w:szCs w:val="22"/>
          <w:lang w:val="en-GB" w:eastAsia="en-GB"/>
        </w:rPr>
      </w:pPr>
      <w:r>
        <w:fldChar w:fldCharType="begin"/>
      </w:r>
      <w:r>
        <w:instrText> TOC \o "1-3" \h \z \u </w:instrText>
      </w:r>
      <w:r>
        <w:fldChar w:fldCharType="separate"/>
      </w:r>
      <w:hyperlink w:anchor="__RefHeading___Toc102027988">
        <w:r>
          <w:rPr>
            <w:rStyle w:val="IndexLink"/>
            <w:rFonts w:cs="Arial"/>
            <w:lang w:val="en-GB" w:eastAsia="en-GB"/>
          </w:rPr>
          <w:t>Préambule</w:t>
          <w:tab/>
          <w:t>3</w:t>
        </w:r>
      </w:hyperlink>
    </w:p>
    <w:p>
      <w:pPr>
        <w:pStyle w:val="Contents1"/>
        <w:rPr>
          <w:rFonts w:ascii="Calibri" w:hAnsi="Calibri" w:cs="Calibri"/>
          <w:sz w:val="22"/>
          <w:szCs w:val="22"/>
          <w:lang w:val="en-GB" w:eastAsia="en-GB"/>
        </w:rPr>
      </w:pPr>
      <w:hyperlink w:anchor="__RefHeading___Toc102027989">
        <w:r>
          <w:rPr>
            <w:rStyle w:val="IndexLink"/>
            <w:lang w:val="en-GB" w:eastAsia="en-GB"/>
          </w:rPr>
          <w:t>Article I – Champ d’application</w:t>
          <w:tab/>
          <w:t>3</w:t>
        </w:r>
      </w:hyperlink>
    </w:p>
    <w:p>
      <w:pPr>
        <w:pStyle w:val="Contents1"/>
        <w:rPr>
          <w:rFonts w:ascii="Calibri" w:hAnsi="Calibri" w:cs="Calibri"/>
          <w:sz w:val="22"/>
          <w:szCs w:val="22"/>
          <w:lang w:val="en-GB" w:eastAsia="en-GB"/>
        </w:rPr>
      </w:pPr>
      <w:hyperlink w:anchor="__RefHeading___Toc102027990">
        <w:r>
          <w:rPr>
            <w:rStyle w:val="IndexLink"/>
            <w:lang w:val="en-GB" w:eastAsia="en-GB"/>
          </w:rPr>
          <w:t>Article II – Durée de l’accord</w:t>
          <w:tab/>
          <w:t>3</w:t>
        </w:r>
      </w:hyperlink>
    </w:p>
    <w:p>
      <w:pPr>
        <w:pStyle w:val="Contents1"/>
        <w:rPr>
          <w:rFonts w:ascii="Calibri" w:hAnsi="Calibri" w:cs="Calibri"/>
          <w:sz w:val="22"/>
          <w:szCs w:val="22"/>
          <w:lang w:val="en-GB" w:eastAsia="en-GB"/>
        </w:rPr>
      </w:pPr>
      <w:hyperlink w:anchor="__RefHeading___Toc102027991">
        <w:r>
          <w:rPr>
            <w:rStyle w:val="IndexLink"/>
            <w:lang w:val="en-GB" w:eastAsia="en-GB"/>
          </w:rPr>
          <w:t>Article III – Objet de l’accord</w:t>
          <w:tab/>
          <w:t>3</w:t>
        </w:r>
      </w:hyperlink>
    </w:p>
    <w:p>
      <w:pPr>
        <w:pStyle w:val="Contents1"/>
        <w:rPr>
          <w:rFonts w:ascii="Calibri" w:hAnsi="Calibri" w:cs="Calibri"/>
          <w:sz w:val="22"/>
          <w:szCs w:val="22"/>
          <w:lang w:val="en-GB" w:eastAsia="en-GB"/>
        </w:rPr>
      </w:pPr>
      <w:hyperlink w:anchor="__RefHeading___Toc102027992">
        <w:r>
          <w:rPr>
            <w:rStyle w:val="IndexLink"/>
            <w:lang w:val="en-GB" w:eastAsia="en-GB"/>
          </w:rPr>
          <w:t>Article IV – Poursuite du dialogue social</w:t>
          <w:tab/>
          <w:t>4</w:t>
        </w:r>
      </w:hyperlink>
    </w:p>
    <w:p>
      <w:pPr>
        <w:pStyle w:val="Contents1"/>
        <w:rPr>
          <w:rFonts w:ascii="Calibri" w:hAnsi="Calibri" w:cs="Calibri"/>
          <w:sz w:val="22"/>
          <w:szCs w:val="22"/>
          <w:lang w:val="en-GB" w:eastAsia="en-GB"/>
        </w:rPr>
      </w:pPr>
      <w:hyperlink w:anchor="__RefHeading___Toc102027993">
        <w:r>
          <w:rPr>
            <w:rStyle w:val="IndexLink"/>
            <w:lang w:val="en-GB" w:eastAsia="en-GB"/>
          </w:rPr>
          <w:t>Article V – Salaires et emploi</w:t>
          <w:tab/>
          <w:t>5</w:t>
        </w:r>
      </w:hyperlink>
    </w:p>
    <w:p>
      <w:pPr>
        <w:pStyle w:val="Contents1"/>
        <w:rPr>
          <w:rFonts w:ascii="Calibri" w:hAnsi="Calibri" w:cs="Calibri"/>
          <w:sz w:val="22"/>
          <w:szCs w:val="22"/>
          <w:lang w:val="en-GB" w:eastAsia="en-GB"/>
        </w:rPr>
      </w:pPr>
      <w:hyperlink w:anchor="__RefHeading___Toc102027994">
        <w:r>
          <w:rPr>
            <w:rStyle w:val="IndexLink"/>
            <w:lang w:val="en-GB" w:eastAsia="en-GB"/>
          </w:rPr>
          <w:t>Article VI – Modification des motifs d’absences donnant lieu à l’abattement de  la prime de fin d’année</w:t>
          <w:tab/>
          <w:t>7</w:t>
        </w:r>
      </w:hyperlink>
    </w:p>
    <w:p>
      <w:pPr>
        <w:pStyle w:val="Contents1"/>
        <w:rPr>
          <w:rFonts w:ascii="Calibri" w:hAnsi="Calibri" w:cs="Calibri"/>
          <w:sz w:val="22"/>
          <w:szCs w:val="22"/>
          <w:lang w:val="en-GB" w:eastAsia="en-GB"/>
        </w:rPr>
      </w:pPr>
      <w:hyperlink w:anchor="__RefHeading___Toc102027995">
        <w:r>
          <w:rPr>
            <w:rStyle w:val="IndexLink"/>
            <w:lang w:val="en-GB" w:eastAsia="en-GB"/>
          </w:rPr>
          <w:t>Article VII – Qualité de vie au travail</w:t>
          <w:tab/>
          <w:t>7</w:t>
        </w:r>
      </w:hyperlink>
    </w:p>
    <w:p>
      <w:pPr>
        <w:pStyle w:val="Contents1"/>
        <w:rPr>
          <w:rFonts w:ascii="Calibri" w:hAnsi="Calibri" w:cs="Calibri"/>
          <w:sz w:val="22"/>
          <w:szCs w:val="22"/>
          <w:lang w:val="en-GB" w:eastAsia="en-GB"/>
        </w:rPr>
      </w:pPr>
      <w:hyperlink w:anchor="__RefHeading___Toc102027996">
        <w:r>
          <w:rPr>
            <w:rStyle w:val="IndexLink"/>
            <w:lang w:val="en-GB" w:eastAsia="en-GB"/>
          </w:rPr>
          <w:t>Article VIII – Prime d’installation en cas de mobilité</w:t>
          <w:tab/>
          <w:t>7</w:t>
        </w:r>
      </w:hyperlink>
    </w:p>
    <w:p>
      <w:pPr>
        <w:pStyle w:val="Contents1"/>
        <w:rPr>
          <w:rFonts w:ascii="Calibri" w:hAnsi="Calibri" w:cs="Calibri"/>
          <w:sz w:val="22"/>
          <w:szCs w:val="22"/>
          <w:lang w:val="en-GB" w:eastAsia="en-GB"/>
        </w:rPr>
      </w:pPr>
      <w:hyperlink w:anchor="__RefHeading___Toc102027997">
        <w:r>
          <w:rPr>
            <w:rStyle w:val="IndexLink"/>
            <w:lang w:val="en-GB" w:eastAsia="en-GB"/>
          </w:rPr>
          <w:t>Article IX – Congés pour évènements familiaux</w:t>
          <w:tab/>
          <w:t>7</w:t>
        </w:r>
      </w:hyperlink>
    </w:p>
    <w:p>
      <w:pPr>
        <w:pStyle w:val="Contents1"/>
        <w:rPr>
          <w:rFonts w:ascii="Calibri" w:hAnsi="Calibri" w:cs="Calibri"/>
          <w:sz w:val="22"/>
          <w:szCs w:val="22"/>
          <w:lang w:val="en-GB" w:eastAsia="en-GB"/>
        </w:rPr>
      </w:pPr>
      <w:hyperlink w:anchor="__RefHeading___Toc102027998">
        <w:r>
          <w:rPr>
            <w:rStyle w:val="IndexLink"/>
            <w:lang w:val="en-GB" w:eastAsia="en-GB"/>
          </w:rPr>
          <w:t>Article X – Modification du mode de gratifications servies à l'occasion de la médaille du travail</w:t>
          <w:tab/>
          <w:t>8</w:t>
        </w:r>
      </w:hyperlink>
    </w:p>
    <w:p>
      <w:pPr>
        <w:pStyle w:val="Contents1"/>
        <w:rPr>
          <w:rFonts w:ascii="Calibri" w:hAnsi="Calibri" w:cs="Calibri"/>
          <w:sz w:val="22"/>
          <w:szCs w:val="22"/>
          <w:lang w:val="en-GB" w:eastAsia="en-GB"/>
        </w:rPr>
      </w:pPr>
      <w:hyperlink w:anchor="__RefHeading___Toc102027999">
        <w:r>
          <w:rPr>
            <w:rStyle w:val="IndexLink"/>
            <w:lang w:val="en-GB" w:eastAsia="en-GB"/>
          </w:rPr>
          <w:t>Article XII – Date d’application de l’accord</w:t>
          <w:tab/>
          <w:t>8</w:t>
        </w:r>
      </w:hyperlink>
    </w:p>
    <w:p>
      <w:pPr>
        <w:pStyle w:val="Contents1"/>
        <w:rPr>
          <w:rFonts w:ascii="Calibri" w:hAnsi="Calibri" w:cs="Calibri"/>
          <w:sz w:val="22"/>
          <w:szCs w:val="22"/>
          <w:lang w:val="en-GB" w:eastAsia="en-GB"/>
        </w:rPr>
      </w:pPr>
      <w:hyperlink w:anchor="__RefHeading___Toc102028000">
        <w:r>
          <w:rPr>
            <w:rStyle w:val="IndexLink"/>
            <w:lang w:val="en-GB" w:eastAsia="en-GB"/>
          </w:rPr>
          <w:t>Article XIII – Dépôt et publicité de l’accord</w:t>
          <w:tab/>
          <w:t>8</w:t>
        </w:r>
      </w:hyperlink>
      <w:r>
        <w:fldChar w:fldCharType="end"/>
      </w:r>
    </w:p>
    <w:p>
      <w:pPr>
        <w:pStyle w:val="Normal"/>
        <w:tabs>
          <w:tab w:val="left" w:pos="3100" w:leader="none"/>
        </w:tabs>
        <w:spacing w:lineRule="auto" w:line="360"/>
        <w:jc w:val="both"/>
        <w:rPr>
          <w:rFonts w:ascii="Arial" w:hAnsi="Arial" w:cs="Arial"/>
          <w:sz w:val="20"/>
        </w:rPr>
      </w:pPr>
      <w:r>
        <w:rPr>
          <w:rFonts w:cs="Arial" w:ascii="Arial" w:hAnsi="Arial"/>
          <w:sz w:val="20"/>
        </w:rPr>
        <w:tab/>
      </w:r>
      <w:r>
        <w:br w:type="page"/>
      </w:r>
    </w:p>
    <w:p>
      <w:pPr>
        <w:pStyle w:val="Normal"/>
        <w:jc w:val="both"/>
        <w:rPr>
          <w:rFonts w:ascii="Arial" w:hAnsi="Arial" w:cs="Arial"/>
          <w:b/>
          <w:b/>
          <w:sz w:val="20"/>
        </w:rPr>
      </w:pPr>
      <w:r>
        <w:rPr>
          <w:rFonts w:cs="Arial" w:ascii="Arial" w:hAnsi="Arial"/>
          <w:b/>
          <w:bCs/>
          <w:sz w:val="20"/>
        </w:rPr>
        <w:t>Entre les soussignés</w:t>
      </w:r>
    </w:p>
    <w:p>
      <w:pPr>
        <w:pStyle w:val="Normal"/>
        <w:autoSpaceDE w:val="false"/>
        <w:jc w:val="both"/>
        <w:rPr>
          <w:rFonts w:ascii="Arial" w:hAnsi="Arial" w:cs="Arial"/>
          <w:b/>
          <w:b/>
          <w:sz w:val="20"/>
        </w:rPr>
      </w:pPr>
      <w:r>
        <w:rPr>
          <w:rFonts w:cs="Arial" w:ascii="Arial" w:hAnsi="Arial"/>
          <w:b/>
          <w:sz w:val="20"/>
        </w:rPr>
      </w:r>
    </w:p>
    <w:p>
      <w:pPr>
        <w:pStyle w:val="Normal"/>
        <w:tabs>
          <w:tab w:val="left" w:pos="1276" w:leader="none"/>
          <w:tab w:val="left" w:pos="6663" w:leader="none"/>
        </w:tabs>
        <w:jc w:val="both"/>
        <w:rPr>
          <w:rFonts w:ascii="Arial" w:hAnsi="Arial" w:cs="Arial"/>
          <w:bCs/>
          <w:sz w:val="20"/>
        </w:rPr>
      </w:pPr>
      <w:r>
        <w:rPr>
          <w:rFonts w:cs="Arial" w:ascii="Arial" w:hAnsi="Arial"/>
          <w:bCs/>
          <w:sz w:val="20"/>
        </w:rPr>
        <w:t>La société DARTY GRAND OUEST dont le siège social est situé 32 rue de Coulongé – BP 31525 - 44315 Nantes Cedex 3;</w:t>
      </w:r>
    </w:p>
    <w:p>
      <w:pPr>
        <w:pStyle w:val="Normal"/>
        <w:tabs>
          <w:tab w:val="left" w:pos="1276" w:leader="none"/>
          <w:tab w:val="left" w:pos="6663" w:leader="none"/>
        </w:tabs>
        <w:jc w:val="both"/>
        <w:rPr>
          <w:rFonts w:ascii="Arial" w:hAnsi="Arial" w:cs="Arial"/>
          <w:bCs/>
          <w:sz w:val="20"/>
        </w:rPr>
      </w:pPr>
      <w:r>
        <w:rPr>
          <w:rFonts w:cs="Arial" w:ascii="Arial" w:hAnsi="Arial"/>
          <w:bCs/>
          <w:sz w:val="20"/>
        </w:rPr>
      </w:r>
    </w:p>
    <w:p>
      <w:pPr>
        <w:pStyle w:val="Normal"/>
        <w:tabs>
          <w:tab w:val="left" w:pos="1276" w:leader="none"/>
          <w:tab w:val="left" w:pos="6663" w:leader="none"/>
        </w:tabs>
        <w:jc w:val="both"/>
        <w:rPr>
          <w:rFonts w:ascii="Arial" w:hAnsi="Arial" w:cs="Arial"/>
          <w:b/>
          <w:b/>
          <w:bCs/>
          <w:sz w:val="20"/>
        </w:rPr>
      </w:pPr>
      <w:r>
        <w:rPr>
          <w:rFonts w:cs="Arial" w:ascii="Arial" w:hAnsi="Arial"/>
          <w:b/>
          <w:bCs/>
          <w:sz w:val="20"/>
        </w:rPr>
        <w:t>Et</w:t>
      </w:r>
    </w:p>
    <w:p>
      <w:pPr>
        <w:pStyle w:val="Normal"/>
        <w:tabs>
          <w:tab w:val="left" w:pos="1276" w:leader="none"/>
          <w:tab w:val="left" w:pos="6663" w:leader="none"/>
        </w:tabs>
        <w:jc w:val="both"/>
        <w:rPr>
          <w:rFonts w:ascii="Arial" w:hAnsi="Arial" w:cs="Arial"/>
          <w:b/>
          <w:b/>
          <w:bCs/>
          <w:sz w:val="20"/>
        </w:rPr>
      </w:pPr>
      <w:r>
        <w:rPr>
          <w:rFonts w:cs="Arial" w:ascii="Arial" w:hAnsi="Arial"/>
          <w:b/>
          <w:bCs/>
          <w:sz w:val="20"/>
        </w:rPr>
      </w:r>
    </w:p>
    <w:p>
      <w:pPr>
        <w:pStyle w:val="Normal"/>
        <w:tabs>
          <w:tab w:val="left" w:pos="1276" w:leader="none"/>
          <w:tab w:val="left" w:pos="6663" w:leader="none"/>
        </w:tabs>
        <w:jc w:val="both"/>
        <w:rPr>
          <w:rFonts w:ascii="Arial" w:hAnsi="Arial" w:cs="Arial"/>
          <w:bCs/>
          <w:sz w:val="20"/>
        </w:rPr>
      </w:pPr>
      <w:r>
        <w:rPr>
          <w:rFonts w:cs="Arial" w:ascii="Arial" w:hAnsi="Arial"/>
          <w:bCs/>
          <w:sz w:val="20"/>
        </w:rPr>
        <w:t>La société A2I DARTY OUEST dont le siège social est situé 32 rue de Coulongé - 44300 Nantes ;</w:t>
      </w:r>
    </w:p>
    <w:p>
      <w:pPr>
        <w:pStyle w:val="Normal"/>
        <w:tabs>
          <w:tab w:val="left" w:pos="1276" w:leader="none"/>
          <w:tab w:val="left" w:pos="6663" w:leader="none"/>
        </w:tabs>
        <w:jc w:val="both"/>
        <w:rPr>
          <w:rFonts w:ascii="Arial" w:hAnsi="Arial" w:cs="Arial"/>
          <w:bCs/>
          <w:sz w:val="20"/>
        </w:rPr>
      </w:pPr>
      <w:r>
        <w:rPr>
          <w:rFonts w:cs="Arial" w:ascii="Arial" w:hAnsi="Arial"/>
          <w:bCs/>
          <w:sz w:val="20"/>
        </w:rPr>
      </w:r>
    </w:p>
    <w:p>
      <w:pPr>
        <w:pStyle w:val="Normal"/>
        <w:autoSpaceDE w:val="false"/>
        <w:jc w:val="both"/>
        <w:rPr>
          <w:rFonts w:ascii="Arial" w:hAnsi="Arial" w:cs="Arial"/>
          <w:b/>
          <w:b/>
          <w:bCs/>
          <w:sz w:val="20"/>
        </w:rPr>
      </w:pPr>
      <w:r>
        <w:rPr>
          <w:rFonts w:cs="Arial" w:ascii="Arial" w:hAnsi="Arial"/>
          <w:b/>
          <w:bCs/>
          <w:sz w:val="20"/>
        </w:rPr>
      </w:r>
    </w:p>
    <w:p>
      <w:pPr>
        <w:pStyle w:val="Normal"/>
        <w:autoSpaceDE w:val="false"/>
        <w:jc w:val="both"/>
        <w:rPr>
          <w:rFonts w:ascii="Arial" w:hAnsi="Arial" w:cs="Arial"/>
          <w:b/>
          <w:b/>
          <w:bCs/>
          <w:sz w:val="20"/>
        </w:rPr>
      </w:pPr>
      <w:r>
        <w:rPr>
          <w:rFonts w:cs="Arial" w:ascii="Arial" w:hAnsi="Arial"/>
          <w:b/>
          <w:bCs/>
          <w:sz w:val="20"/>
        </w:rPr>
        <w:t xml:space="preserve">Représentées par monsieur </w:t>
      </w:r>
    </w:p>
    <w:p>
      <w:pPr>
        <w:pStyle w:val="Normal"/>
        <w:autoSpaceDE w:val="false"/>
        <w:jc w:val="both"/>
        <w:rPr>
          <w:rFonts w:ascii="Arial" w:hAnsi="Arial" w:cs="Arial"/>
          <w:b/>
          <w:b/>
          <w:bCs/>
          <w:sz w:val="20"/>
        </w:rPr>
      </w:pPr>
      <w:r>
        <w:rPr>
          <w:rFonts w:cs="Arial" w:ascii="Arial" w:hAnsi="Arial"/>
          <w:b/>
          <w:bCs/>
          <w:sz w:val="20"/>
        </w:rPr>
      </w:r>
    </w:p>
    <w:p>
      <w:pPr>
        <w:pStyle w:val="Normal"/>
        <w:autoSpaceDE w:val="false"/>
        <w:ind w:left="3686" w:hanging="0"/>
        <w:jc w:val="both"/>
        <w:rPr/>
      </w:pPr>
      <w:r>
        <w:rPr>
          <w:rFonts w:cs="Arial" w:ascii="Arial" w:hAnsi="Arial"/>
          <w:b/>
          <w:bCs/>
          <w:sz w:val="20"/>
        </w:rPr>
        <w:t xml:space="preserve">Ci-après dénommées « U.E.S </w:t>
      </w:r>
      <w:r>
        <w:rPr>
          <w:rFonts w:cs="Arial" w:ascii="Arial" w:hAnsi="Arial"/>
          <w:b/>
          <w:bCs/>
          <w:smallCaps/>
          <w:sz w:val="20"/>
        </w:rPr>
        <w:t>DARTY</w:t>
      </w:r>
      <w:r>
        <w:rPr>
          <w:rFonts w:cs="Arial" w:ascii="Arial" w:hAnsi="Arial"/>
          <w:b/>
          <w:bCs/>
          <w:sz w:val="20"/>
        </w:rPr>
        <w:t> </w:t>
      </w:r>
      <w:r>
        <w:rPr>
          <w:rFonts w:cs="Arial" w:ascii="Arial" w:hAnsi="Arial"/>
          <w:b/>
          <w:bCs/>
          <w:smallCaps/>
          <w:sz w:val="20"/>
        </w:rPr>
        <w:t>GRAND OUEST</w:t>
      </w:r>
      <w:r>
        <w:rPr>
          <w:rFonts w:cs="Arial" w:ascii="Arial" w:hAnsi="Arial"/>
          <w:b/>
          <w:bCs/>
          <w:sz w:val="20"/>
        </w:rPr>
        <w:t>»</w:t>
      </w:r>
    </w:p>
    <w:p>
      <w:pPr>
        <w:pStyle w:val="Normal"/>
        <w:autoSpaceDE w:val="false"/>
        <w:ind w:left="3686" w:hanging="0"/>
        <w:jc w:val="both"/>
        <w:rPr>
          <w:rFonts w:ascii="Arial" w:hAnsi="Arial" w:cs="Arial"/>
          <w:b/>
          <w:b/>
          <w:bCs/>
          <w:sz w:val="20"/>
        </w:rPr>
      </w:pPr>
      <w:r>
        <w:rPr>
          <w:rFonts w:cs="Arial" w:ascii="Arial" w:hAnsi="Arial"/>
          <w:b/>
          <w:bCs/>
          <w:sz w:val="20"/>
        </w:rPr>
        <w:t xml:space="preserve">D’une part, </w:t>
      </w:r>
    </w:p>
    <w:p>
      <w:pPr>
        <w:pStyle w:val="Normal"/>
        <w:autoSpaceDE w:val="false"/>
        <w:jc w:val="both"/>
        <w:rPr>
          <w:rFonts w:ascii="Arial" w:hAnsi="Arial" w:cs="Arial"/>
          <w:b/>
          <w:b/>
          <w:bCs/>
          <w:sz w:val="20"/>
        </w:rPr>
      </w:pPr>
      <w:r>
        <w:rPr>
          <w:rFonts w:cs="Arial" w:ascii="Arial" w:hAnsi="Arial"/>
          <w:b/>
          <w:bCs/>
          <w:sz w:val="20"/>
        </w:rPr>
      </w:r>
    </w:p>
    <w:p>
      <w:pPr>
        <w:pStyle w:val="Normal"/>
        <w:autoSpaceDE w:val="false"/>
        <w:jc w:val="both"/>
        <w:rPr>
          <w:rFonts w:ascii="Arial" w:hAnsi="Arial" w:cs="Arial"/>
          <w:b/>
          <w:b/>
          <w:bCs/>
          <w:sz w:val="20"/>
        </w:rPr>
      </w:pPr>
      <w:r>
        <w:rPr>
          <w:rFonts w:cs="Arial" w:ascii="Arial" w:hAnsi="Arial"/>
          <w:b/>
          <w:bCs/>
          <w:sz w:val="20"/>
        </w:rPr>
        <w:t xml:space="preserve">Et </w:t>
      </w:r>
    </w:p>
    <w:p>
      <w:pPr>
        <w:pStyle w:val="Normal"/>
        <w:autoSpaceDE w:val="false"/>
        <w:jc w:val="both"/>
        <w:rPr>
          <w:rFonts w:ascii="Arial" w:hAnsi="Arial" w:cs="Arial"/>
          <w:b/>
          <w:b/>
          <w:bCs/>
          <w:sz w:val="20"/>
        </w:rPr>
      </w:pPr>
      <w:r>
        <w:rPr>
          <w:rFonts w:cs="Arial" w:ascii="Arial" w:hAnsi="Arial"/>
          <w:b/>
          <w:bCs/>
          <w:sz w:val="20"/>
        </w:rPr>
      </w:r>
    </w:p>
    <w:p>
      <w:pPr>
        <w:pStyle w:val="Normal"/>
        <w:autoSpaceDE w:val="false"/>
        <w:jc w:val="both"/>
        <w:rPr/>
      </w:pPr>
      <w:r>
        <w:rPr>
          <w:rFonts w:cs="Arial" w:ascii="Arial" w:hAnsi="Arial"/>
          <w:bCs/>
          <w:sz w:val="20"/>
        </w:rPr>
        <w:t>L</w:t>
      </w:r>
      <w:r>
        <w:rPr>
          <w:rFonts w:cs="Arial" w:ascii="Arial" w:hAnsi="Arial"/>
          <w:sz w:val="20"/>
        </w:rPr>
        <w:t>es organisations syndicales représentatives suivantes au niveau de l’</w:t>
      </w:r>
      <w:r>
        <w:rPr>
          <w:rFonts w:cs="Arial" w:ascii="Arial" w:hAnsi="Arial"/>
          <w:smallCaps/>
          <w:sz w:val="20"/>
        </w:rPr>
        <w:t>u.e.s</w:t>
      </w:r>
      <w:r>
        <w:rPr>
          <w:rFonts w:cs="Arial" w:ascii="Arial" w:hAnsi="Arial"/>
          <w:sz w:val="20"/>
        </w:rPr>
        <w:t xml:space="preserve">. susvisée, </w:t>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La C.F.D.T.,</w:t>
      </w:r>
      <w:r>
        <w:rPr>
          <w:rFonts w:cs="Arial" w:ascii="Arial" w:hAnsi="Arial"/>
          <w:sz w:val="20"/>
        </w:rPr>
        <w:t xml:space="preserve"> représentée par </w:t>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pPr>
      <w:r>
        <w:rPr>
          <w:rFonts w:cs="Arial" w:ascii="Arial" w:hAnsi="Arial"/>
          <w:b/>
          <w:sz w:val="20"/>
        </w:rPr>
        <w:t>La C.F.E.-C.G.C.,</w:t>
      </w:r>
      <w:r>
        <w:rPr>
          <w:rFonts w:cs="Arial" w:ascii="Arial" w:hAnsi="Arial"/>
          <w:sz w:val="20"/>
        </w:rPr>
        <w:t xml:space="preserve"> représentée par </w:t>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La C.F.T.C.,</w:t>
      </w:r>
      <w:r>
        <w:rPr>
          <w:rFonts w:cs="Arial" w:ascii="Arial" w:hAnsi="Arial"/>
          <w:sz w:val="20"/>
        </w:rPr>
        <w:t xml:space="preserve"> représentée par </w:t>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La C.G.T,</w:t>
      </w:r>
      <w:r>
        <w:rPr>
          <w:rFonts w:cs="Arial" w:ascii="Arial" w:hAnsi="Arial"/>
          <w:sz w:val="20"/>
        </w:rPr>
        <w:t xml:space="preserve"> représentée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b/>
          <w:sz w:val="20"/>
        </w:rPr>
        <w:t>Le S.L.</w:t>
      </w:r>
      <w:r>
        <w:rPr>
          <w:rFonts w:cs="Arial" w:ascii="Arial" w:hAnsi="Arial"/>
          <w:sz w:val="20"/>
        </w:rPr>
        <w:t xml:space="preserve">, représenté par </w:t>
      </w:r>
    </w:p>
    <w:p>
      <w:pPr>
        <w:pStyle w:val="Normal"/>
        <w:autoSpaceDE w:val="false"/>
        <w:jc w:val="both"/>
        <w:rPr>
          <w:rFonts w:ascii="Arial" w:hAnsi="Arial" w:cs="Arial"/>
          <w:b/>
          <w:b/>
          <w:bCs/>
          <w:sz w:val="20"/>
        </w:rPr>
      </w:pPr>
      <w:r>
        <w:rPr>
          <w:rFonts w:cs="Arial" w:ascii="Arial" w:hAnsi="Arial"/>
          <w:b/>
          <w:bCs/>
          <w:sz w:val="20"/>
        </w:rPr>
      </w:r>
    </w:p>
    <w:p>
      <w:pPr>
        <w:pStyle w:val="Normal"/>
        <w:autoSpaceDE w:val="false"/>
        <w:ind w:left="3686" w:hanging="0"/>
        <w:jc w:val="both"/>
        <w:rPr>
          <w:rFonts w:ascii="Arial" w:hAnsi="Arial" w:cs="Arial"/>
          <w:b/>
          <w:b/>
          <w:bCs/>
          <w:sz w:val="20"/>
        </w:rPr>
      </w:pPr>
      <w:r>
        <w:rPr>
          <w:rFonts w:cs="Arial" w:ascii="Arial" w:hAnsi="Arial"/>
          <w:b/>
          <w:bCs/>
          <w:sz w:val="20"/>
        </w:rPr>
        <w:t xml:space="preserve">D’autre part, </w:t>
      </w:r>
    </w:p>
    <w:p>
      <w:pPr>
        <w:pStyle w:val="Normal"/>
        <w:autoSpaceDE w:val="false"/>
        <w:ind w:left="3686" w:hanging="0"/>
        <w:jc w:val="both"/>
        <w:rPr>
          <w:rFonts w:ascii="Arial" w:hAnsi="Arial" w:cs="Arial"/>
          <w:b/>
          <w:b/>
          <w:bCs/>
          <w:sz w:val="20"/>
        </w:rPr>
      </w:pPr>
      <w:r>
        <w:rPr>
          <w:rFonts w:cs="Arial" w:ascii="Arial" w:hAnsi="Arial"/>
          <w:b/>
          <w:bCs/>
          <w:sz w:val="20"/>
        </w:rPr>
      </w:r>
    </w:p>
    <w:p>
      <w:pPr>
        <w:pStyle w:val="Normal"/>
        <w:jc w:val="both"/>
        <w:rPr>
          <w:rFonts w:ascii="Arial" w:hAnsi="Arial" w:cs="Arial"/>
          <w:b/>
          <w:b/>
          <w:bCs/>
          <w:sz w:val="20"/>
        </w:rPr>
      </w:pPr>
      <w:r>
        <w:rPr>
          <w:rFonts w:cs="Arial" w:ascii="Arial" w:hAnsi="Arial"/>
          <w:b/>
          <w:bCs/>
          <w:sz w:val="20"/>
        </w:rPr>
      </w:r>
    </w:p>
    <w:p>
      <w:pPr>
        <w:pStyle w:val="Normal"/>
        <w:jc w:val="both"/>
        <w:rPr/>
      </w:pPr>
      <w:r>
        <w:rPr>
          <w:rFonts w:cs="Arial" w:ascii="Arial" w:hAnsi="Arial"/>
          <w:sz w:val="20"/>
        </w:rPr>
        <w:t>Il a été convenu et arrêté les dispositions suivantes :</w:t>
      </w:r>
      <w:r>
        <w:br w:type="page"/>
      </w:r>
    </w:p>
    <w:p>
      <w:pPr>
        <w:pStyle w:val="Heading1"/>
        <w:numPr>
          <w:ilvl w:val="0"/>
          <w:numId w:val="1"/>
        </w:numPr>
        <w:rPr/>
      </w:pPr>
      <w:bookmarkStart w:id="0" w:name="__RefHeading___Toc102027988"/>
      <w:bookmarkEnd w:id="0"/>
      <w:r>
        <w:rPr/>
        <w:t>Préambule</w:t>
      </w:r>
    </w:p>
    <w:p>
      <w:pPr>
        <w:pStyle w:val="Normal"/>
        <w:rPr>
          <w:rFonts w:ascii="Arial" w:hAnsi="Arial" w:cs="Arial"/>
          <w:sz w:val="20"/>
        </w:rPr>
      </w:pPr>
      <w:r>
        <w:rPr>
          <w:rFonts w:cs="Arial" w:ascii="Arial" w:hAnsi="Arial"/>
          <w:sz w:val="20"/>
        </w:rPr>
      </w:r>
    </w:p>
    <w:p>
      <w:pPr>
        <w:pStyle w:val="Normal"/>
        <w:jc w:val="both"/>
        <w:rPr/>
      </w:pPr>
      <w:r>
        <w:rPr>
          <w:rFonts w:cs="Arial" w:ascii="Arial" w:hAnsi="Arial"/>
          <w:sz w:val="20"/>
        </w:rPr>
        <w:t>Les Délégations syndicales et la Direction générale de l’entreprise se sont rencontrées, à l’initiative de cette dernière, dans le cadre de l’article L. 2242-1 et suivants du Code du travail.</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Le présent accord d’entreprise constitue une synthèse à titre principal des quatre réunions plénières qui se sont tenues les 25 février, 11 mars, 24 mars et 12 avril 2022.</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 xml:space="preserve">Elles se sont déroulées sur la base des documents communiqués par la Direction. </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A l’issue des négociations, les parties signataires sont convenues de concrétiser leur accord selon les dispositions suivantes.</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L’ensemble des nouveaux avantages et normes supplémentaires qu’institue le présent accord, constitue un tout indivisible, ceux-ci ayant été consentis les uns en contrepartie des autres.</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La comparaison entre le présent accord et les avantages de la convention collective nationale de la profession se fera, de ce fait, globalement sur l’ensemble des avantages portant sur les mêmes objets ainsi que sur l’ensemble des salaires.</w:t>
      </w:r>
    </w:p>
    <w:p>
      <w:pPr>
        <w:pStyle w:val="Normal"/>
        <w:jc w:val="both"/>
        <w:rPr>
          <w:rFonts w:ascii="Arial" w:hAnsi="Arial" w:cs="Arial"/>
          <w:sz w:val="20"/>
        </w:rPr>
      </w:pPr>
      <w:r>
        <w:rPr>
          <w:rFonts w:cs="Arial" w:ascii="Arial" w:hAnsi="Arial"/>
          <w:sz w:val="20"/>
        </w:rPr>
      </w:r>
    </w:p>
    <w:p>
      <w:pPr>
        <w:pStyle w:val="Heading1"/>
        <w:numPr>
          <w:ilvl w:val="0"/>
          <w:numId w:val="1"/>
        </w:numPr>
        <w:rPr/>
      </w:pPr>
      <w:bookmarkStart w:id="1" w:name="__RefHeading___Toc102027989"/>
      <w:bookmarkEnd w:id="1"/>
      <w:r>
        <w:rPr/>
        <w:t>Article I – Champ d’application</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Le présent accord s’applique aux collaborateurs de l’ensemble des sites de l’U.E.S. Darty Grand Ouest.</w:t>
      </w:r>
    </w:p>
    <w:p>
      <w:pPr>
        <w:pStyle w:val="Normal"/>
        <w:jc w:val="both"/>
        <w:rPr>
          <w:rFonts w:ascii="Arial" w:hAnsi="Arial" w:cs="Arial"/>
          <w:sz w:val="20"/>
        </w:rPr>
      </w:pPr>
      <w:r>
        <w:rPr>
          <w:rFonts w:cs="Arial" w:ascii="Arial" w:hAnsi="Arial"/>
          <w:sz w:val="20"/>
        </w:rPr>
      </w:r>
    </w:p>
    <w:p>
      <w:pPr>
        <w:pStyle w:val="Heading1"/>
        <w:numPr>
          <w:ilvl w:val="0"/>
          <w:numId w:val="1"/>
        </w:numPr>
        <w:rPr/>
      </w:pPr>
      <w:bookmarkStart w:id="2" w:name="__RefHeading___Toc102027990"/>
      <w:bookmarkEnd w:id="2"/>
      <w:r>
        <w:rPr/>
        <w:t>Article II – Durée de l’accord</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Le présent accord est conclu pour une durée indéterminée.</w:t>
      </w:r>
    </w:p>
    <w:p>
      <w:pPr>
        <w:pStyle w:val="Normal"/>
        <w:jc w:val="both"/>
        <w:rPr>
          <w:rFonts w:ascii="Arial" w:hAnsi="Arial" w:cs="Arial"/>
          <w:sz w:val="20"/>
        </w:rPr>
      </w:pPr>
      <w:r>
        <w:rPr>
          <w:rFonts w:cs="Arial" w:ascii="Arial" w:hAnsi="Arial"/>
          <w:sz w:val="20"/>
        </w:rPr>
      </w:r>
    </w:p>
    <w:p>
      <w:pPr>
        <w:pStyle w:val="Heading1"/>
        <w:numPr>
          <w:ilvl w:val="0"/>
          <w:numId w:val="1"/>
        </w:numPr>
        <w:rPr/>
      </w:pPr>
      <w:bookmarkStart w:id="3" w:name="__RefHeading___Toc102027991"/>
      <w:bookmarkEnd w:id="3"/>
      <w:r>
        <w:rPr/>
        <w:t>Article III – Objet de l’accord</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Le présent accord est conclu en application des dispositions des articles L. 2242-1 et suivants du Code du travail dans le cadre de la négociation annuelle obligatoire.</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D’autres thèmes de négociation obligatoires ou facultatifs ont également été abordés et/ou ont fait l’objet de mesures distinctes :</w:t>
      </w:r>
    </w:p>
    <w:p>
      <w:pPr>
        <w:pStyle w:val="Normal"/>
        <w:jc w:val="both"/>
        <w:rPr>
          <w:rFonts w:ascii="Arial" w:hAnsi="Arial" w:cs="Arial"/>
          <w:sz w:val="20"/>
        </w:rPr>
      </w:pPr>
      <w:r>
        <w:rPr>
          <w:rFonts w:cs="Arial" w:ascii="Arial" w:hAnsi="Arial"/>
          <w:sz w:val="20"/>
        </w:rPr>
      </w:r>
    </w:p>
    <w:p>
      <w:pPr>
        <w:pStyle w:val="Normal"/>
        <w:autoSpaceDE w:val="false"/>
        <w:ind w:left="360" w:hanging="0"/>
        <w:jc w:val="both"/>
        <w:rPr>
          <w:rFonts w:ascii="Arial" w:hAnsi="Arial" w:cs="Arial"/>
          <w:sz w:val="20"/>
        </w:rPr>
      </w:pPr>
      <w:r>
        <w:rPr>
          <w:rFonts w:cs="Arial" w:ascii="Arial" w:hAnsi="Arial"/>
          <w:sz w:val="20"/>
        </w:rPr>
      </w:r>
    </w:p>
    <w:p>
      <w:pPr>
        <w:pStyle w:val="Normal"/>
        <w:numPr>
          <w:ilvl w:val="0"/>
          <w:numId w:val="3"/>
        </w:numPr>
        <w:jc w:val="both"/>
        <w:rPr/>
      </w:pPr>
      <w:r>
        <w:rPr>
          <w:rStyle w:val="Soussection"/>
          <w:rFonts w:cs="Arial" w:ascii="Arial" w:hAnsi="Arial"/>
          <w:b/>
          <w:bCs/>
          <w:sz w:val="20"/>
        </w:rPr>
        <w:t>Égalité professionnelle et temps partiel</w:t>
      </w:r>
    </w:p>
    <w:p>
      <w:pPr>
        <w:pStyle w:val="Normal"/>
        <w:jc w:val="both"/>
        <w:rPr>
          <w:rStyle w:val="Soussection"/>
          <w:rFonts w:ascii="Arial" w:hAnsi="Arial" w:cs="Arial"/>
          <w:b/>
          <w:b/>
          <w:bCs/>
          <w:sz w:val="20"/>
        </w:rPr>
      </w:pPr>
      <w:r>
        <w:rPr/>
      </w:r>
    </w:p>
    <w:p>
      <w:pPr>
        <w:pStyle w:val="Normal"/>
        <w:jc w:val="both"/>
        <w:rPr>
          <w:rFonts w:ascii="Arial" w:hAnsi="Arial" w:cs="Arial"/>
          <w:sz w:val="20"/>
        </w:rPr>
      </w:pPr>
      <w:r>
        <w:rPr>
          <w:rFonts w:cs="Arial" w:ascii="Arial" w:hAnsi="Arial"/>
          <w:sz w:val="20"/>
        </w:rPr>
        <w:t>En s’appuyant toujours sur le bilan de la situation comparée hommes / femmes, les parties constatent une sous-représentation de la population féminine au sein de l’encadrement magasin. Aussi, la Direction s’engage à poursuivre la féminisation des postes d’encadrement notamment en magasin et à maintenir la dynamique de féminisation dans les filières Intervention à domicile (I.A.D) et Livraison</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Conformément à l’Accord, le thème de négociation relatif aux objectifs et mesures permettant d’atteindre l’égalité professionnelle entre les femmes et les hommes, tel que visé à l’article L.2242-17 du Code du travail, sera négocié, pour tout ou partie, au niveau de l’UES DARTY GRAND OUEST au cours du 2</w:t>
      </w:r>
      <w:r>
        <w:rPr>
          <w:rFonts w:cs="Arial" w:ascii="Arial" w:hAnsi="Arial"/>
          <w:sz w:val="20"/>
          <w:vertAlign w:val="superscript"/>
        </w:rPr>
        <w:t>ème</w:t>
      </w:r>
      <w:r>
        <w:rPr>
          <w:rFonts w:cs="Arial" w:ascii="Arial" w:hAnsi="Arial"/>
          <w:sz w:val="20"/>
        </w:rPr>
        <w:t xml:space="preserve"> trimestre 2022</w:t>
      </w:r>
      <w:r>
        <w:rPr>
          <w:rFonts w:cs="Arial" w:ascii="Arial" w:hAnsi="Arial"/>
          <w:i/>
          <w:sz w:val="20"/>
        </w:rPr>
        <w:t>.</w:t>
      </w:r>
    </w:p>
    <w:p>
      <w:pPr>
        <w:pStyle w:val="Normal"/>
        <w:jc w:val="both"/>
        <w:rPr/>
      </w:pPr>
      <w:r>
        <w:rPr>
          <w:rFonts w:cs="Arial" w:ascii="Arial" w:hAnsi="Arial"/>
          <w:sz w:val="20"/>
        </w:rPr>
        <w:t>En effet, dans le cadre dudit accord, les parties ont convenues de définir des mesures pertinentes et transverses tendant à atteindre l’égalité professionnelle entre les femmes et les hommes.</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A ce titre, la Direction de la SNC DARTY GRAND OUEST s’engage à inviter les partenaires sociaux à négocier sur ce thème dans le cadre de la déclinaison des engagements pris par le Groupe FNAC DARTY et les Organisations Syndicales Représentatives au niveau dudit Groupe.</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Le nombre de salariés employés à temps partiel dans l’entreprise en 2021 était de 296 salariés dont 204 salariés contrats étudiants à temps partiel annualisé (cette catégorie représente donc 62.19 % des salariés à temps partiel).</w:t>
      </w:r>
    </w:p>
    <w:p>
      <w:pPr>
        <w:pStyle w:val="Normal"/>
        <w:jc w:val="both"/>
        <w:rPr>
          <w:rFonts w:ascii="Arial" w:hAnsi="Arial" w:cs="Arial"/>
          <w:sz w:val="20"/>
        </w:rPr>
      </w:pPr>
      <w:r>
        <w:rPr>
          <w:rFonts w:cs="Arial" w:ascii="Arial" w:hAnsi="Arial"/>
          <w:sz w:val="20"/>
        </w:rPr>
        <w:t>En dehors de cette population, il reste uniquement 124 salariés à temps partiel soit 4.13 % de l’effectif total de l’U.E.S. Darty Grand Ouest, soit une baisse de 1.4 point vs 2021.</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 xml:space="preserve">Cela a été obtenu grâce à : </w:t>
      </w:r>
    </w:p>
    <w:p>
      <w:pPr>
        <w:pStyle w:val="Normal"/>
        <w:ind w:left="720" w:hanging="0"/>
        <w:jc w:val="both"/>
        <w:rPr>
          <w:rFonts w:ascii="Arial" w:hAnsi="Arial" w:cs="Arial"/>
          <w:sz w:val="20"/>
        </w:rPr>
      </w:pPr>
      <w:r>
        <w:rPr>
          <w:rFonts w:cs="Arial" w:ascii="Arial" w:hAnsi="Arial"/>
          <w:sz w:val="20"/>
        </w:rPr>
      </w:r>
    </w:p>
    <w:p>
      <w:pPr>
        <w:pStyle w:val="Normal"/>
        <w:numPr>
          <w:ilvl w:val="0"/>
          <w:numId w:val="5"/>
        </w:numPr>
        <w:ind w:left="1434" w:right="527" w:hanging="357"/>
        <w:jc w:val="both"/>
        <w:rPr/>
      </w:pPr>
      <w:r>
        <w:rPr>
          <w:rFonts w:cs="Arial" w:ascii="Arial" w:hAnsi="Arial"/>
          <w:iCs/>
          <w:sz w:val="20"/>
        </w:rPr>
        <w:t>à une volonté affichée, manifestée notamment lors de l’accord 2005 sur l’accord d’aménagement du temps de travail, de n’embaucher que des contrats à temps partiel choisi ;</w:t>
      </w:r>
    </w:p>
    <w:p>
      <w:pPr>
        <w:pStyle w:val="Normal"/>
        <w:numPr>
          <w:ilvl w:val="0"/>
          <w:numId w:val="5"/>
        </w:numPr>
        <w:ind w:left="1440" w:right="525" w:hanging="360"/>
        <w:jc w:val="both"/>
        <w:rPr/>
      </w:pPr>
      <w:r>
        <w:rPr>
          <w:rFonts w:cs="Arial" w:ascii="Arial" w:hAnsi="Arial"/>
          <w:iCs/>
          <w:sz w:val="20"/>
        </w:rPr>
        <w:t>à l’embauche depuis plusieurs années de salariés parallèlement étudiants ce qui favorise, autant que possible, les contrats à temps complet pour les autres salariés grâce à la flexibilité de la modulation</w:t>
      </w:r>
      <w:r>
        <w:rPr>
          <w:rFonts w:cs="Arial" w:ascii="Arial" w:hAnsi="Arial"/>
          <w:sz w:val="20"/>
        </w:rPr>
        <w:t>.</w:t>
      </w:r>
    </w:p>
    <w:p>
      <w:pPr>
        <w:pStyle w:val="Normal"/>
        <w:jc w:val="both"/>
        <w:rPr>
          <w:rStyle w:val="Soussection"/>
          <w:rFonts w:ascii="Arial" w:hAnsi="Arial" w:cs="Arial"/>
          <w:sz w:val="20"/>
        </w:rPr>
      </w:pPr>
      <w:r>
        <w:rPr>
          <w:rFonts w:cs="Arial" w:ascii="Arial" w:hAnsi="Arial"/>
          <w:sz w:val="20"/>
        </w:rPr>
      </w:r>
    </w:p>
    <w:p>
      <w:pPr>
        <w:pStyle w:val="Normal"/>
        <w:numPr>
          <w:ilvl w:val="0"/>
          <w:numId w:val="3"/>
        </w:numPr>
        <w:jc w:val="both"/>
        <w:rPr/>
      </w:pPr>
      <w:r>
        <w:rPr>
          <w:rStyle w:val="Soussection"/>
          <w:rFonts w:cs="Arial" w:ascii="Arial" w:hAnsi="Arial"/>
          <w:b/>
          <w:bCs/>
          <w:sz w:val="20"/>
        </w:rPr>
        <w:t>Travailleurs handicapés</w:t>
      </w:r>
    </w:p>
    <w:p>
      <w:pPr>
        <w:pStyle w:val="Normal"/>
        <w:jc w:val="both"/>
        <w:rPr>
          <w:rStyle w:val="Soussection"/>
          <w:rFonts w:ascii="Arial" w:hAnsi="Arial" w:cs="Arial"/>
          <w:b/>
          <w:b/>
          <w:bCs/>
          <w:sz w:val="20"/>
        </w:rPr>
      </w:pPr>
      <w:r>
        <w:rPr/>
      </w:r>
    </w:p>
    <w:p>
      <w:pPr>
        <w:pStyle w:val="Normal"/>
        <w:jc w:val="both"/>
        <w:rPr/>
      </w:pPr>
      <w:r>
        <w:rPr>
          <w:rStyle w:val="Soussection"/>
          <w:rFonts w:cs="Arial" w:ascii="Arial" w:hAnsi="Arial"/>
          <w:sz w:val="20"/>
        </w:rPr>
        <w:t xml:space="preserve">Depuis plusieurs années, l’entreprise a mis en œuvre diverses mesures (prise en charge de la part salariale de la mutuelle) ou actions à destination des recruteurs internes (DDM, DSAV, ...) pour favoriser l’emploi et améliorer l’accueil des travailleurs handicapés au sein de l’entreprise. </w:t>
      </w:r>
    </w:p>
    <w:p>
      <w:pPr>
        <w:pStyle w:val="Normal"/>
        <w:jc w:val="both"/>
        <w:rPr>
          <w:rStyle w:val="Soussection"/>
          <w:rFonts w:ascii="Arial" w:hAnsi="Arial" w:cs="Arial"/>
          <w:sz w:val="20"/>
        </w:rPr>
      </w:pPr>
      <w:r>
        <w:rPr/>
      </w:r>
    </w:p>
    <w:p>
      <w:pPr>
        <w:pStyle w:val="Normal"/>
        <w:jc w:val="both"/>
        <w:rPr>
          <w:rStyle w:val="Soussection"/>
          <w:rFonts w:ascii="Arial" w:hAnsi="Arial" w:cs="Arial"/>
          <w:sz w:val="20"/>
        </w:rPr>
      </w:pPr>
      <w:r>
        <w:rPr>
          <w:rStyle w:val="Soussection"/>
          <w:rFonts w:cs="Arial" w:ascii="Arial" w:hAnsi="Arial"/>
          <w:sz w:val="20"/>
        </w:rPr>
        <w:t>Les éléments transmis aux représentants du personnel sur l’obligation d’emploi de cette catégorie de salariés laissent apparaître une très légère augmentation de la contribution principalement due à la hausse de l’effectif assujetti.</w:t>
      </w:r>
    </w:p>
    <w:p>
      <w:pPr>
        <w:pStyle w:val="Normal"/>
        <w:jc w:val="both"/>
        <w:rPr>
          <w:rStyle w:val="Soussection"/>
          <w:rFonts w:ascii="Arial" w:hAnsi="Arial" w:cs="Arial"/>
          <w:sz w:val="20"/>
        </w:rPr>
      </w:pPr>
      <w:r>
        <w:rPr/>
      </w:r>
    </w:p>
    <w:tbl>
      <w:tblPr>
        <w:tblW w:w="8875" w:type="dxa"/>
        <w:jc w:val="center"/>
        <w:tblInd w:w="0" w:type="dxa"/>
        <w:tblBorders>
          <w:bottom w:val="single" w:sz="8" w:space="0" w:color="000000"/>
          <w:insideH w:val="single" w:sz="8" w:space="0" w:color="000000"/>
        </w:tblBorders>
        <w:tblCellMar>
          <w:top w:w="0" w:type="dxa"/>
          <w:left w:w="108" w:type="dxa"/>
          <w:bottom w:w="0" w:type="dxa"/>
          <w:right w:w="108" w:type="dxa"/>
        </w:tblCellMar>
      </w:tblPr>
      <w:tblGrid>
        <w:gridCol w:w="2660"/>
        <w:gridCol w:w="1946"/>
        <w:gridCol w:w="1946"/>
        <w:gridCol w:w="2323"/>
      </w:tblGrid>
      <w:tr>
        <w:trPr/>
        <w:tc>
          <w:tcPr>
            <w:tcW w:w="2660" w:type="dxa"/>
            <w:tcBorders>
              <w:bottom w:val="single" w:sz="8" w:space="0" w:color="000000"/>
              <w:insideH w:val="single" w:sz="8" w:space="0" w:color="000000"/>
            </w:tcBorders>
            <w:shd w:fill="auto" w:val="clear"/>
            <w:vAlign w:val="center"/>
          </w:tcPr>
          <w:p>
            <w:pPr>
              <w:pStyle w:val="Normal"/>
              <w:snapToGrid w:val="false"/>
              <w:jc w:val="center"/>
              <w:rPr>
                <w:rStyle w:val="Soussection"/>
                <w:rFonts w:ascii="Arial" w:hAnsi="Arial" w:cs="Arial"/>
                <w:sz w:val="20"/>
              </w:rPr>
            </w:pPr>
            <w:r>
              <w:rPr>
                <w:rFonts w:cs="Arial"/>
              </w:rPr>
            </w:r>
          </w:p>
        </w:tc>
        <w:tc>
          <w:tcPr>
            <w:tcW w:w="1946" w:type="dxa"/>
            <w:tcBorders>
              <w:top w:val="single" w:sz="8" w:space="0" w:color="000000"/>
              <w:left w:val="single" w:sz="8" w:space="0" w:color="000000"/>
              <w:bottom w:val="single" w:sz="8" w:space="0" w:color="000000"/>
              <w:insideH w:val="single" w:sz="8" w:space="0" w:color="000000"/>
            </w:tcBorders>
            <w:shd w:fill="auto" w:val="clear"/>
            <w:tcMar>
              <w:left w:w="-10" w:type="dxa"/>
              <w:right w:w="0" w:type="dxa"/>
            </w:tcMar>
            <w:vAlign w:val="center"/>
          </w:tcPr>
          <w:p>
            <w:pPr>
              <w:pStyle w:val="Normal"/>
              <w:jc w:val="center"/>
              <w:rPr>
                <w:rStyle w:val="Soussection"/>
                <w:rFonts w:ascii="Arial" w:hAnsi="Arial" w:cs="Arial"/>
                <w:b/>
                <w:b/>
                <w:sz w:val="20"/>
              </w:rPr>
            </w:pPr>
            <w:r>
              <w:rPr>
                <w:rStyle w:val="Soussection"/>
                <w:rFonts w:cs="Arial" w:ascii="Arial" w:hAnsi="Arial"/>
                <w:b/>
                <w:sz w:val="20"/>
              </w:rPr>
              <w:t>2021</w:t>
            </w:r>
          </w:p>
        </w:tc>
        <w:tc>
          <w:tcPr>
            <w:tcW w:w="1946" w:type="dxa"/>
            <w:tcBorders>
              <w:top w:val="single" w:sz="8" w:space="0" w:color="000000"/>
              <w:left w:val="single" w:sz="4" w:space="0" w:color="000000"/>
              <w:bottom w:val="single" w:sz="8" w:space="0" w:color="000000"/>
              <w:insideH w:val="single" w:sz="8" w:space="0" w:color="000000"/>
            </w:tcBorders>
            <w:shd w:fill="auto" w:val="clear"/>
            <w:tcMar>
              <w:left w:w="103" w:type="dxa"/>
            </w:tcMar>
            <w:vAlign w:val="center"/>
          </w:tcPr>
          <w:p>
            <w:pPr>
              <w:pStyle w:val="Normal"/>
              <w:jc w:val="center"/>
              <w:rPr>
                <w:rStyle w:val="Soussection"/>
                <w:rFonts w:ascii="Arial" w:hAnsi="Arial" w:cs="Arial"/>
                <w:b/>
                <w:b/>
                <w:sz w:val="20"/>
              </w:rPr>
            </w:pPr>
            <w:r>
              <w:rPr>
                <w:rStyle w:val="Soussection"/>
                <w:rFonts w:cs="Arial" w:ascii="Arial" w:hAnsi="Arial"/>
                <w:b/>
                <w:sz w:val="20"/>
              </w:rPr>
              <w:t>2020</w:t>
            </w:r>
          </w:p>
        </w:tc>
        <w:tc>
          <w:tcPr>
            <w:tcW w:w="23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0" w:type="dxa"/>
            </w:tcMar>
            <w:vAlign w:val="center"/>
          </w:tcPr>
          <w:p>
            <w:pPr>
              <w:pStyle w:val="Normal"/>
              <w:jc w:val="center"/>
              <w:rPr>
                <w:rStyle w:val="Soussection"/>
                <w:rFonts w:ascii="Arial" w:hAnsi="Arial" w:cs="Arial"/>
                <w:b/>
                <w:b/>
                <w:sz w:val="20"/>
              </w:rPr>
            </w:pPr>
            <w:r>
              <w:rPr>
                <w:rStyle w:val="Soussection"/>
                <w:rFonts w:cs="Arial" w:ascii="Arial" w:hAnsi="Arial"/>
                <w:b/>
                <w:sz w:val="20"/>
              </w:rPr>
              <w:t>2019</w:t>
            </w:r>
          </w:p>
        </w:tc>
      </w:tr>
      <w:tr>
        <w:trPr/>
        <w:tc>
          <w:tcPr>
            <w:tcW w:w="2660" w:type="dxa"/>
            <w:tcBorders>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Style w:val="Soussection"/>
                <w:rFonts w:cs="Arial" w:ascii="Arial" w:hAnsi="Arial"/>
                <w:sz w:val="20"/>
              </w:rPr>
              <w:t>Contribution (€)</w:t>
            </w:r>
          </w:p>
        </w:tc>
        <w:tc>
          <w:tcPr>
            <w:tcW w:w="1946" w:type="dxa"/>
            <w:tcBorders>
              <w:left w:val="single" w:sz="8" w:space="0" w:color="000000"/>
              <w:bottom w:val="single" w:sz="8" w:space="0" w:color="000000"/>
              <w:insideH w:val="single" w:sz="8" w:space="0" w:color="000000"/>
            </w:tcBorders>
            <w:shd w:fill="auto" w:val="clear"/>
            <w:tcMar>
              <w:left w:w="-10" w:type="dxa"/>
              <w:right w:w="0" w:type="dxa"/>
            </w:tcMar>
            <w:vAlign w:val="center"/>
          </w:tcPr>
          <w:p>
            <w:pPr>
              <w:pStyle w:val="Normal"/>
              <w:jc w:val="center"/>
              <w:rPr>
                <w:rStyle w:val="Soussection"/>
                <w:rFonts w:ascii="Arial" w:hAnsi="Arial" w:cs="Arial"/>
                <w:sz w:val="20"/>
              </w:rPr>
            </w:pPr>
            <w:r>
              <w:rPr>
                <w:rStyle w:val="Soussection"/>
                <w:rFonts w:cs="Arial" w:ascii="Arial" w:hAnsi="Arial"/>
                <w:sz w:val="20"/>
              </w:rPr>
              <w:t>193492</w:t>
            </w:r>
          </w:p>
        </w:tc>
        <w:tc>
          <w:tcPr>
            <w:tcW w:w="1946" w:type="dxa"/>
            <w:tcBorders>
              <w:left w:val="single" w:sz="4" w:space="0" w:color="000000"/>
              <w:bottom w:val="single" w:sz="8" w:space="0" w:color="000000"/>
              <w:insideH w:val="single" w:sz="8" w:space="0" w:color="000000"/>
            </w:tcBorders>
            <w:shd w:fill="auto" w:val="clear"/>
            <w:tcMar>
              <w:left w:w="103" w:type="dxa"/>
            </w:tcMar>
            <w:vAlign w:val="center"/>
          </w:tcPr>
          <w:p>
            <w:pPr>
              <w:pStyle w:val="Normal"/>
              <w:jc w:val="center"/>
              <w:rPr>
                <w:rStyle w:val="Soussection"/>
                <w:rFonts w:ascii="Arial" w:hAnsi="Arial" w:cs="Arial"/>
                <w:sz w:val="20"/>
              </w:rPr>
            </w:pPr>
            <w:r>
              <w:rPr>
                <w:rStyle w:val="Soussection"/>
                <w:rFonts w:cs="Arial" w:ascii="Arial" w:hAnsi="Arial"/>
                <w:sz w:val="20"/>
              </w:rPr>
              <w:t>159484</w:t>
            </w:r>
          </w:p>
        </w:tc>
        <w:tc>
          <w:tcPr>
            <w:tcW w:w="232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0" w:type="dxa"/>
            </w:tcMar>
            <w:vAlign w:val="center"/>
          </w:tcPr>
          <w:p>
            <w:pPr>
              <w:pStyle w:val="Normal"/>
              <w:jc w:val="center"/>
              <w:rPr>
                <w:rStyle w:val="Soussection"/>
                <w:rFonts w:ascii="Arial" w:hAnsi="Arial" w:cs="Arial"/>
                <w:sz w:val="20"/>
              </w:rPr>
            </w:pPr>
            <w:r>
              <w:rPr>
                <w:rStyle w:val="Soussection"/>
                <w:rFonts w:cs="Arial" w:ascii="Arial" w:hAnsi="Arial"/>
                <w:sz w:val="20"/>
              </w:rPr>
              <w:t>89665</w:t>
            </w:r>
          </w:p>
        </w:tc>
      </w:tr>
      <w:tr>
        <w:trPr/>
        <w:tc>
          <w:tcPr>
            <w:tcW w:w="2660" w:type="dxa"/>
            <w:tcBorders>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Style w:val="Soussection"/>
                <w:rFonts w:cs="Arial" w:ascii="Arial" w:hAnsi="Arial"/>
                <w:sz w:val="20"/>
              </w:rPr>
              <w:t>Effectif moyen assujetti</w:t>
            </w:r>
          </w:p>
        </w:tc>
        <w:tc>
          <w:tcPr>
            <w:tcW w:w="1946" w:type="dxa"/>
            <w:tcBorders>
              <w:left w:val="single" w:sz="8" w:space="0" w:color="000000"/>
              <w:bottom w:val="single" w:sz="8" w:space="0" w:color="000000"/>
              <w:insideH w:val="single" w:sz="8" w:space="0" w:color="000000"/>
            </w:tcBorders>
            <w:shd w:fill="auto" w:val="clear"/>
            <w:tcMar>
              <w:left w:w="-10" w:type="dxa"/>
              <w:right w:w="0" w:type="dxa"/>
            </w:tcMar>
            <w:vAlign w:val="center"/>
          </w:tcPr>
          <w:p>
            <w:pPr>
              <w:pStyle w:val="Normal"/>
              <w:jc w:val="center"/>
              <w:rPr>
                <w:rStyle w:val="Soussection"/>
                <w:rFonts w:ascii="Arial" w:hAnsi="Arial" w:cs="Arial"/>
                <w:sz w:val="20"/>
              </w:rPr>
            </w:pPr>
            <w:r>
              <w:rPr>
                <w:rStyle w:val="Soussection"/>
                <w:rFonts w:cs="Arial" w:ascii="Arial" w:hAnsi="Arial"/>
                <w:sz w:val="20"/>
              </w:rPr>
              <w:t>2644</w:t>
            </w:r>
          </w:p>
        </w:tc>
        <w:tc>
          <w:tcPr>
            <w:tcW w:w="1946" w:type="dxa"/>
            <w:tcBorders>
              <w:left w:val="single" w:sz="4" w:space="0" w:color="000000"/>
              <w:bottom w:val="single" w:sz="8" w:space="0" w:color="000000"/>
              <w:insideH w:val="single" w:sz="8" w:space="0" w:color="000000"/>
            </w:tcBorders>
            <w:shd w:fill="auto" w:val="clear"/>
            <w:tcMar>
              <w:left w:w="103" w:type="dxa"/>
            </w:tcMar>
            <w:vAlign w:val="center"/>
          </w:tcPr>
          <w:p>
            <w:pPr>
              <w:pStyle w:val="Normal"/>
              <w:jc w:val="center"/>
              <w:rPr>
                <w:rStyle w:val="Soussection"/>
                <w:rFonts w:ascii="Arial" w:hAnsi="Arial" w:cs="Arial"/>
                <w:sz w:val="20"/>
              </w:rPr>
            </w:pPr>
            <w:r>
              <w:rPr>
                <w:rStyle w:val="Soussection"/>
                <w:rFonts w:cs="Arial" w:ascii="Arial" w:hAnsi="Arial"/>
                <w:sz w:val="20"/>
              </w:rPr>
              <w:t>2497</w:t>
            </w:r>
          </w:p>
        </w:tc>
        <w:tc>
          <w:tcPr>
            <w:tcW w:w="232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0" w:type="dxa"/>
            </w:tcMar>
            <w:vAlign w:val="center"/>
          </w:tcPr>
          <w:p>
            <w:pPr>
              <w:pStyle w:val="Normal"/>
              <w:jc w:val="center"/>
              <w:rPr>
                <w:rStyle w:val="Soussection"/>
                <w:rFonts w:ascii="Arial" w:hAnsi="Arial" w:cs="Arial"/>
                <w:sz w:val="20"/>
              </w:rPr>
            </w:pPr>
            <w:r>
              <w:rPr>
                <w:rStyle w:val="Soussection"/>
                <w:rFonts w:cs="Arial" w:ascii="Arial" w:hAnsi="Arial"/>
                <w:sz w:val="20"/>
              </w:rPr>
              <w:t>2418</w:t>
            </w:r>
          </w:p>
        </w:tc>
      </w:tr>
    </w:tbl>
    <w:p>
      <w:pPr>
        <w:pStyle w:val="Normal"/>
        <w:jc w:val="both"/>
        <w:rPr>
          <w:rStyle w:val="Soussection"/>
          <w:rFonts w:ascii="Arial" w:hAnsi="Arial" w:cs="Arial"/>
          <w:sz w:val="20"/>
          <w:highlight w:val="yellow"/>
        </w:rPr>
      </w:pPr>
      <w:r>
        <w:rPr/>
      </w:r>
    </w:p>
    <w:p>
      <w:pPr>
        <w:pStyle w:val="Normal"/>
        <w:jc w:val="both"/>
        <w:rPr>
          <w:rStyle w:val="Soussection"/>
          <w:rFonts w:ascii="Arial" w:hAnsi="Arial" w:cs="Arial"/>
          <w:sz w:val="20"/>
        </w:rPr>
      </w:pPr>
      <w:r>
        <w:rPr>
          <w:rStyle w:val="Soussection"/>
          <w:rFonts w:cs="Arial" w:ascii="Arial" w:hAnsi="Arial"/>
          <w:sz w:val="20"/>
        </w:rPr>
        <w:t>Outre la volonté générale de l’entreprise de recruter des collaborateurs en situation de handicap, un plan d’action ciblé sur les sites où la contribution est la plus élevée sera mis en place.</w:t>
      </w:r>
    </w:p>
    <w:p>
      <w:pPr>
        <w:pStyle w:val="Normal"/>
        <w:jc w:val="both"/>
        <w:rPr>
          <w:rStyle w:val="Soussection"/>
          <w:rFonts w:ascii="Arial" w:hAnsi="Arial" w:cs="Arial"/>
          <w:sz w:val="20"/>
        </w:rPr>
      </w:pPr>
      <w:r>
        <w:rPr/>
      </w:r>
    </w:p>
    <w:p>
      <w:pPr>
        <w:pStyle w:val="Normal"/>
        <w:numPr>
          <w:ilvl w:val="0"/>
          <w:numId w:val="3"/>
        </w:numPr>
        <w:jc w:val="both"/>
        <w:rPr/>
      </w:pPr>
      <w:r>
        <w:rPr>
          <w:rStyle w:val="Soussection"/>
          <w:rFonts w:cs="Arial" w:ascii="Arial" w:hAnsi="Arial"/>
          <w:b/>
          <w:bCs/>
          <w:sz w:val="20"/>
        </w:rPr>
        <w:t>Épargne salariale</w:t>
      </w:r>
    </w:p>
    <w:p>
      <w:pPr>
        <w:pStyle w:val="Normal"/>
        <w:jc w:val="both"/>
        <w:rPr>
          <w:rStyle w:val="Soussection"/>
          <w:rFonts w:ascii="Arial" w:hAnsi="Arial" w:cs="Arial"/>
          <w:b/>
          <w:b/>
          <w:bCs/>
          <w:sz w:val="20"/>
        </w:rPr>
      </w:pPr>
      <w:r>
        <w:rPr/>
      </w:r>
    </w:p>
    <w:p>
      <w:pPr>
        <w:pStyle w:val="Normal"/>
        <w:jc w:val="both"/>
        <w:rPr>
          <w:rFonts w:ascii="Arial" w:hAnsi="Arial" w:cs="Arial"/>
          <w:sz w:val="20"/>
        </w:rPr>
      </w:pPr>
      <w:r>
        <w:rPr>
          <w:rFonts w:cs="Arial" w:ascii="Arial" w:hAnsi="Arial"/>
          <w:sz w:val="20"/>
        </w:rPr>
        <w:t>Les salariés de l’U.E.S. Darty Grand Ouest bénéficient :</w:t>
      </w:r>
    </w:p>
    <w:p>
      <w:pPr>
        <w:pStyle w:val="Normal"/>
        <w:numPr>
          <w:ilvl w:val="2"/>
          <w:numId w:val="3"/>
        </w:numPr>
        <w:jc w:val="both"/>
        <w:rPr/>
      </w:pPr>
      <w:r>
        <w:rPr>
          <w:rFonts w:cs="Arial" w:ascii="Arial" w:hAnsi="Arial"/>
          <w:sz w:val="20"/>
        </w:rPr>
        <w:t>d’un accord de participation ;</w:t>
      </w:r>
    </w:p>
    <w:p>
      <w:pPr>
        <w:pStyle w:val="Normal"/>
        <w:numPr>
          <w:ilvl w:val="2"/>
          <w:numId w:val="3"/>
        </w:numPr>
        <w:jc w:val="both"/>
        <w:rPr>
          <w:rFonts w:ascii="Arial" w:hAnsi="Arial" w:cs="Arial"/>
          <w:sz w:val="20"/>
        </w:rPr>
      </w:pPr>
      <w:r>
        <w:rPr>
          <w:rFonts w:cs="Arial" w:ascii="Arial" w:hAnsi="Arial"/>
          <w:sz w:val="20"/>
        </w:rPr>
        <w:t>d’un plan d'épargne d'entreprise au niveau de l’ensemble des entreprises de l’enseigne DARTY ;</w:t>
      </w:r>
    </w:p>
    <w:p>
      <w:pPr>
        <w:pStyle w:val="Normal"/>
        <w:numPr>
          <w:ilvl w:val="2"/>
          <w:numId w:val="3"/>
        </w:numPr>
        <w:jc w:val="both"/>
        <w:rPr/>
      </w:pPr>
      <w:r>
        <w:rPr>
          <w:rFonts w:cs="Arial" w:ascii="Arial" w:hAnsi="Arial"/>
          <w:sz w:val="20"/>
        </w:rPr>
        <w:t>d’un PERCO-I bénéficiant d’un abondement versé par l’entreprise de 20 % pour tout déversement du compte épargne temps dans ce PERCO-I ;</w:t>
      </w:r>
    </w:p>
    <w:p>
      <w:pPr>
        <w:pStyle w:val="Normal"/>
        <w:numPr>
          <w:ilvl w:val="2"/>
          <w:numId w:val="3"/>
        </w:numPr>
        <w:jc w:val="both"/>
        <w:rPr/>
      </w:pPr>
      <w:r>
        <w:rPr>
          <w:rFonts w:cs="Arial" w:ascii="Arial" w:hAnsi="Arial"/>
          <w:sz w:val="20"/>
        </w:rPr>
        <w:t>d’un compte épargne temps.</w:t>
      </w:r>
    </w:p>
    <w:p>
      <w:pPr>
        <w:pStyle w:val="Normal"/>
        <w:jc w:val="both"/>
        <w:rPr>
          <w:rStyle w:val="Soussection"/>
          <w:rFonts w:ascii="Arial" w:hAnsi="Arial" w:cs="Arial"/>
          <w:b/>
          <w:b/>
          <w:bCs/>
          <w:sz w:val="20"/>
        </w:rPr>
      </w:pPr>
      <w:r>
        <w:rPr>
          <w:rFonts w:cs="Arial" w:ascii="Arial" w:hAnsi="Arial"/>
          <w:sz w:val="20"/>
        </w:rPr>
      </w:r>
    </w:p>
    <w:p>
      <w:pPr>
        <w:pStyle w:val="Normal"/>
        <w:jc w:val="both"/>
        <w:rPr>
          <w:rStyle w:val="Soussection"/>
          <w:rFonts w:ascii="Arial" w:hAnsi="Arial" w:cs="Arial"/>
          <w:b/>
          <w:b/>
          <w:bCs/>
          <w:sz w:val="20"/>
        </w:rPr>
      </w:pPr>
      <w:r>
        <w:rPr/>
      </w:r>
    </w:p>
    <w:p>
      <w:pPr>
        <w:pStyle w:val="Heading1"/>
        <w:numPr>
          <w:ilvl w:val="0"/>
          <w:numId w:val="1"/>
        </w:numPr>
        <w:rPr/>
      </w:pPr>
      <w:bookmarkStart w:id="4" w:name="__RefHeading___Toc102027992"/>
      <w:bookmarkEnd w:id="4"/>
      <w:r>
        <w:rPr/>
        <w:t>Article IV – Poursuite du dialogue social</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La Direction et les partenaires sociaux sont conscients de la nécessité de poursuivre le dialogue social au-delà des strictes obligations légales.</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Ce dialogue social, susceptible d’aboutir à des accords d’entreprise spécifiques ou à des consultations du CSE, doit permettre l’évolution progressive des structures, des process, des méthodes de travail ou encore de la gestion des Ressources Humaines pour permettre de mieux adapter l’entreprise aux changements de son environnement.</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Dans cette perspective, la Direction s’engage à revenir vers les partenaires sociaux durant l’année civile 2022, pour aborder les thèmes suivants :</w:t>
      </w:r>
    </w:p>
    <w:p>
      <w:pPr>
        <w:pStyle w:val="Normal"/>
        <w:jc w:val="both"/>
        <w:rPr>
          <w:rFonts w:ascii="Arial" w:hAnsi="Arial" w:cs="Arial"/>
          <w:sz w:val="20"/>
        </w:rPr>
      </w:pPr>
      <w:r>
        <w:rPr>
          <w:rFonts w:cs="Arial" w:ascii="Arial" w:hAnsi="Arial"/>
          <w:sz w:val="20"/>
        </w:rPr>
      </w:r>
    </w:p>
    <w:p>
      <w:pPr>
        <w:pStyle w:val="Normal"/>
        <w:numPr>
          <w:ilvl w:val="0"/>
          <w:numId w:val="9"/>
        </w:numPr>
        <w:jc w:val="both"/>
        <w:rPr>
          <w:rFonts w:ascii="Arial" w:hAnsi="Arial" w:cs="Arial"/>
          <w:sz w:val="20"/>
        </w:rPr>
      </w:pPr>
      <w:r>
        <w:rPr>
          <w:rFonts w:cs="Arial" w:ascii="Arial" w:hAnsi="Arial"/>
          <w:sz w:val="20"/>
        </w:rPr>
        <w:t>négociation portant sur la déclinaison des engagements pris au niveau des Instances Représentatives du Groupe relatives à l’égalité professionnelle entre les femmes et les hommes ;</w:t>
      </w:r>
    </w:p>
    <w:p>
      <w:pPr>
        <w:pStyle w:val="Normal"/>
        <w:numPr>
          <w:ilvl w:val="0"/>
          <w:numId w:val="9"/>
        </w:numPr>
        <w:jc w:val="both"/>
        <w:rPr>
          <w:rFonts w:ascii="Arial" w:hAnsi="Arial" w:cs="Arial"/>
          <w:sz w:val="20"/>
        </w:rPr>
      </w:pPr>
      <w:r>
        <w:rPr>
          <w:rFonts w:cs="Arial" w:ascii="Arial" w:hAnsi="Arial"/>
          <w:sz w:val="20"/>
        </w:rPr>
        <w:t>négociation portant sur la mobilité ;</w:t>
      </w:r>
    </w:p>
    <w:p>
      <w:pPr>
        <w:pStyle w:val="Normal"/>
        <w:numPr>
          <w:ilvl w:val="0"/>
          <w:numId w:val="9"/>
        </w:numPr>
        <w:jc w:val="both"/>
        <w:rPr>
          <w:rFonts w:ascii="Arial" w:hAnsi="Arial" w:cs="Arial"/>
          <w:sz w:val="20"/>
        </w:rPr>
      </w:pPr>
      <w:r>
        <w:rPr>
          <w:rFonts w:cs="Arial" w:ascii="Arial" w:hAnsi="Arial"/>
          <w:sz w:val="20"/>
        </w:rPr>
        <w:t>Concertation sur le système de rémunération variable des Conseillers Pôle Service d’ici la fin du deuxième trimestre 2022 ;</w:t>
      </w:r>
    </w:p>
    <w:p>
      <w:pPr>
        <w:pStyle w:val="Normal"/>
        <w:ind w:left="720" w:hanging="0"/>
        <w:jc w:val="both"/>
        <w:rPr>
          <w:rFonts w:ascii="Arial" w:hAnsi="Arial" w:cs="Arial"/>
          <w:sz w:val="20"/>
        </w:rPr>
      </w:pPr>
      <w:r>
        <w:rPr>
          <w:rFonts w:cs="Arial" w:ascii="Arial" w:hAnsi="Arial"/>
          <w:sz w:val="20"/>
        </w:rPr>
      </w:r>
    </w:p>
    <w:p>
      <w:pPr>
        <w:pStyle w:val="Normal"/>
        <w:ind w:left="720" w:hanging="0"/>
        <w:jc w:val="both"/>
        <w:rPr>
          <w:rFonts w:ascii="Arial" w:hAnsi="Arial" w:cs="Arial"/>
          <w:sz w:val="20"/>
        </w:rPr>
      </w:pPr>
      <w:r>
        <w:rPr>
          <w:rFonts w:cs="Arial" w:ascii="Arial" w:hAnsi="Arial"/>
          <w:sz w:val="20"/>
        </w:rPr>
      </w:r>
    </w:p>
    <w:p>
      <w:pPr>
        <w:pStyle w:val="Heading1"/>
        <w:numPr>
          <w:ilvl w:val="0"/>
          <w:numId w:val="1"/>
        </w:numPr>
        <w:rPr/>
      </w:pPr>
      <w:bookmarkStart w:id="5" w:name="__RefHeading___Toc102027993"/>
      <w:bookmarkEnd w:id="5"/>
      <w:r>
        <w:rPr/>
        <w:t>Article V – Salaires et emploi</w:t>
      </w:r>
    </w:p>
    <w:p>
      <w:pPr>
        <w:pStyle w:val="Normal"/>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 xml:space="preserve">Il est précisé qu’en dehors de toute augmentation, le </w:t>
      </w:r>
      <w:r>
        <w:rPr>
          <w:rFonts w:cs="Arial" w:ascii="Arial" w:hAnsi="Arial"/>
          <w:i/>
          <w:sz w:val="20"/>
        </w:rPr>
        <w:t>« glissement vieillissement technicité »</w:t>
      </w:r>
      <w:r>
        <w:rPr>
          <w:rFonts w:cs="Arial" w:ascii="Arial" w:hAnsi="Arial"/>
          <w:sz w:val="20"/>
        </w:rPr>
        <w:t xml:space="preserve"> (GVT) entrainera une augmentation automatique de la masse salariale de l’entreprise estimée à +0,68 % pour 2022.</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Il est convenu les dispositions suivantes concernant l’ensemble des salariés, non-cadres et cadres :</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L’UES Darty Grand Ouest garantit un niveau de classification et un niveau de salaire à l’embauche identique entre les femmes et les hommes, à compétences égales et expériences équivalentes, pour l’ensemble des catégories professionnelles.</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Pour l’ensemble des catégories de personnel (Cadres et Non Cadres), la direction s’engage à ce que la rémunération, la classification appliquée aux salariés et les promotions ne soient fondées que sur les niveaux de qualifications et d’expériences acquis et le niveau de responsabilités confiées aux salariés.</w:t>
      </w:r>
    </w:p>
    <w:p>
      <w:pPr>
        <w:pStyle w:val="Normal"/>
        <w:jc w:val="both"/>
        <w:rPr>
          <w:rFonts w:ascii="Arial" w:hAnsi="Arial" w:cs="Arial"/>
          <w:sz w:val="20"/>
        </w:rPr>
      </w:pPr>
      <w:r>
        <w:rPr>
          <w:rFonts w:cs="Arial" w:ascii="Arial" w:hAnsi="Arial"/>
          <w:sz w:val="20"/>
        </w:rPr>
      </w:r>
    </w:p>
    <w:p>
      <w:pPr>
        <w:pStyle w:val="Normal"/>
        <w:jc w:val="both"/>
        <w:rPr>
          <w:rFonts w:ascii="Arial" w:hAnsi="Arial" w:cs="Arial"/>
          <w:bCs/>
          <w:sz w:val="20"/>
        </w:rPr>
      </w:pPr>
      <w:r>
        <w:rPr>
          <w:rFonts w:cs="Arial" w:ascii="Arial" w:hAnsi="Arial"/>
          <w:bCs/>
          <w:sz w:val="20"/>
        </w:rPr>
        <w:t xml:space="preserve">Le principe retenu de revalorisation des grilles de salaire fixe applicable à Darty Grand Ouest </w:t>
        <w:br/>
        <w:t>est d’appliquer un montant de revalorisation calculé à partir de pourcentages allant de + 2,5% jusqu’à + 3,5%, calculé sur les salaires minima conventionnels au 1</w:t>
      </w:r>
      <w:r>
        <w:rPr>
          <w:rFonts w:cs="Arial" w:ascii="Arial" w:hAnsi="Arial"/>
          <w:bCs/>
          <w:sz w:val="20"/>
          <w:vertAlign w:val="superscript"/>
        </w:rPr>
        <w:t>er</w:t>
      </w:r>
      <w:r>
        <w:rPr>
          <w:rFonts w:cs="Arial" w:ascii="Arial" w:hAnsi="Arial"/>
          <w:bCs/>
          <w:sz w:val="20"/>
        </w:rPr>
        <w:t xml:space="preserve"> janvier 2022, selon la grille suivante :</w:t>
      </w:r>
    </w:p>
    <w:p>
      <w:pPr>
        <w:pStyle w:val="Normal"/>
        <w:jc w:val="both"/>
        <w:rPr>
          <w:rFonts w:ascii="Arial" w:hAnsi="Arial" w:cs="Arial"/>
          <w:bCs/>
          <w:sz w:val="20"/>
        </w:rPr>
      </w:pPr>
      <w:r>
        <w:rPr>
          <w:rFonts w:cs="Arial" w:ascii="Arial" w:hAnsi="Arial"/>
          <w:bCs/>
          <w:sz w:val="20"/>
        </w:rPr>
      </w:r>
    </w:p>
    <w:p>
      <w:pPr>
        <w:pStyle w:val="Normal"/>
        <w:jc w:val="both"/>
        <w:rPr>
          <w:rFonts w:ascii="Arial" w:hAnsi="Arial" w:cs="Arial"/>
          <w:b/>
          <w:b/>
          <w:bCs/>
          <w:sz w:val="14"/>
          <w:szCs w:val="24"/>
        </w:rPr>
      </w:pPr>
      <w:r>
        <w:rPr>
          <w:rFonts w:cs="Arial" w:ascii="Arial" w:hAnsi="Arial"/>
          <w:b/>
          <w:bCs/>
          <w:sz w:val="14"/>
          <w:szCs w:val="24"/>
        </w:rPr>
      </w:r>
    </w:p>
    <w:p>
      <w:pPr>
        <w:pStyle w:val="Normal"/>
        <w:jc w:val="center"/>
        <w:rPr>
          <w:b/>
          <w:b/>
          <w:bCs/>
          <w:sz w:val="14"/>
          <w:szCs w:val="24"/>
        </w:rPr>
      </w:pPr>
      <w:r>
        <w:rPr>
          <w:b/>
          <w:bCs/>
          <w:sz w:val="14"/>
          <w:szCs w:val="24"/>
        </w:rPr>
      </w:r>
    </w:p>
    <w:p>
      <w:pPr>
        <w:pStyle w:val="Normal"/>
        <w:jc w:val="both"/>
        <w:rPr>
          <w:rFonts w:ascii="Arial" w:hAnsi="Arial" w:cs="Arial"/>
          <w:b/>
          <w:b/>
          <w:bCs/>
          <w:sz w:val="20"/>
          <w:szCs w:val="24"/>
        </w:rPr>
      </w:pPr>
      <w:r>
        <w:rPr>
          <w:rFonts w:cs="Arial" w:ascii="Arial" w:hAnsi="Arial"/>
          <w:b/>
          <w:bCs/>
          <w:sz w:val="20"/>
          <w:szCs w:val="24"/>
        </w:rPr>
      </w:r>
    </w:p>
    <w:tbl>
      <w:tblPr>
        <w:tblW w:w="10358" w:type="dxa"/>
        <w:jc w:val="left"/>
        <w:tblInd w:w="-477"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969"/>
        <w:gridCol w:w="2371"/>
        <w:gridCol w:w="1798"/>
        <w:gridCol w:w="2168"/>
        <w:gridCol w:w="2052"/>
      </w:tblGrid>
      <w:tr>
        <w:trPr>
          <w:trHeight w:val="528" w:hRule="atLeast"/>
        </w:trPr>
        <w:tc>
          <w:tcPr>
            <w:tcW w:w="1969"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NE</w:t>
            </w:r>
          </w:p>
        </w:tc>
        <w:tc>
          <w:tcPr>
            <w:tcW w:w="2371"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color w:val="000000"/>
                <w:sz w:val="20"/>
              </w:rPr>
            </w:pPr>
            <w:r>
              <w:rPr>
                <w:rFonts w:cs="Arial" w:ascii="Arial" w:hAnsi="Arial"/>
                <w:color w:val="000000"/>
                <w:sz w:val="20"/>
              </w:rPr>
              <w:t xml:space="preserve">Minima conventionnel </w:t>
            </w:r>
          </w:p>
        </w:tc>
        <w:tc>
          <w:tcPr>
            <w:tcW w:w="1798" w:type="dxa"/>
            <w:tcBorders>
              <w:top w:val="single" w:sz="8" w:space="0" w:color="000000"/>
              <w:left w:val="single" w:sz="4" w:space="0" w:color="000000"/>
            </w:tcBorders>
            <w:shd w:fill="auto" w:val="clear"/>
            <w:tcMar>
              <w:left w:w="65" w:type="dxa"/>
            </w:tcMar>
            <w:vAlign w:val="center"/>
          </w:tcPr>
          <w:p>
            <w:pPr>
              <w:pStyle w:val="Normal"/>
              <w:jc w:val="center"/>
              <w:rPr>
                <w:rFonts w:ascii="Arial" w:hAnsi="Arial" w:cs="Arial"/>
                <w:color w:val="000000"/>
                <w:sz w:val="20"/>
              </w:rPr>
            </w:pPr>
            <w:r>
              <w:rPr>
                <w:rFonts w:cs="Arial" w:ascii="Arial" w:hAnsi="Arial"/>
                <w:color w:val="000000"/>
                <w:sz w:val="20"/>
              </w:rPr>
              <w:t>Taux d’augmentation</w:t>
            </w:r>
          </w:p>
        </w:tc>
        <w:tc>
          <w:tcPr>
            <w:tcW w:w="2168" w:type="dxa"/>
            <w:tcBorders>
              <w:top w:val="single" w:sz="8" w:space="0" w:color="000000"/>
              <w:left w:val="single" w:sz="8" w:space="0" w:color="000000"/>
            </w:tcBorders>
            <w:shd w:fill="C6E0B4" w:val="clear"/>
            <w:tcMar>
              <w:left w:w="60" w:type="dxa"/>
            </w:tcMar>
            <w:vAlign w:val="center"/>
          </w:tcPr>
          <w:p>
            <w:pPr>
              <w:pStyle w:val="Normal"/>
              <w:jc w:val="center"/>
              <w:rPr>
                <w:rFonts w:ascii="Arial" w:hAnsi="Arial" w:cs="Arial"/>
                <w:color w:val="000000"/>
                <w:sz w:val="20"/>
              </w:rPr>
            </w:pPr>
            <w:r>
              <w:rPr>
                <w:rFonts w:cs="Arial" w:ascii="Arial" w:hAnsi="Arial"/>
                <w:color w:val="000000"/>
                <w:sz w:val="20"/>
              </w:rPr>
              <w:t>Ecart différencié</w:t>
            </w:r>
          </w:p>
        </w:tc>
        <w:tc>
          <w:tcPr>
            <w:tcW w:w="2052" w:type="dxa"/>
            <w:tcBorders>
              <w:top w:val="single" w:sz="8" w:space="0" w:color="000000"/>
              <w:left w:val="single" w:sz="8" w:space="0" w:color="000000"/>
              <w:right w:val="single" w:sz="8" w:space="0" w:color="000000"/>
              <w:insideV w:val="single" w:sz="8" w:space="0" w:color="000000"/>
            </w:tcBorders>
            <w:shd w:fill="C6E0B4" w:val="clear"/>
            <w:tcMar>
              <w:left w:w="60" w:type="dxa"/>
            </w:tcMar>
            <w:vAlign w:val="center"/>
          </w:tcPr>
          <w:p>
            <w:pPr>
              <w:pStyle w:val="Normal"/>
              <w:jc w:val="center"/>
              <w:rPr>
                <w:rFonts w:ascii="Arial" w:hAnsi="Arial" w:cs="Arial"/>
                <w:color w:val="000000"/>
                <w:sz w:val="20"/>
              </w:rPr>
            </w:pPr>
            <w:r>
              <w:rPr>
                <w:rFonts w:cs="Arial" w:ascii="Arial" w:hAnsi="Arial"/>
                <w:color w:val="000000"/>
                <w:sz w:val="20"/>
              </w:rPr>
              <w:t xml:space="preserve">minima théorique 1er mai 2022 </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1-1</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1589,47</w:t>
            </w:r>
          </w:p>
        </w:tc>
        <w:tc>
          <w:tcPr>
            <w:tcW w:w="1798"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3,5%</w:t>
            </w:r>
          </w:p>
        </w:tc>
        <w:tc>
          <w:tcPr>
            <w:tcW w:w="2168" w:type="dxa"/>
            <w:tcBorders>
              <w:top w:val="single" w:sz="4" w:space="0" w:color="000000"/>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55,63</w:t>
            </w:r>
          </w:p>
        </w:tc>
        <w:tc>
          <w:tcPr>
            <w:tcW w:w="205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1645,10</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1-2</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1593,87</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55,79</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1649,66</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1-3</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1604,81</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56,17</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1660,98</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2-1</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1641,77</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57,46</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1699,23</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2-2</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1683,53</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3,3%</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55,56</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1739,09</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2-3</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1725,22</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3,1%</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53,48</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1778,70</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3-1</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1763,49</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2,9%</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51,14</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1814,63</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3-2</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1805,14</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2,7%</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48,74</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1853,88</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3-3</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1846,76</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46,17</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1892,93</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4-1</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1906,53</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47,66</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1954,19</w:t>
            </w:r>
          </w:p>
        </w:tc>
      </w:tr>
      <w:tr>
        <w:trPr>
          <w:trHeight w:val="327"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4-2</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2134,65</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53,37</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2188,02</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4-3</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2360,97</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59,02</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2419,99</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5-1</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2144,24</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53,61</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2197,85</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5-2</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2672,68</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66,82</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2739,50</w:t>
            </w:r>
          </w:p>
        </w:tc>
      </w:tr>
      <w:tr>
        <w:trPr>
          <w:trHeight w:val="25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5-3</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3194,73</w:t>
            </w:r>
          </w:p>
        </w:tc>
        <w:tc>
          <w:tcPr>
            <w:tcW w:w="1798"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79,87</w:t>
            </w:r>
          </w:p>
        </w:tc>
        <w:tc>
          <w:tcPr>
            <w:tcW w:w="2052"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3274,60</w:t>
            </w:r>
          </w:p>
        </w:tc>
      </w:tr>
      <w:tr>
        <w:trPr>
          <w:trHeight w:val="269" w:hRule="atLeast"/>
        </w:trPr>
        <w:tc>
          <w:tcPr>
            <w:tcW w:w="1969"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5-4</w:t>
            </w:r>
          </w:p>
        </w:tc>
        <w:tc>
          <w:tcPr>
            <w:tcW w:w="237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3715,50</w:t>
            </w:r>
          </w:p>
        </w:tc>
        <w:tc>
          <w:tcPr>
            <w:tcW w:w="1798" w:type="dxa"/>
            <w:tcBorders>
              <w:left w:val="single" w:sz="4" w:space="0" w:color="000000"/>
              <w:bottom w:val="single" w:sz="8" w:space="0" w:color="000000"/>
              <w:insideH w:val="single" w:sz="8" w:space="0" w:color="000000"/>
            </w:tcBorders>
            <w:shd w:fill="auto" w:val="clear"/>
            <w:tcMar>
              <w:left w:w="65" w:type="dxa"/>
            </w:tcMar>
            <w:vAlign w:val="center"/>
          </w:tcPr>
          <w:p>
            <w:pPr>
              <w:pStyle w:val="Normal"/>
              <w:jc w:val="center"/>
              <w:rPr>
                <w:rFonts w:ascii="Arial" w:hAnsi="Arial" w:cs="Arial"/>
                <w:sz w:val="20"/>
              </w:rPr>
            </w:pPr>
            <w:r>
              <w:rPr>
                <w:rFonts w:cs="Arial" w:ascii="Arial" w:hAnsi="Arial"/>
                <w:sz w:val="20"/>
              </w:rPr>
              <w:t>2,5%</w:t>
            </w:r>
          </w:p>
        </w:tc>
        <w:tc>
          <w:tcPr>
            <w:tcW w:w="2168" w:type="dxa"/>
            <w:tcBorders>
              <w:left w:val="single" w:sz="8" w:space="0" w:color="000000"/>
              <w:bottom w:val="single" w:sz="8" w:space="0" w:color="000000"/>
              <w:insideH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92,89</w:t>
            </w:r>
          </w:p>
        </w:tc>
        <w:tc>
          <w:tcPr>
            <w:tcW w:w="205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vAlign w:val="center"/>
          </w:tcPr>
          <w:p>
            <w:pPr>
              <w:pStyle w:val="Normal"/>
              <w:jc w:val="center"/>
              <w:rPr>
                <w:rFonts w:ascii="Arial" w:hAnsi="Arial" w:cs="Arial"/>
                <w:sz w:val="20"/>
              </w:rPr>
            </w:pPr>
            <w:r>
              <w:rPr>
                <w:rFonts w:cs="Arial" w:ascii="Arial" w:hAnsi="Arial"/>
                <w:sz w:val="20"/>
              </w:rPr>
              <w:t>3808,39</w:t>
            </w:r>
          </w:p>
        </w:tc>
      </w:tr>
    </w:tbl>
    <w:p>
      <w:pPr>
        <w:pStyle w:val="Normal"/>
        <w:jc w:val="both"/>
        <w:rPr>
          <w:rFonts w:ascii="Arial" w:hAnsi="Arial" w:cs="Arial"/>
          <w:b/>
          <w:b/>
          <w:bCs/>
          <w:sz w:val="20"/>
        </w:rPr>
      </w:pPr>
      <w:r>
        <w:rPr>
          <w:rFonts w:cs="Arial" w:ascii="Arial" w:hAnsi="Arial"/>
          <w:b/>
          <w:bCs/>
          <w:sz w:val="20"/>
        </w:rPr>
      </w:r>
    </w:p>
    <w:p>
      <w:pPr>
        <w:pStyle w:val="Normal"/>
        <w:jc w:val="center"/>
        <w:rPr>
          <w:rFonts w:ascii="Arial" w:hAnsi="Arial" w:cs="Arial"/>
          <w:b/>
          <w:b/>
          <w:bCs/>
          <w:sz w:val="20"/>
        </w:rPr>
      </w:pPr>
      <w:r>
        <w:rPr>
          <w:rFonts w:cs="Arial" w:ascii="Arial" w:hAnsi="Arial"/>
          <w:b/>
          <w:bCs/>
          <w:sz w:val="20"/>
        </w:rPr>
      </w:r>
    </w:p>
    <w:p>
      <w:pPr>
        <w:pStyle w:val="Normal"/>
        <w:jc w:val="both"/>
        <w:rPr>
          <w:rFonts w:ascii="Arial" w:hAnsi="Arial" w:cs="Arial"/>
          <w:b/>
          <w:b/>
          <w:bCs/>
          <w:sz w:val="20"/>
        </w:rPr>
      </w:pPr>
      <w:r>
        <w:rPr>
          <w:rFonts w:cs="Arial" w:ascii="Arial" w:hAnsi="Arial"/>
          <w:b/>
          <w:bCs/>
          <w:sz w:val="20"/>
        </w:rPr>
      </w:r>
    </w:p>
    <w:p>
      <w:pPr>
        <w:pStyle w:val="Normal"/>
        <w:jc w:val="both"/>
        <w:rPr>
          <w:rFonts w:ascii="Arial" w:hAnsi="Arial" w:cs="Arial"/>
          <w:sz w:val="20"/>
        </w:rPr>
      </w:pPr>
      <w:r>
        <w:rPr>
          <w:rFonts w:cs="Arial" w:ascii="Arial" w:hAnsi="Arial"/>
          <w:sz w:val="20"/>
        </w:rPr>
        <w:t xml:space="preserve">Ainsi, pour tous les salariés cadre et non-cadres de l’UES Darty Grand Ouest, seront appliquées les dispositions suivantes </w:t>
      </w:r>
    </w:p>
    <w:p>
      <w:pPr>
        <w:pStyle w:val="Normal"/>
        <w:jc w:val="both"/>
        <w:rPr>
          <w:rFonts w:ascii="Arial" w:hAnsi="Arial" w:cs="Arial"/>
          <w:sz w:val="20"/>
        </w:rPr>
      </w:pPr>
      <w:r>
        <w:rPr>
          <w:rFonts w:cs="Arial" w:ascii="Arial" w:hAnsi="Arial"/>
          <w:sz w:val="20"/>
        </w:rPr>
      </w:r>
    </w:p>
    <w:p>
      <w:pPr>
        <w:pStyle w:val="Normal"/>
        <w:numPr>
          <w:ilvl w:val="0"/>
          <w:numId w:val="7"/>
        </w:numPr>
        <w:rPr/>
      </w:pPr>
      <w:r>
        <w:rPr>
          <w:rFonts w:cs="Arial" w:ascii="Arial" w:hAnsi="Arial"/>
          <w:b/>
          <w:bCs/>
          <w:sz w:val="20"/>
        </w:rPr>
        <w:t>Hypothèse 1</w:t>
      </w:r>
      <w:r>
        <w:rPr>
          <w:rFonts w:cs="Arial" w:ascii="Arial" w:hAnsi="Arial"/>
          <w:sz w:val="20"/>
        </w:rPr>
        <w:t> : Salarié dont le salaire de base est en dessous du salaire minimum conventionnel de janvier, application de l’écart différencié de l’échelon correspondant</w:t>
      </w:r>
    </w:p>
    <w:p>
      <w:pPr>
        <w:pStyle w:val="Normal"/>
        <w:rPr>
          <w:rFonts w:ascii="Arial" w:hAnsi="Arial" w:eastAsia="Calibri" w:cs="Arial"/>
          <w:sz w:val="20"/>
        </w:rPr>
      </w:pPr>
      <w:r>
        <w:rPr>
          <w:rFonts w:eastAsia="Calibri" w:cs="Arial" w:ascii="Arial" w:hAnsi="Arial"/>
          <w:sz w:val="20"/>
        </w:rPr>
      </w:r>
    </w:p>
    <w:p>
      <w:pPr>
        <w:pStyle w:val="Normal"/>
        <w:rPr>
          <w:rFonts w:ascii="Arial" w:hAnsi="Arial" w:eastAsia="Calibri" w:cs="Arial"/>
          <w:sz w:val="20"/>
        </w:rPr>
      </w:pPr>
      <w:r>
        <w:rPr>
          <w:rFonts w:eastAsia="Calibri" w:cs="Arial" w:ascii="Arial" w:hAnsi="Arial"/>
          <w:sz w:val="20"/>
        </w:rPr>
      </w:r>
    </w:p>
    <w:p>
      <w:pPr>
        <w:pStyle w:val="Normal"/>
        <w:numPr>
          <w:ilvl w:val="0"/>
          <w:numId w:val="7"/>
        </w:numPr>
        <w:rPr>
          <w:rFonts w:ascii="Arial" w:hAnsi="Arial" w:cs="Arial"/>
          <w:sz w:val="20"/>
        </w:rPr>
      </w:pPr>
      <w:r>
        <w:rPr>
          <w:rFonts w:cs="Arial" w:ascii="Arial" w:hAnsi="Arial"/>
          <w:b/>
          <w:bCs/>
          <w:sz w:val="20"/>
        </w:rPr>
        <w:t xml:space="preserve">Hypothèse 2 </w:t>
      </w:r>
      <w:r>
        <w:rPr>
          <w:rFonts w:cs="Arial" w:ascii="Arial" w:hAnsi="Arial"/>
          <w:sz w:val="20"/>
        </w:rPr>
        <w:t>: Salarié dont le salaire de base est au-dessus du salaire minimum conventionnel de janvier mais inférieur au minima théorique de mai 2022, nous comparons et nous retenons au plus favorable entre :</w:t>
      </w:r>
    </w:p>
    <w:p>
      <w:pPr>
        <w:pStyle w:val="Normal"/>
        <w:ind w:left="720" w:hanging="0"/>
        <w:rPr>
          <w:rFonts w:ascii="Arial" w:hAnsi="Arial" w:cs="Arial"/>
          <w:sz w:val="20"/>
        </w:rPr>
      </w:pPr>
      <w:r>
        <w:rPr>
          <w:rFonts w:cs="Arial" w:ascii="Arial" w:hAnsi="Arial"/>
          <w:sz w:val="20"/>
        </w:rPr>
      </w:r>
    </w:p>
    <w:p>
      <w:pPr>
        <w:pStyle w:val="Normal"/>
        <w:numPr>
          <w:ilvl w:val="0"/>
          <w:numId w:val="8"/>
        </w:numPr>
        <w:rPr/>
      </w:pPr>
      <w:r>
        <w:rPr>
          <w:rFonts w:cs="Arial" w:ascii="Arial" w:hAnsi="Arial"/>
          <w:sz w:val="20"/>
        </w:rPr>
        <w:t xml:space="preserve">Salaire de base + écart différencié de l’échelon correspondant </w:t>
      </w:r>
    </w:p>
    <w:p>
      <w:pPr>
        <w:pStyle w:val="Normal"/>
        <w:numPr>
          <w:ilvl w:val="0"/>
          <w:numId w:val="8"/>
        </w:numPr>
        <w:rPr>
          <w:rFonts w:ascii="Arial" w:hAnsi="Arial" w:cs="Arial"/>
          <w:sz w:val="20"/>
        </w:rPr>
      </w:pPr>
      <w:r>
        <w:rPr>
          <w:rFonts w:cs="Arial" w:ascii="Arial" w:hAnsi="Arial"/>
          <w:sz w:val="20"/>
        </w:rPr>
        <w:t xml:space="preserve">Salaire de base * 1,025 </w:t>
      </w:r>
    </w:p>
    <w:p>
      <w:pPr>
        <w:pStyle w:val="Normal"/>
        <w:rPr>
          <w:rFonts w:ascii="Arial" w:hAnsi="Arial" w:eastAsia="Calibri" w:cs="Arial"/>
          <w:sz w:val="20"/>
        </w:rPr>
      </w:pPr>
      <w:r>
        <w:rPr>
          <w:rFonts w:eastAsia="Calibri" w:cs="Arial" w:ascii="Arial" w:hAnsi="Arial"/>
          <w:sz w:val="20"/>
        </w:rPr>
      </w:r>
    </w:p>
    <w:p>
      <w:pPr>
        <w:pStyle w:val="Normal"/>
        <w:numPr>
          <w:ilvl w:val="0"/>
          <w:numId w:val="7"/>
        </w:numPr>
        <w:rPr>
          <w:rFonts w:ascii="Arial" w:hAnsi="Arial" w:cs="Arial"/>
          <w:sz w:val="20"/>
        </w:rPr>
      </w:pPr>
      <w:r>
        <w:rPr>
          <w:rFonts w:cs="Arial" w:ascii="Arial" w:hAnsi="Arial"/>
          <w:b/>
          <w:bCs/>
          <w:sz w:val="20"/>
        </w:rPr>
        <w:t>Hypothèse 3</w:t>
      </w:r>
      <w:r>
        <w:rPr>
          <w:rFonts w:cs="Arial" w:ascii="Arial" w:hAnsi="Arial"/>
          <w:sz w:val="20"/>
        </w:rPr>
        <w:t> : Salarié dont le salaire de base est au-dessus du minima théorique de mai 2022 : augmentation de 2,5% du salaire de base.</w:t>
      </w:r>
    </w:p>
    <w:p>
      <w:pPr>
        <w:pStyle w:val="Normal"/>
        <w:jc w:val="both"/>
        <w:rPr>
          <w:rFonts w:ascii="Arial" w:hAnsi="Arial" w:cs="Arial"/>
          <w:sz w:val="20"/>
        </w:rPr>
      </w:pPr>
      <w:r>
        <w:rPr>
          <w:rFonts w:cs="Arial" w:ascii="Arial" w:hAnsi="Arial"/>
          <w:sz w:val="20"/>
        </w:rPr>
      </w:r>
    </w:p>
    <w:p>
      <w:pPr>
        <w:pStyle w:val="Retraitcorpsdetexte3"/>
        <w:spacing w:before="0" w:after="0"/>
        <w:ind w:left="0" w:hanging="0"/>
        <w:jc w:val="both"/>
        <w:rPr>
          <w:rFonts w:ascii="Arial" w:hAnsi="Arial" w:cs="Arial"/>
          <w:i/>
          <w:i/>
          <w:iCs/>
          <w:sz w:val="20"/>
          <w:szCs w:val="20"/>
        </w:rPr>
      </w:pPr>
      <w:r>
        <w:rPr>
          <w:rFonts w:cs="Arial" w:ascii="Arial" w:hAnsi="Arial"/>
          <w:i/>
          <w:iCs/>
          <w:sz w:val="20"/>
          <w:szCs w:val="20"/>
        </w:rPr>
      </w:r>
    </w:p>
    <w:p>
      <w:pPr>
        <w:pStyle w:val="Retraitcorpsdetexte3"/>
        <w:spacing w:before="0" w:after="0"/>
        <w:ind w:left="0" w:hanging="0"/>
        <w:jc w:val="both"/>
        <w:rPr>
          <w:rFonts w:ascii="Arial" w:hAnsi="Arial" w:cs="Arial"/>
          <w:i/>
          <w:i/>
          <w:iCs/>
          <w:sz w:val="20"/>
          <w:szCs w:val="20"/>
        </w:rPr>
      </w:pPr>
      <w:r>
        <w:rPr>
          <w:rFonts w:cs="Arial" w:ascii="Arial" w:hAnsi="Arial"/>
          <w:i/>
          <w:iCs/>
          <w:sz w:val="20"/>
          <w:szCs w:val="20"/>
        </w:rPr>
      </w:r>
    </w:p>
    <w:p>
      <w:pPr>
        <w:pStyle w:val="Retraitcorpsdetexte3"/>
        <w:spacing w:before="0" w:after="0"/>
        <w:ind w:left="0" w:hanging="0"/>
        <w:jc w:val="both"/>
        <w:rPr/>
      </w:pPr>
      <w:r>
        <w:rPr>
          <w:rFonts w:cs="Arial" w:ascii="Arial" w:hAnsi="Arial"/>
          <w:i/>
          <w:iCs/>
          <w:sz w:val="20"/>
          <w:szCs w:val="20"/>
        </w:rPr>
        <w:t>Ainsi, les nouvelles grilles de salaire applicables sur l’UES Darty Grand Ouest à compter du 1</w:t>
      </w:r>
      <w:r>
        <w:rPr>
          <w:rFonts w:cs="Arial" w:ascii="Arial" w:hAnsi="Arial"/>
          <w:i/>
          <w:iCs/>
          <w:sz w:val="20"/>
          <w:szCs w:val="20"/>
          <w:vertAlign w:val="superscript"/>
        </w:rPr>
        <w:t>er</w:t>
      </w:r>
      <w:r>
        <w:rPr>
          <w:rFonts w:cs="Arial" w:ascii="Arial" w:hAnsi="Arial"/>
          <w:i/>
          <w:iCs/>
          <w:sz w:val="20"/>
          <w:szCs w:val="20"/>
        </w:rPr>
        <w:t xml:space="preserve"> mai 2022 seront les suivantes : </w:t>
      </w:r>
    </w:p>
    <w:p>
      <w:pPr>
        <w:pStyle w:val="Retraitcorpsdetexte3"/>
        <w:spacing w:before="0" w:after="0"/>
        <w:ind w:left="0" w:hanging="0"/>
        <w:jc w:val="both"/>
        <w:rPr>
          <w:rFonts w:ascii="Arial" w:hAnsi="Arial" w:cs="Arial"/>
          <w:i/>
          <w:i/>
          <w:iCs/>
          <w:sz w:val="20"/>
          <w:szCs w:val="20"/>
        </w:rPr>
      </w:pPr>
      <w:r>
        <w:rPr>
          <w:rFonts w:cs="Arial" w:ascii="Arial" w:hAnsi="Arial"/>
          <w:i/>
          <w:iCs/>
          <w:sz w:val="20"/>
          <w:szCs w:val="20"/>
        </w:rPr>
      </w:r>
    </w:p>
    <w:p>
      <w:pPr>
        <w:pStyle w:val="Retraitcorpsdetexte3"/>
        <w:spacing w:before="0" w:after="0"/>
        <w:ind w:left="0" w:hanging="0"/>
        <w:jc w:val="both"/>
        <w:rPr>
          <w:rFonts w:ascii="Arial" w:hAnsi="Arial" w:cs="Arial"/>
          <w:i/>
          <w:i/>
          <w:iCs/>
          <w:sz w:val="20"/>
          <w:szCs w:val="20"/>
        </w:rPr>
      </w:pPr>
      <w:r>
        <w:rPr/>
        <w:drawing>
          <wp:inline distT="0" distB="0" distL="0" distR="0">
            <wp:extent cx="5753735" cy="7032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2" r="-3" b="-2"/>
                    <a:stretch>
                      <a:fillRect/>
                    </a:stretch>
                  </pic:blipFill>
                  <pic:spPr bwMode="auto">
                    <a:xfrm>
                      <a:off x="0" y="0"/>
                      <a:ext cx="5753735" cy="7032625"/>
                    </a:xfrm>
                    <a:prstGeom prst="rect">
                      <a:avLst/>
                    </a:prstGeom>
                  </pic:spPr>
                </pic:pic>
              </a:graphicData>
            </a:graphic>
          </wp:inline>
        </w:drawing>
      </w:r>
    </w:p>
    <w:p>
      <w:pPr>
        <w:pStyle w:val="Retraitcorpsdetexte3"/>
        <w:spacing w:before="0" w:after="0"/>
        <w:ind w:left="0" w:hanging="0"/>
        <w:jc w:val="both"/>
        <w:rPr>
          <w:rFonts w:ascii="Arial" w:hAnsi="Arial" w:cs="Arial"/>
          <w:i/>
          <w:i/>
          <w:iCs/>
          <w:sz w:val="20"/>
          <w:szCs w:val="20"/>
        </w:rPr>
      </w:pPr>
      <w:r>
        <w:rPr>
          <w:rFonts w:cs="Arial" w:ascii="Arial" w:hAnsi="Arial"/>
          <w:i/>
          <w:iCs/>
          <w:sz w:val="20"/>
          <w:szCs w:val="20"/>
        </w:rPr>
      </w:r>
    </w:p>
    <w:p>
      <w:pPr>
        <w:pStyle w:val="Retraitcorpsdetexte3"/>
        <w:spacing w:before="0" w:after="0"/>
        <w:ind w:left="0" w:hanging="0"/>
        <w:jc w:val="both"/>
        <w:rPr>
          <w:rFonts w:ascii="Arial" w:hAnsi="Arial" w:cs="Arial"/>
          <w:i/>
          <w:i/>
          <w:iCs/>
          <w:sz w:val="20"/>
          <w:szCs w:val="20"/>
        </w:rPr>
      </w:pPr>
      <w:r>
        <w:rPr>
          <w:rFonts w:cs="Arial" w:ascii="Arial" w:hAnsi="Arial"/>
          <w:i/>
          <w:iCs/>
          <w:sz w:val="20"/>
          <w:szCs w:val="20"/>
        </w:rPr>
      </w:r>
    </w:p>
    <w:p>
      <w:pPr>
        <w:pStyle w:val="Normal"/>
        <w:tabs>
          <w:tab w:val="left" w:pos="6350" w:leader="none"/>
        </w:tabs>
        <w:jc w:val="both"/>
        <w:rPr>
          <w:rFonts w:ascii="Arial" w:hAnsi="Arial" w:cs="Arial"/>
          <w:i/>
          <w:i/>
          <w:iCs/>
          <w:sz w:val="20"/>
          <w:szCs w:val="20"/>
        </w:rPr>
      </w:pPr>
      <w:r>
        <w:rPr>
          <w:rFonts w:cs="Arial" w:ascii="Arial" w:hAnsi="Arial"/>
          <w:i/>
          <w:iCs/>
          <w:sz w:val="20"/>
          <w:szCs w:val="20"/>
        </w:rPr>
      </w:r>
    </w:p>
    <w:p>
      <w:pPr>
        <w:pStyle w:val="Normal"/>
        <w:jc w:val="both"/>
        <w:rPr>
          <w:rFonts w:ascii="Arial" w:hAnsi="Arial" w:cs="Arial"/>
          <w:sz w:val="20"/>
        </w:rPr>
      </w:pPr>
      <w:r>
        <w:rPr>
          <w:rFonts w:cs="Arial" w:ascii="Arial" w:hAnsi="Arial"/>
          <w:sz w:val="20"/>
        </w:rPr>
        <w:t xml:space="preserve">Ces revalorisations de salaires ne s’appliquent pas : </w:t>
      </w:r>
    </w:p>
    <w:p>
      <w:pPr>
        <w:pStyle w:val="Normal"/>
        <w:jc w:val="both"/>
        <w:rPr>
          <w:rFonts w:ascii="Arial" w:hAnsi="Arial" w:cs="Arial"/>
          <w:sz w:val="20"/>
        </w:rPr>
      </w:pPr>
      <w:r>
        <w:rPr>
          <w:rFonts w:cs="Arial" w:ascii="Arial" w:hAnsi="Arial"/>
          <w:sz w:val="20"/>
        </w:rPr>
      </w:r>
    </w:p>
    <w:p>
      <w:pPr>
        <w:pStyle w:val="Paragraphedeliste"/>
        <w:numPr>
          <w:ilvl w:val="0"/>
          <w:numId w:val="6"/>
        </w:numPr>
        <w:spacing w:lineRule="auto" w:line="276" w:before="0" w:after="200"/>
        <w:contextualSpacing/>
        <w:jc w:val="both"/>
        <w:rPr/>
      </w:pPr>
      <w:r>
        <w:rPr>
          <w:rFonts w:cs="Arial" w:ascii="Arial" w:hAnsi="Arial"/>
          <w:sz w:val="20"/>
        </w:rPr>
        <w:t>Aux salariés cadres et non-cadres ayant moins de 6 mois d’ancienneté au 1</w:t>
      </w:r>
      <w:r>
        <w:rPr>
          <w:rFonts w:cs="Arial" w:ascii="Arial" w:hAnsi="Arial"/>
          <w:sz w:val="20"/>
          <w:vertAlign w:val="superscript"/>
        </w:rPr>
        <w:t>er</w:t>
      </w:r>
      <w:r>
        <w:rPr>
          <w:rFonts w:cs="Arial" w:ascii="Arial" w:hAnsi="Arial"/>
          <w:sz w:val="20"/>
        </w:rPr>
        <w:t xml:space="preserve"> mai 2022 ; ni, </w:t>
      </w:r>
    </w:p>
    <w:p>
      <w:pPr>
        <w:pStyle w:val="Paragraphedeliste"/>
        <w:numPr>
          <w:ilvl w:val="0"/>
          <w:numId w:val="6"/>
        </w:numPr>
        <w:spacing w:lineRule="auto" w:line="276" w:before="0" w:after="200"/>
        <w:contextualSpacing/>
        <w:jc w:val="both"/>
        <w:rPr/>
      </w:pPr>
      <w:r>
        <w:rPr>
          <w:rFonts w:cs="Arial" w:ascii="Arial" w:hAnsi="Arial"/>
          <w:sz w:val="20"/>
        </w:rPr>
        <w:t>Aux salariés cadres et non-cadres ayant bénéficié d’une augmentation de salaire individuelle ou promotionnelle au cours des 6 mois précédant le 1</w:t>
      </w:r>
      <w:r>
        <w:rPr>
          <w:rFonts w:cs="Arial" w:ascii="Arial" w:hAnsi="Arial"/>
          <w:sz w:val="20"/>
          <w:vertAlign w:val="superscript"/>
        </w:rPr>
        <w:t>er</w:t>
      </w:r>
      <w:r>
        <w:rPr>
          <w:rFonts w:cs="Arial" w:ascii="Arial" w:hAnsi="Arial"/>
          <w:sz w:val="20"/>
        </w:rPr>
        <w:t xml:space="preserve"> mai 2022. </w:t>
      </w:r>
    </w:p>
    <w:p>
      <w:pPr>
        <w:pStyle w:val="Normal"/>
        <w:ind w:left="360" w:hanging="0"/>
        <w:jc w:val="both"/>
        <w:rPr/>
      </w:pPr>
      <w:r>
        <w:rPr>
          <w:rFonts w:cs="Arial" w:ascii="Arial" w:hAnsi="Arial"/>
          <w:sz w:val="20"/>
        </w:rPr>
        <w:t xml:space="preserve">Pour les salariés cadres et non-cadres ayant bénéficié d’une augmentation de salaire individuelle ou promotionnelle au cours des 6 derniers mois d’un montant inférieur à de 2,5% de leur salaire de base, ils bénéficieront d’une augmentation de salaire complémentaire pour atteindre un total cumulé de 2,5% d’augmentation de leur salaire de base. </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Il est entendu que ces mesures ne sont pas cumulatives et s’appliqueront au 1</w:t>
      </w:r>
      <w:r>
        <w:rPr>
          <w:rFonts w:cs="Arial" w:ascii="Arial" w:hAnsi="Arial"/>
          <w:sz w:val="20"/>
          <w:vertAlign w:val="superscript"/>
        </w:rPr>
        <w:t>er</w:t>
      </w:r>
      <w:r>
        <w:rPr>
          <w:rFonts w:cs="Arial" w:ascii="Arial" w:hAnsi="Arial"/>
          <w:sz w:val="20"/>
        </w:rPr>
        <w:t xml:space="preserve"> mai 2022.</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Heading1"/>
        <w:numPr>
          <w:ilvl w:val="0"/>
          <w:numId w:val="1"/>
        </w:numPr>
        <w:rPr/>
      </w:pPr>
      <w:bookmarkStart w:id="6" w:name="__RefHeading___Toc102027994"/>
      <w:bookmarkEnd w:id="6"/>
      <w:r>
        <w:rPr/>
        <w:t>Article VI – Modification des motifs d’absences donnant lieu à l’abattement de  la prime de fin d’année</w:t>
      </w:r>
    </w:p>
    <w:p>
      <w:pPr>
        <w:pStyle w:val="Normal"/>
        <w:rPr/>
      </w:pPr>
      <w:r>
        <w:rPr/>
      </w:r>
    </w:p>
    <w:p>
      <w:pPr>
        <w:pStyle w:val="Normal"/>
        <w:rPr>
          <w:rFonts w:ascii="Arial" w:hAnsi="Arial" w:cs="Arial"/>
          <w:sz w:val="20"/>
        </w:rPr>
      </w:pPr>
      <w:r>
        <w:rPr>
          <w:rFonts w:cs="Arial" w:ascii="Arial" w:hAnsi="Arial"/>
          <w:sz w:val="20"/>
        </w:rPr>
        <w:t>Comme c’est déjà le cas pour le calcul de l’intéressement, de la participation et de la prime vacance, les absences congé maternité et paternité n’entraîneront pas un abattement de la prime de fin d’année et seront considérées comme du temps de travail effectif.</w:t>
      </w:r>
    </w:p>
    <w:p>
      <w:pPr>
        <w:pStyle w:val="Normal"/>
        <w:rPr/>
      </w:pPr>
      <w:r>
        <w:rPr>
          <w:rFonts w:cs="Arial" w:ascii="Arial" w:hAnsi="Arial"/>
          <w:sz w:val="20"/>
        </w:rPr>
        <w:t>Les autres dispositions sont  inchangées</w:t>
      </w:r>
      <w:r>
        <w:rPr/>
        <w:t>.</w:t>
      </w:r>
    </w:p>
    <w:p>
      <w:pPr>
        <w:pStyle w:val="Normal"/>
        <w:rPr/>
      </w:pPr>
      <w:r>
        <w:rPr/>
      </w:r>
    </w:p>
    <w:p>
      <w:pPr>
        <w:pStyle w:val="Heading1"/>
        <w:numPr>
          <w:ilvl w:val="0"/>
          <w:numId w:val="1"/>
        </w:numPr>
        <w:rPr/>
      </w:pPr>
      <w:bookmarkStart w:id="7" w:name="__RefHeading___Toc102027995"/>
      <w:bookmarkEnd w:id="7"/>
      <w:r>
        <w:rPr/>
        <w:t>Article VII – Qualité de vie au travail</w:t>
      </w:r>
    </w:p>
    <w:p>
      <w:pPr>
        <w:pStyle w:val="Normal"/>
        <w:rPr/>
      </w:pPr>
      <w:r>
        <w:rPr/>
      </w:r>
    </w:p>
    <w:p>
      <w:pPr>
        <w:pStyle w:val="Normal"/>
        <w:rPr/>
      </w:pPr>
      <w:r>
        <w:rPr>
          <w:rFonts w:cs="Arial" w:ascii="Arial" w:hAnsi="Arial"/>
          <w:sz w:val="20"/>
        </w:rPr>
        <w:t>Conformément aux dispositions de l’accord groupe sur la Qualité de Vie au Travail, la Direction souhaite initier des tests d’organisation du travail innovants et différents, afin de s’adapter aux évolutions du marché du travail et des aspirations des collaborateurs et futurs collaborateurs.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Dans ce cadre, des tests d’organisation du travail sur 4 jours par semaine seront initiés sur la période de modulation 2022/2023 sur les filières magasin, livraison et IAD dans un premier temps ; les modalités, l’organisation et le suivi de ces tests seront définies avec des managers volontaires, en collaboration avec les instances représentatives du personnel.</w:t>
      </w:r>
    </w:p>
    <w:p>
      <w:pPr>
        <w:pStyle w:val="Heading1"/>
        <w:numPr>
          <w:ilvl w:val="0"/>
          <w:numId w:val="1"/>
        </w:numPr>
        <w:rPr/>
      </w:pPr>
      <w:bookmarkStart w:id="8" w:name="__RefHeading___Toc102027996"/>
      <w:r>
        <w:rPr/>
        <w:t>Article VIII – Prime d’installation en cas de mobilité</w:t>
      </w:r>
      <w:bookmarkEnd w:id="8"/>
      <w:r>
        <w:rPr/>
        <w:t xml:space="preserve"> </w:t>
      </w:r>
    </w:p>
    <w:p>
      <w:pPr>
        <w:pStyle w:val="Normal"/>
        <w:rPr/>
      </w:pPr>
      <w:r>
        <w:rPr/>
      </w:r>
    </w:p>
    <w:p>
      <w:pPr>
        <w:pStyle w:val="Normal"/>
        <w:rPr>
          <w:rFonts w:ascii="Arial" w:hAnsi="Arial" w:cs="Arial"/>
          <w:sz w:val="20"/>
        </w:rPr>
      </w:pPr>
      <w:r>
        <w:rPr>
          <w:rFonts w:cs="Arial" w:ascii="Arial" w:hAnsi="Arial"/>
          <w:sz w:val="20"/>
        </w:rPr>
        <w:t>En application de l’accord Groupe portant sur la Gestion des Emplois et des Parcours Professionnels (GEPP), la prime « rideau » jusqu’ici en vigueur sur l’UES Darty Grand Ouest en cas de mobilité est supprimée et remplacée par la Prime d’installation (cf article 4-2-3 L’accompagnement au déménagement)</w:t>
      </w:r>
    </w:p>
    <w:p>
      <w:pPr>
        <w:pStyle w:val="Heading1"/>
        <w:numPr>
          <w:ilvl w:val="0"/>
          <w:numId w:val="1"/>
        </w:numPr>
        <w:rPr/>
      </w:pPr>
      <w:bookmarkStart w:id="9" w:name="__RefHeading___Toc102027997"/>
      <w:r>
        <w:rPr/>
        <w:t>Article IX – Congés pour évènements familiaux</w:t>
      </w:r>
      <w:bookmarkEnd w:id="9"/>
      <w:r>
        <w:rPr/>
        <w:t xml:space="preserve"> </w:t>
      </w:r>
    </w:p>
    <w:p>
      <w:pPr>
        <w:pStyle w:val="Normal"/>
        <w:jc w:val="both"/>
        <w:rPr>
          <w:rFonts w:ascii="Arial" w:hAnsi="Arial" w:cs="Arial"/>
          <w:sz w:val="20"/>
        </w:rPr>
      </w:pPr>
      <w:r>
        <w:rPr>
          <w:rFonts w:cs="Arial" w:ascii="Arial" w:hAnsi="Arial"/>
          <w:sz w:val="20"/>
        </w:rPr>
      </w:r>
    </w:p>
    <w:p>
      <w:pPr>
        <w:pStyle w:val="NormalWeb"/>
        <w:spacing w:before="0" w:after="0"/>
        <w:rPr>
          <w:rFonts w:ascii="Arial" w:hAnsi="Arial" w:cs="Arial"/>
          <w:sz w:val="20"/>
          <w:szCs w:val="20"/>
        </w:rPr>
      </w:pPr>
      <w:r>
        <w:rPr>
          <w:rFonts w:cs="Arial" w:ascii="Arial" w:hAnsi="Arial"/>
          <w:color w:val="000000"/>
          <w:sz w:val="20"/>
          <w:szCs w:val="20"/>
        </w:rPr>
        <w:t>Le congé spécifique, dont bénéficient les parents suite à l’annonce d’une maladie chronique ou d’un cancer d’un de leur enfant, est porté de 2 à 5 jours.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rPr>
      </w:pPr>
      <w:r>
        <w:rPr>
          <w:rFonts w:cs="Arial" w:ascii="Arial" w:hAnsi="Arial"/>
          <w:sz w:val="20"/>
        </w:rPr>
        <w:t>Par ailleurs, il est rappelé que les dispositions concernant la garde d’un enfant malade, ne sont pas cumulables entre elles et s’entendent par salarié quel que soit le nombre d’enfant (hormis le cas n°1)</w:t>
      </w:r>
    </w:p>
    <w:p>
      <w:pPr>
        <w:pStyle w:val="Normal"/>
        <w:ind w:left="714" w:hanging="0"/>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Enfin, les jours pour évènement familial doivent être pris dans une période entourant l’évènement et sont attribués sur présentation d’un justificatif.</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Heading1"/>
        <w:numPr>
          <w:ilvl w:val="0"/>
          <w:numId w:val="1"/>
        </w:numPr>
        <w:rPr/>
      </w:pPr>
      <w:bookmarkStart w:id="10" w:name="__RefHeading___Toc102027998"/>
      <w:bookmarkEnd w:id="10"/>
      <w:r>
        <w:rPr/>
        <w:t>Article X – Modification du mode de gratifications servies à l'occasion de la médaille du travail</w:t>
      </w:r>
    </w:p>
    <w:p>
      <w:pPr>
        <w:pStyle w:val="Normal"/>
        <w:jc w:val="both"/>
        <w:rPr>
          <w:sz w:val="20"/>
        </w:rPr>
      </w:pPr>
      <w:r>
        <w:rPr>
          <w:sz w:val="20"/>
        </w:rPr>
      </w:r>
    </w:p>
    <w:p>
      <w:pPr>
        <w:pStyle w:val="Normal"/>
        <w:jc w:val="both"/>
        <w:rPr/>
      </w:pPr>
      <w:r>
        <w:rPr>
          <w:rFonts w:cs="Arial" w:ascii="Arial" w:hAnsi="Arial"/>
          <w:sz w:val="20"/>
        </w:rPr>
        <w:t xml:space="preserve">Tout collaborateur souhaitant bénéficier d’une gratification dans le cadre de la médaille du travail doit accompagner sa demande (courrier simple / courriel) d’un diplôme daté </w:t>
      </w:r>
      <w:r>
        <w:rPr>
          <w:rFonts w:cs="Arial" w:ascii="Arial" w:hAnsi="Arial"/>
          <w:sz w:val="20"/>
          <w:u w:val="single"/>
        </w:rPr>
        <w:t>de moins d’un an.</w:t>
      </w:r>
    </w:p>
    <w:p>
      <w:pPr>
        <w:pStyle w:val="Normal"/>
        <w:jc w:val="both"/>
        <w:rPr>
          <w:rFonts w:ascii="Arial" w:hAnsi="Arial" w:cs="Arial"/>
          <w:i/>
          <w:i/>
          <w:sz w:val="20"/>
          <w:u w:val="single"/>
          <w:lang w:eastAsia="ja-JP"/>
        </w:rPr>
      </w:pPr>
      <w:r>
        <w:rPr>
          <w:rFonts w:cs="Arial" w:ascii="Arial" w:hAnsi="Arial"/>
          <w:i/>
          <w:sz w:val="20"/>
          <w:u w:val="single"/>
          <w:lang w:eastAsia="ja-JP"/>
        </w:rPr>
      </w:r>
    </w:p>
    <w:p>
      <w:pPr>
        <w:pStyle w:val="Normal"/>
        <w:jc w:val="both"/>
        <w:rPr/>
      </w:pPr>
      <w:r>
        <w:rPr>
          <w:rFonts w:cs="Arial" w:ascii="Arial" w:hAnsi="Arial"/>
          <w:sz w:val="20"/>
          <w:lang w:eastAsia="ja-JP"/>
        </w:rPr>
        <w:t xml:space="preserve">Ainsi, sur production de la remise </w:t>
      </w:r>
      <w:r>
        <w:rPr>
          <w:rFonts w:cs="Arial" w:ascii="Arial" w:hAnsi="Arial"/>
          <w:sz w:val="20"/>
        </w:rPr>
        <w:t>du diplôme qui rappelle les services pour lesquels ils sont récompensés, les récipiendaires de la médaille d'honneur du travail qui totalisent :</w:t>
      </w:r>
    </w:p>
    <w:p>
      <w:pPr>
        <w:pStyle w:val="Normal"/>
        <w:jc w:val="both"/>
        <w:rPr>
          <w:rFonts w:ascii="Arial" w:hAnsi="Arial" w:cs="Arial"/>
          <w:i/>
          <w:i/>
          <w:sz w:val="20"/>
        </w:rPr>
      </w:pPr>
      <w:r>
        <w:rPr>
          <w:rFonts w:cs="Arial" w:ascii="Arial" w:hAnsi="Arial"/>
          <w:i/>
          <w:sz w:val="20"/>
        </w:rPr>
      </w:r>
    </w:p>
    <w:p>
      <w:pPr>
        <w:pStyle w:val="Normal"/>
        <w:numPr>
          <w:ilvl w:val="0"/>
          <w:numId w:val="4"/>
        </w:numPr>
        <w:jc w:val="both"/>
        <w:rPr>
          <w:rFonts w:ascii="Arial" w:hAnsi="Arial" w:cs="Arial"/>
          <w:sz w:val="20"/>
        </w:rPr>
      </w:pPr>
      <w:r>
        <w:rPr>
          <w:rFonts w:cs="Arial" w:ascii="Arial" w:hAnsi="Arial"/>
          <w:b/>
          <w:sz w:val="20"/>
        </w:rPr>
        <w:t>20 ans d’ancienneté</w:t>
      </w:r>
      <w:r>
        <w:rPr>
          <w:rFonts w:cs="Arial" w:ascii="Arial" w:hAnsi="Arial"/>
          <w:sz w:val="20"/>
        </w:rPr>
        <w:t xml:space="preserve"> au sein de l’entreprise bénéficient désormais d’une</w:t>
      </w:r>
      <w:r>
        <w:rPr>
          <w:rFonts w:cs="Arial" w:ascii="Arial" w:hAnsi="Arial"/>
          <w:b/>
          <w:sz w:val="20"/>
        </w:rPr>
        <w:t xml:space="preserve"> </w:t>
      </w:r>
      <w:r>
        <w:rPr>
          <w:rFonts w:cs="Arial" w:ascii="Arial" w:hAnsi="Arial"/>
          <w:sz w:val="20"/>
        </w:rPr>
        <w:t>gratification</w:t>
      </w:r>
      <w:r>
        <w:rPr>
          <w:rFonts w:cs="Arial" w:ascii="Arial" w:hAnsi="Arial"/>
          <w:b/>
          <w:sz w:val="20"/>
        </w:rPr>
        <w:t xml:space="preserve"> </w:t>
      </w:r>
      <w:r>
        <w:rPr>
          <w:rFonts w:cs="Arial" w:ascii="Arial" w:hAnsi="Arial"/>
          <w:sz w:val="20"/>
        </w:rPr>
        <w:t xml:space="preserve">de 600 euros nets (en remplacement des bons d’achat) </w:t>
      </w:r>
    </w:p>
    <w:p>
      <w:pPr>
        <w:pStyle w:val="Normal"/>
        <w:numPr>
          <w:ilvl w:val="0"/>
          <w:numId w:val="4"/>
        </w:numPr>
        <w:jc w:val="both"/>
        <w:rPr/>
      </w:pPr>
      <w:r>
        <w:rPr>
          <w:rFonts w:cs="Arial" w:ascii="Arial" w:hAnsi="Arial"/>
          <w:b/>
          <w:sz w:val="20"/>
        </w:rPr>
        <w:t>30 ans d’ancienneté</w:t>
      </w:r>
      <w:r>
        <w:rPr>
          <w:rFonts w:cs="Arial" w:ascii="Arial" w:hAnsi="Arial"/>
          <w:sz w:val="20"/>
        </w:rPr>
        <w:t xml:space="preserve"> au sein de l’entreprise bénéficient désormais d’une gratification de 800 euros nets (en remplacement des bons d’achat)</w:t>
      </w:r>
    </w:p>
    <w:p>
      <w:pPr>
        <w:pStyle w:val="Normal"/>
        <w:numPr>
          <w:ilvl w:val="0"/>
          <w:numId w:val="4"/>
        </w:numPr>
        <w:jc w:val="both"/>
        <w:rPr>
          <w:rFonts w:ascii="Arial" w:hAnsi="Arial" w:cs="Arial"/>
          <w:sz w:val="20"/>
        </w:rPr>
      </w:pPr>
      <w:r>
        <w:rPr>
          <w:rFonts w:cs="Arial" w:ascii="Arial" w:hAnsi="Arial"/>
          <w:b/>
          <w:sz w:val="20"/>
        </w:rPr>
        <w:t>40 ans d’ancienneté</w:t>
      </w:r>
      <w:r>
        <w:rPr>
          <w:rFonts w:cs="Arial" w:ascii="Arial" w:hAnsi="Arial"/>
          <w:sz w:val="20"/>
        </w:rPr>
        <w:t xml:space="preserve"> au sein de l’entreprise bénéficient désormais d’une gratification de 1000 euros nets (en remplacement des bons d’achat)</w:t>
      </w:r>
    </w:p>
    <w:p>
      <w:pPr>
        <w:pStyle w:val="Normal"/>
        <w:jc w:val="both"/>
        <w:rPr>
          <w:rFonts w:ascii="Arial" w:hAnsi="Arial" w:cs="Arial"/>
          <w:b/>
          <w:b/>
          <w:sz w:val="20"/>
        </w:rPr>
      </w:pPr>
      <w:r>
        <w:rPr>
          <w:rFonts w:cs="Arial" w:ascii="Arial" w:hAnsi="Arial"/>
          <w:b/>
          <w:sz w:val="20"/>
        </w:rPr>
      </w:r>
    </w:p>
    <w:p>
      <w:pPr>
        <w:pStyle w:val="Heading1"/>
        <w:numPr>
          <w:ilvl w:val="0"/>
          <w:numId w:val="1"/>
        </w:numPr>
        <w:rPr/>
      </w:pPr>
      <w:bookmarkStart w:id="11" w:name="__RefHeading___Toc102027999"/>
      <w:bookmarkEnd w:id="11"/>
      <w:r>
        <w:rPr/>
        <w:t>Article XII – Date d’application de l’accord</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Le  présent accord entrera en vigueur à compter de l’accomplissement des formalités de dépôt et de publicité.</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Enfin, le présent accord est conclu pour une durée indéterminée.</w:t>
      </w:r>
    </w:p>
    <w:p>
      <w:pPr>
        <w:pStyle w:val="Heading1"/>
        <w:numPr>
          <w:ilvl w:val="0"/>
          <w:numId w:val="1"/>
        </w:numPr>
        <w:rPr/>
      </w:pPr>
      <w:bookmarkStart w:id="12" w:name="__RefHeading___Toc102028000"/>
      <w:bookmarkEnd w:id="12"/>
      <w:r>
        <w:rPr/>
        <w:t>Article XIII – Dépôt et publicité de l’accord</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Conformément aux dispositions</w:t>
      </w:r>
      <w:bookmarkStart w:id="13" w:name="top"/>
      <w:bookmarkEnd w:id="13"/>
      <w:r>
        <w:rPr>
          <w:rFonts w:cs="Arial" w:ascii="Arial" w:hAnsi="Arial"/>
          <w:sz w:val="20"/>
        </w:rPr>
        <w:t xml:space="preserve"> des articles L 2231-6 et suivants et D. 2231-4 du Code du travail, à l’issue du délai indiqué à l’article précédent, le présent accord sera déposé en deux exemplaires auprès de la DREETS des Pays de la Loire, dont une version sur support papier signée des parties et une version sur support électronique et en un exemplaire auprès du Conseil de prud’hommes de Nantes.</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Il sera par ailleurs publié en ligne, sur une base de données nationale, conformément à l’article L. 2231-5-1 du Code du travail.</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Enfin, cet accord figurera sur les tableaux d’affichage réservés à cet effet dans l’ensemble des établissements de l’U.E.S. Darty Grand Ouest.</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Le présent accord est fait en nombre suffisant pour remise à chacune des parties.</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Fait à Nantes, le 28 Avril 2022.</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b/>
          <w:iCs/>
          <w:sz w:val="20"/>
        </w:rPr>
        <w:t xml:space="preserve">Pour les sociétés de l’U.E.S. </w:t>
      </w:r>
      <w:r>
        <w:rPr>
          <w:rFonts w:cs="Arial" w:ascii="Arial" w:hAnsi="Arial"/>
          <w:b/>
          <w:iCs/>
          <w:smallCaps/>
          <w:sz w:val="20"/>
        </w:rPr>
        <w:t>DARTY GRAND OUEST,</w:t>
      </w:r>
      <w:r>
        <w:rPr>
          <w:rFonts w:cs="Arial" w:ascii="Arial" w:hAnsi="Arial"/>
          <w:sz w:val="20"/>
        </w:rPr>
        <w:t>;</w:t>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La C.F.D.T.,</w:t>
      </w:r>
      <w:r>
        <w:rPr>
          <w:rFonts w:cs="Arial" w:ascii="Arial" w:hAnsi="Arial"/>
          <w:sz w:val="20"/>
        </w:rPr>
        <w:t xml:space="preserve"> représentée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pPr>
      <w:r>
        <w:rPr>
          <w:rFonts w:cs="Arial" w:ascii="Arial" w:hAnsi="Arial"/>
          <w:b/>
          <w:sz w:val="20"/>
        </w:rPr>
        <w:t>La C.F.E.-C.G.C.,</w:t>
      </w:r>
      <w:r>
        <w:rPr>
          <w:rFonts w:cs="Arial" w:ascii="Arial" w:hAnsi="Arial"/>
          <w:sz w:val="20"/>
        </w:rPr>
        <w:t xml:space="preserve"> représentée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La C.F.T.C.,</w:t>
      </w:r>
      <w:r>
        <w:rPr>
          <w:rFonts w:cs="Arial" w:ascii="Arial" w:hAnsi="Arial"/>
          <w:sz w:val="20"/>
        </w:rPr>
        <w:t xml:space="preserve"> représentée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b/>
          <w:b/>
          <w:sz w:val="20"/>
        </w:rPr>
      </w:pPr>
      <w:r>
        <w:rPr>
          <w:rFonts w:cs="Arial" w:ascii="Arial" w:hAnsi="Arial"/>
          <w:b/>
          <w:sz w:val="20"/>
        </w:rPr>
      </w:r>
    </w:p>
    <w:p>
      <w:pPr>
        <w:pStyle w:val="Normal"/>
        <w:autoSpaceDE w:val="false"/>
        <w:jc w:val="both"/>
        <w:rPr>
          <w:rFonts w:ascii="Arial" w:hAnsi="Arial" w:cs="Arial"/>
          <w:sz w:val="20"/>
        </w:rPr>
      </w:pPr>
      <w:r>
        <w:rPr>
          <w:rFonts w:cs="Arial" w:ascii="Arial" w:hAnsi="Arial"/>
          <w:b/>
          <w:sz w:val="20"/>
        </w:rPr>
        <w:t xml:space="preserve">La C.G.T. Darty Grand Ouest, </w:t>
      </w:r>
      <w:r>
        <w:rPr>
          <w:rFonts w:cs="Arial" w:ascii="Arial" w:hAnsi="Arial"/>
          <w:sz w:val="20"/>
        </w:rPr>
        <w:t xml:space="preserve">représentée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b/>
          <w:sz w:val="20"/>
        </w:rPr>
        <w:t>Le S.L.</w:t>
      </w:r>
      <w:r>
        <w:rPr>
          <w:rFonts w:cs="Arial" w:ascii="Arial" w:hAnsi="Arial"/>
          <w:sz w:val="20"/>
        </w:rPr>
        <w:t xml:space="preserve">, représenté par </w:t>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p>
      <w:pPr>
        <w:pStyle w:val="Normal"/>
        <w:autoSpaceDE w:val="false"/>
        <w:jc w:val="both"/>
        <w:rPr>
          <w:rFonts w:ascii="Arial" w:hAnsi="Arial" w:cs="Arial"/>
          <w:sz w:val="20"/>
        </w:rPr>
      </w:pPr>
      <w:r>
        <w:rPr>
          <w:rFonts w:cs="Arial" w:ascii="Arial" w:hAnsi="Arial"/>
          <w:sz w:val="20"/>
        </w:rPr>
      </w:r>
    </w:p>
    <w:sectPr>
      <w:headerReference w:type="default" r:id="rId3"/>
      <w:footerReference w:type="default" r:id="rId4"/>
      <w:type w:val="nextPage"/>
      <w:pgSz w:w="11906" w:h="16838"/>
      <w:pgMar w:left="1417" w:right="1417" w:header="708" w:top="1135"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instrText> PAGE </w:instrText>
    </w:r>
    <w:r>
      <w:fldChar w:fldCharType="separate"/>
    </w:r>
    <w:r>
      <w:t>9</w:t>
    </w:r>
    <w:r>
      <w:fldChar w:fldCharType="end"/>
    </w:r>
    <w:r>
      <w:rPr/>
      <w:t xml:space="preserve"> sur </w:t>
    </w:r>
    <w:r>
      <w:rPr>
        <w:rStyle w:val="PageNumber"/>
      </w:rPr>
      <w:fldChar w:fldCharType="begin"/>
    </w:r>
    <w:r>
      <w:instrText> NUMPAGES \* ARABIC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1069"/>
        </w:tabs>
        <w:ind w:left="1069" w:hanging="360"/>
      </w:pPr>
      <w:rPr>
        <w:rFonts w:ascii="Wingdings" w:hAnsi="Wingdings" w:cs="Wingdings" w:hint="default"/>
        <w:sz w:val="20"/>
        <w:rFonts w:cs="Wingdings"/>
      </w:rPr>
    </w:lvl>
    <w:lvl w:ilvl="1">
      <w:start w:val="1"/>
      <w:numFmt w:val="bullet"/>
      <w:lvlText w:val=""/>
      <w:lvlJc w:val="left"/>
      <w:pPr>
        <w:tabs>
          <w:tab w:val="num" w:pos="2149"/>
        </w:tabs>
        <w:ind w:left="2149" w:hanging="360"/>
      </w:pPr>
      <w:rPr>
        <w:rFonts w:ascii="Wingdings" w:hAnsi="Wingdings" w:cs="Wingdings" w:hint="default"/>
        <w:sz w:val="20"/>
        <w:rFonts w:cs="Wingdings"/>
      </w:rPr>
    </w:lvl>
    <w:lvl w:ilvl="2">
      <w:start w:val="4"/>
      <w:numFmt w:val="bullet"/>
      <w:lvlText w:val="-"/>
      <w:lvlJc w:val="left"/>
      <w:pPr>
        <w:tabs>
          <w:tab w:val="num" w:pos="1636"/>
        </w:tabs>
        <w:ind w:left="1636" w:hanging="360"/>
      </w:pPr>
      <w:rPr>
        <w:rFonts w:ascii="Times New Roman" w:hAnsi="Times New Roman" w:cs="Times New Roman" w:hint="default"/>
        <w:sz w:val="20"/>
        <w:rFonts w:cs="Times New Roman"/>
      </w:rPr>
    </w:lvl>
    <w:lvl w:ilvl="3">
      <w:start w:val="1"/>
      <w:numFmt w:val="bullet"/>
      <w:lvlText w:val=""/>
      <w:lvlJc w:val="left"/>
      <w:pPr>
        <w:tabs>
          <w:tab w:val="num" w:pos="3589"/>
        </w:tabs>
        <w:ind w:left="3589" w:hanging="360"/>
      </w:pPr>
      <w:rPr>
        <w:rFonts w:ascii="Symbol" w:hAnsi="Symbol" w:cs="Symbol" w:hint="default"/>
        <w:rFonts w:cs="Symbol"/>
      </w:rPr>
    </w:lvl>
    <w:lvl w:ilvl="4">
      <w:start w:val="1"/>
      <w:numFmt w:val="bullet"/>
      <w:lvlText w:val="o"/>
      <w:lvlJc w:val="left"/>
      <w:pPr>
        <w:tabs>
          <w:tab w:val="num" w:pos="4309"/>
        </w:tabs>
        <w:ind w:left="4309" w:hanging="360"/>
      </w:pPr>
      <w:rPr>
        <w:rFonts w:ascii="Courier New" w:hAnsi="Courier New" w:cs="Courier New" w:hint="default"/>
        <w:rFonts w:cs="Courier New"/>
      </w:rPr>
    </w:lvl>
    <w:lvl w:ilvl="5">
      <w:start w:val="1"/>
      <w:numFmt w:val="bullet"/>
      <w:lvlText w:val=""/>
      <w:lvlJc w:val="left"/>
      <w:pPr>
        <w:tabs>
          <w:tab w:val="num" w:pos="5029"/>
        </w:tabs>
        <w:ind w:left="5029" w:hanging="360"/>
      </w:pPr>
      <w:rPr>
        <w:rFonts w:ascii="Wingdings" w:hAnsi="Wingdings" w:cs="Wingdings" w:hint="default"/>
        <w:sz w:val="20"/>
        <w:rFonts w:cs="Wingdings"/>
      </w:rPr>
    </w:lvl>
    <w:lvl w:ilvl="6">
      <w:start w:val="1"/>
      <w:numFmt w:val="bullet"/>
      <w:lvlText w:val=""/>
      <w:lvlJc w:val="left"/>
      <w:pPr>
        <w:tabs>
          <w:tab w:val="num" w:pos="5749"/>
        </w:tabs>
        <w:ind w:left="5749" w:hanging="360"/>
      </w:pPr>
      <w:rPr>
        <w:rFonts w:ascii="Symbol" w:hAnsi="Symbol" w:cs="Symbol" w:hint="default"/>
        <w:rFonts w:cs="Symbol"/>
      </w:rPr>
    </w:lvl>
    <w:lvl w:ilvl="7">
      <w:start w:val="1"/>
      <w:numFmt w:val="bullet"/>
      <w:lvlText w:val="o"/>
      <w:lvlJc w:val="left"/>
      <w:pPr>
        <w:tabs>
          <w:tab w:val="num" w:pos="6469"/>
        </w:tabs>
        <w:ind w:left="6469" w:hanging="360"/>
      </w:pPr>
      <w:rPr>
        <w:rFonts w:ascii="Courier New" w:hAnsi="Courier New" w:cs="Courier New" w:hint="default"/>
        <w:rFonts w:cs="Courier New"/>
      </w:rPr>
    </w:lvl>
    <w:lvl w:ilvl="8">
      <w:start w:val="1"/>
      <w:numFmt w:val="bullet"/>
      <w:lvlText w:val=""/>
      <w:lvlJc w:val="left"/>
      <w:pPr>
        <w:tabs>
          <w:tab w:val="num" w:pos="7189"/>
        </w:tabs>
        <w:ind w:left="7189"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Wingdings" w:hAnsi="Wingdings" w:cs="Wingdings" w:hint="default"/>
        <w:sz w:val="20"/>
        <w:rFonts w:cs="Wingdings"/>
      </w:rPr>
    </w:lvl>
  </w:abstractNum>
  <w:abstractNum w:abstractNumId="5">
    <w:lvl w:ilvl="0">
      <w:start w:val="1"/>
      <w:numFmt w:val="bullet"/>
      <w:lvlText w:val=""/>
      <w:lvlJc w:val="left"/>
      <w:pPr>
        <w:tabs>
          <w:tab w:val="num" w:pos="1440"/>
        </w:tabs>
        <w:ind w:left="1440" w:hanging="360"/>
      </w:pPr>
      <w:rPr>
        <w:rFonts w:ascii="Wingdings" w:hAnsi="Wingdings" w:cs="Wingdings" w:hint="default"/>
        <w:sz w:val="20"/>
        <w:rFonts w:cs="Wingdings"/>
      </w:rPr>
    </w:lvl>
  </w:abstractNum>
  <w:abstractNum w:abstractNumId="6">
    <w:lvl w:ilvl="0">
      <w:start w:val="1"/>
      <w:numFmt w:val="bullet"/>
      <w:lvlText w:val="-"/>
      <w:lvlJc w:val="left"/>
      <w:pPr>
        <w:ind w:left="720" w:hanging="360"/>
      </w:pPr>
      <w:rPr>
        <w:rFonts w:ascii="Arial" w:hAnsi="Arial" w:cs="Arial" w:hint="default"/>
        <w:sz w:val="20"/>
        <w:rFonts w:cs="Arial"/>
      </w:rPr>
    </w:lvl>
  </w:abstractNum>
  <w:abstractNum w:abstractNumId="7">
    <w:lvl w:ilvl="0">
      <w:start w:val="5"/>
      <w:numFmt w:val="bullet"/>
      <w:lvlText w:val=""/>
      <w:lvlJc w:val="left"/>
      <w:pPr>
        <w:ind w:left="720" w:hanging="360"/>
      </w:pPr>
      <w:rPr>
        <w:rFonts w:ascii="Symbol" w:hAnsi="Symbol" w:cs="Symbol" w:hint="default"/>
        <w:sz w:val="20"/>
        <w:b/>
        <w:rFonts w:cs="Calibri"/>
      </w:rPr>
    </w:lvl>
  </w:abstractNum>
  <w:abstractNum w:abstractNumId="8">
    <w:lvl w:ilvl="0">
      <w:start w:val="5"/>
      <w:numFmt w:val="bullet"/>
      <w:lvlText w:val="-"/>
      <w:lvlJc w:val="left"/>
      <w:pPr>
        <w:ind w:left="1080" w:hanging="360"/>
      </w:pPr>
      <w:rPr>
        <w:rFonts w:ascii="Calibri" w:hAnsi="Calibri" w:cs="Calibri" w:hint="default"/>
        <w:sz w:val="20"/>
        <w:rFonts w:cs="Calibri"/>
      </w:rPr>
    </w:lvl>
  </w:abstractNum>
  <w:abstractNum w:abstractNumId="9">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Cs w:val="32"/>
    </w:rPr>
  </w:style>
  <w:style w:type="paragraph" w:styleId="Heading2">
    <w:name w:val="Heading 2"/>
    <w:basedOn w:val="Normal"/>
    <w:next w:val="Normal"/>
    <w:qFormat/>
    <w:pPr>
      <w:keepNext w:val="true"/>
      <w:numPr>
        <w:ilvl w:val="1"/>
        <w:numId w:val="1"/>
      </w:numPr>
      <w:spacing w:before="240" w:after="60"/>
      <w:ind w:left="709" w:hanging="0"/>
      <w:outlineLvl w:val="1"/>
    </w:pPr>
    <w:rPr>
      <w:rFonts w:ascii="Arial" w:hAnsi="Arial" w:cs="Arial"/>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rFonts w:ascii="Calibri" w:hAnsi="Calibri" w:eastAsia="Times New Roman" w:cs="Times New Roman"/>
      <w:i/>
      <w:iCs/>
      <w:szCs w:val="24"/>
    </w:rPr>
  </w:style>
  <w:style w:type="character" w:styleId="WW8Num1z0">
    <w:name w:val="WW8Num1z0"/>
    <w:qFormat/>
    <w:rPr>
      <w:rFonts w:ascii="Symbol" w:hAnsi="Symbol" w:cs="Symbol"/>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Times New Roman" w:hAnsi="Times New Roman" w:eastAsia="Times New Roman" w:cs="Times New Roman"/>
    </w:rPr>
  </w:style>
  <w:style w:type="character" w:styleId="WW8Num4z5">
    <w:name w:val="WW8Num4z5"/>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sz w:val="20"/>
    </w:rPr>
  </w:style>
  <w:style w:type="character" w:styleId="WW8Num6z2">
    <w:name w:val="WW8Num6z2"/>
    <w:qFormat/>
    <w:rPr>
      <w:rFonts w:ascii="Times New Roman" w:hAnsi="Times New Roman" w:eastAsia="Times New Roman" w:cs="Times New Roman"/>
      <w:sz w:val="20"/>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0"/>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sz w:val="20"/>
    </w:rPr>
  </w:style>
  <w:style w:type="character" w:styleId="WW8Num13z1">
    <w:name w:val="WW8Num13z1"/>
    <w:qFormat/>
    <w:rPr>
      <w:rFonts w:ascii="Times New Roman" w:hAnsi="Times New Roman" w:eastAsia="Times New Roman" w:cs="Times New Roman"/>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Times New Roman" w:hAnsi="Times New Roman" w:eastAsia="Times New Roman" w:cs="Times New Roman"/>
    </w:rPr>
  </w:style>
  <w:style w:type="character" w:styleId="WW8Num15z5">
    <w:name w:val="WW8Num15z5"/>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b/>
    </w:rPr>
  </w:style>
  <w:style w:type="character" w:styleId="WW8Num21z0">
    <w:name w:val="WW8Num21z0"/>
    <w:qFormat/>
    <w:rPr>
      <w:rFonts w:ascii="Arial" w:hAnsi="Arial" w:cs="Arial"/>
    </w:rPr>
  </w:style>
  <w:style w:type="character" w:styleId="WW8Num22z0">
    <w:name w:val="WW8Num22z0"/>
    <w:qFormat/>
    <w:rPr>
      <w:rFonts w:ascii="Arial" w:hAnsi="Arial" w:eastAsia="Times New Roman" w:cs="Arial"/>
      <w:sz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7z0">
    <w:name w:val="WW8Num27z0"/>
    <w:qFormat/>
    <w:rPr>
      <w:rFonts w:ascii="Symbol" w:hAnsi="Symbol" w:eastAsia="Calibri" w:cs="Calibri"/>
      <w:b/>
      <w:sz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alibri" w:hAnsi="Calibri" w:eastAsia="Calibri" w:cs="Calibri"/>
      <w:sz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Policepardfaut">
    <w:name w:val="Police par défaut"/>
    <w:qFormat/>
    <w:rPr/>
  </w:style>
  <w:style w:type="character" w:styleId="Texteel">
    <w:name w:val="texteel"/>
    <w:basedOn w:val="Policepardfaut"/>
    <w:qFormat/>
    <w:rPr/>
  </w:style>
  <w:style w:type="character" w:styleId="InternetLink">
    <w:name w:val="Internet Link"/>
    <w:rPr>
      <w:rFonts w:ascii="Arial" w:hAnsi="Arial" w:cs="Arial"/>
      <w:b w:val="false"/>
      <w:bCs w:val="false"/>
      <w:color w:val="000000"/>
      <w:sz w:val="22"/>
      <w:szCs w:val="22"/>
      <w:u w:val="single"/>
    </w:rPr>
  </w:style>
  <w:style w:type="character" w:styleId="PageNumber">
    <w:name w:val="Page Number"/>
    <w:basedOn w:val="Policepardfaut"/>
    <w:rPr/>
  </w:style>
  <w:style w:type="character" w:styleId="Textegras">
    <w:name w:val="textegras"/>
    <w:qFormat/>
    <w:rPr>
      <w:rFonts w:ascii="Arial" w:hAnsi="Arial" w:cs="Arial"/>
      <w:b w:val="false"/>
      <w:bCs w:val="false"/>
      <w:color w:val="000000"/>
      <w:sz w:val="17"/>
      <w:szCs w:val="17"/>
      <w:shd w:fill="auto" w:val="clear"/>
    </w:rPr>
  </w:style>
  <w:style w:type="character" w:styleId="StrongEmphasis">
    <w:name w:val="Strong Emphasis"/>
    <w:qFormat/>
    <w:rPr>
      <w:b/>
      <w:bCs/>
    </w:rPr>
  </w:style>
  <w:style w:type="character" w:styleId="Marquedecommentaire">
    <w:name w:val="Marque de commentaire"/>
    <w:qFormat/>
    <w:rPr>
      <w:sz w:val="16"/>
      <w:szCs w:val="16"/>
    </w:rPr>
  </w:style>
  <w:style w:type="character" w:styleId="Soussection">
    <w:name w:val="soussection"/>
    <w:basedOn w:val="Policepardfaut"/>
    <w:qFormat/>
    <w:rPr/>
  </w:style>
  <w:style w:type="character" w:styleId="Precisvide1">
    <w:name w:val="precisvide1"/>
    <w:qFormat/>
    <w:rPr>
      <w:i/>
      <w:iCs/>
      <w:u w:val="single"/>
    </w:rPr>
  </w:style>
  <w:style w:type="character" w:styleId="Exasummary">
    <w:name w:val="exasummary"/>
    <w:basedOn w:val="Policepardfaut"/>
    <w:qFormat/>
    <w:rPr/>
  </w:style>
  <w:style w:type="character" w:styleId="Retraitcorpsdetexte2Car">
    <w:name w:val="Retrait corps de texte 2 Car"/>
    <w:qFormat/>
    <w:rPr>
      <w:sz w:val="24"/>
    </w:rPr>
  </w:style>
  <w:style w:type="character" w:styleId="PieddepageCar">
    <w:name w:val="Pied de page Car"/>
    <w:qFormat/>
    <w:rPr>
      <w:sz w:val="24"/>
    </w:rPr>
  </w:style>
  <w:style w:type="character" w:styleId="FootnoteCharacters">
    <w:name w:val="Footnote Characters"/>
    <w:qFormat/>
    <w:rPr>
      <w:rFonts w:cs="Times New Roman"/>
      <w:vertAlign w:val="superscript"/>
    </w:rPr>
  </w:style>
  <w:style w:type="character" w:styleId="Titre2Car">
    <w:name w:val="Titre 2 Car"/>
    <w:qFormat/>
    <w:rPr>
      <w:rFonts w:ascii="Arial" w:hAnsi="Arial" w:cs="Arial"/>
      <w:i/>
      <w:sz w:val="24"/>
    </w:rPr>
  </w:style>
  <w:style w:type="character" w:styleId="Titre5Car">
    <w:name w:val="Titre 5 Car"/>
    <w:qFormat/>
    <w:rPr>
      <w:b/>
      <w:bCs/>
      <w:i/>
      <w:iCs/>
      <w:sz w:val="26"/>
      <w:szCs w:val="26"/>
    </w:rPr>
  </w:style>
  <w:style w:type="character" w:styleId="Titre7Car">
    <w:name w:val="Titre 7 Car"/>
    <w:qFormat/>
    <w:rPr>
      <w:sz w:val="24"/>
      <w:szCs w:val="24"/>
    </w:rPr>
  </w:style>
  <w:style w:type="character" w:styleId="Titre3Car">
    <w:name w:val="Titre 3 Car"/>
    <w:qFormat/>
    <w:rPr>
      <w:rFonts w:ascii="Arial" w:hAnsi="Arial" w:cs="Arial"/>
      <w:b/>
      <w:bCs/>
      <w:sz w:val="26"/>
      <w:szCs w:val="26"/>
    </w:rPr>
  </w:style>
  <w:style w:type="character" w:styleId="NotedebasdepageCar">
    <w:name w:val="Note de bas de page Car"/>
    <w:basedOn w:val="Policepardfaut"/>
    <w:qFormat/>
    <w:rPr/>
  </w:style>
  <w:style w:type="character" w:styleId="Retraitcorpsdetexte3Car">
    <w:name w:val="Retrait corps de texte 3 Car"/>
    <w:qFormat/>
    <w:rPr>
      <w:sz w:val="16"/>
      <w:szCs w:val="16"/>
    </w:rPr>
  </w:style>
  <w:style w:type="character" w:styleId="CommentaireCar">
    <w:name w:val="Commentaire Car"/>
    <w:qFormat/>
    <w:rPr/>
  </w:style>
  <w:style w:type="character" w:styleId="ParagraphedelisteCar">
    <w:name w:val="Paragraphe de liste Car"/>
    <w:qFormat/>
    <w:rPr>
      <w:sz w:val="24"/>
    </w:rPr>
  </w:style>
  <w:style w:type="character" w:styleId="Titre8Car">
    <w:name w:val="Titre 8 Car"/>
    <w:qFormat/>
    <w:rPr>
      <w:rFonts w:ascii="Calibri" w:hAnsi="Calibri" w:eastAsia="Times New Roman" w:cs="Times New Roman"/>
      <w:i/>
      <w:iCs/>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Contents2">
    <w:name w:val="TOC 2"/>
    <w:basedOn w:val="Normal"/>
    <w:next w:val="Normal"/>
    <w:pPr>
      <w:tabs>
        <w:tab w:val="right" w:pos="9062" w:leader="dot"/>
      </w:tabs>
      <w:spacing w:lineRule="auto" w:line="360"/>
      <w:ind w:left="240" w:hanging="0"/>
    </w:pPr>
    <w:rPr>
      <w:b/>
      <w:lang w:val="en-GB" w:eastAsia="en-GB"/>
    </w:rPr>
  </w:style>
  <w:style w:type="paragraph" w:styleId="Contents3">
    <w:name w:val="TOC 3"/>
    <w:basedOn w:val="Normal"/>
    <w:next w:val="Normal"/>
    <w:pPr>
      <w:ind w:left="480" w:hanging="0"/>
    </w:pPr>
    <w:rPr/>
  </w:style>
  <w:style w:type="paragraph" w:styleId="Footer">
    <w:name w:val="Footer"/>
    <w:basedOn w:val="Normal"/>
    <w:pPr>
      <w:tabs>
        <w:tab w:val="center" w:pos="4536" w:leader="none"/>
        <w:tab w:val="right" w:pos="9072" w:leader="none"/>
      </w:tabs>
    </w:pPr>
    <w:rPr/>
  </w:style>
  <w:style w:type="paragraph" w:styleId="Contents1">
    <w:name w:val="TOC 1"/>
    <w:basedOn w:val="Normal"/>
    <w:next w:val="Normal"/>
    <w:pPr>
      <w:tabs>
        <w:tab w:val="right" w:pos="9062" w:leader="dot"/>
      </w:tabs>
    </w:pPr>
    <w:rPr/>
  </w:style>
  <w:style w:type="paragraph" w:styleId="Textedebulles">
    <w:name w:val="Texte de bulles"/>
    <w:basedOn w:val="Normal"/>
    <w:qFormat/>
    <w:pPr/>
    <w:rPr>
      <w:rFonts w:ascii="Tahoma" w:hAnsi="Tahoma" w:cs="Tahoma"/>
      <w:sz w:val="16"/>
      <w:szCs w:val="16"/>
    </w:rPr>
  </w:style>
  <w:style w:type="paragraph" w:styleId="CarCarCarCar">
    <w:name w:val=" Car Car Car Car"/>
    <w:basedOn w:val="Normal"/>
    <w:qFormat/>
    <w:pPr>
      <w:autoSpaceDE w:val="false"/>
      <w:spacing w:lineRule="exact" w:line="240" w:before="0" w:after="160"/>
    </w:pPr>
    <w:rPr>
      <w:rFonts w:ascii="Arial" w:hAnsi="Arial" w:cs="Arial"/>
      <w:sz w:val="20"/>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CarCar">
    <w:name w:val=" Car Car"/>
    <w:basedOn w:val="Normal"/>
    <w:qFormat/>
    <w:pPr>
      <w:autoSpaceDE w:val="false"/>
      <w:spacing w:lineRule="exact" w:line="240" w:before="0" w:after="160"/>
    </w:pPr>
    <w:rPr>
      <w:rFonts w:ascii="Arial" w:hAnsi="Arial" w:cs="Arial"/>
      <w:sz w:val="20"/>
    </w:rPr>
  </w:style>
  <w:style w:type="paragraph" w:styleId="Retraitcorpsdetexte2">
    <w:name w:val="Retrait corps de texte 2"/>
    <w:basedOn w:val="Normal"/>
    <w:qFormat/>
    <w:pPr>
      <w:spacing w:lineRule="auto" w:line="480" w:before="0" w:after="120"/>
      <w:ind w:left="283" w:hanging="0"/>
    </w:pPr>
    <w:rPr/>
  </w:style>
  <w:style w:type="paragraph" w:styleId="CarCarCar">
    <w:name w:val=" Car Car Car"/>
    <w:basedOn w:val="Normal"/>
    <w:qFormat/>
    <w:pPr>
      <w:autoSpaceDE w:val="false"/>
      <w:spacing w:lineRule="exact" w:line="240" w:before="0" w:after="160"/>
    </w:pPr>
    <w:rPr>
      <w:rFonts w:ascii="Arial" w:hAnsi="Arial" w:cs="Arial"/>
      <w:sz w:val="20"/>
    </w:rPr>
  </w:style>
  <w:style w:type="paragraph" w:styleId="Paragraphedeliste">
    <w:name w:val="Paragraphe de liste"/>
    <w:basedOn w:val="Normal"/>
    <w:qFormat/>
    <w:pPr>
      <w:ind w:left="708" w:hanging="0"/>
    </w:pPr>
    <w:rPr/>
  </w:style>
  <w:style w:type="paragraph" w:styleId="Listepuces">
    <w:name w:val="Liste à puces"/>
    <w:basedOn w:val="Normal"/>
    <w:qFormat/>
    <w:pPr>
      <w:numPr>
        <w:ilvl w:val="0"/>
        <w:numId w:val="2"/>
      </w:numPr>
      <w:spacing w:before="0" w:after="0"/>
      <w:contextualSpacing/>
    </w:pPr>
    <w:rPr/>
  </w:style>
  <w:style w:type="paragraph" w:styleId="NormalWeb">
    <w:name w:val="Normal (Web)"/>
    <w:basedOn w:val="Normal"/>
    <w:qFormat/>
    <w:pPr>
      <w:spacing w:before="280" w:after="280"/>
    </w:pPr>
    <w:rPr>
      <w:szCs w:val="24"/>
    </w:rPr>
  </w:style>
  <w:style w:type="paragraph" w:styleId="Footnote">
    <w:name w:val="Footnote Text"/>
    <w:basedOn w:val="Normal"/>
    <w:pPr/>
    <w:rPr>
      <w:sz w:val="20"/>
    </w:rPr>
  </w:style>
  <w:style w:type="paragraph" w:styleId="Retraitcorpsdetexte3">
    <w:name w:val="Retrait corps de texte 3"/>
    <w:basedOn w:val="Normal"/>
    <w:qFormat/>
    <w:pPr>
      <w:spacing w:before="0" w:after="120"/>
      <w:ind w:left="283" w:hanging="0"/>
    </w:pPr>
    <w:rPr>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2022-04-29T17:15:00Z</dcterms:created>
  <dc:creator/>
  <dc:description/>
  <dc:language>en-GB</dc:language>
  <cp:lastModifiedBy/>
  <cp:lastPrinted>2022-04-28T08:46:00Z</cp:lastPrinted>
  <dcterms:modified xsi:type="dcterms:W3CDTF">2022-04-29T17:17:00Z</dcterms:modified>
  <cp:revision>3</cp:revision>
  <dc:subject/>
  <dc:title>XX – mesures spécifiques applicables aux travailleurs handicapés</dc:title>
</cp:coreProperties>
</file>