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14:paraId="3301077E" w14:textId="6C0005FE" w:rsidP="004E2900" w:rsidR="00F36899" w:rsidRDefault="00793EEA" w:rsidRPr="00793EEA">
      <w:pPr>
        <w:spacing w:before="240" w:line="240" w:lineRule="auto"/>
        <w:jc w:val="center"/>
        <w:rPr>
          <w:b/>
          <w:bCs/>
          <w:sz w:val="28"/>
          <w:szCs w:val="28"/>
        </w:rPr>
      </w:pPr>
      <w:r w:rsidRPr="00793EEA">
        <w:rPr>
          <w:b/>
          <w:bCs/>
          <w:sz w:val="28"/>
          <w:szCs w:val="28"/>
        </w:rPr>
        <w:t>ACCORD D’ENTREPRISE</w:t>
      </w:r>
    </w:p>
    <w:p w14:paraId="49893D05" w14:textId="77777777" w:rsidP="004E2900" w:rsidR="00F36899" w:rsidRDefault="00F36899" w:rsidRPr="00506C07">
      <w:pPr>
        <w:spacing w:before="240" w:line="240" w:lineRule="auto"/>
        <w:jc w:val="both"/>
      </w:pPr>
      <w:r w:rsidRPr="00506C07">
        <w:br/>
      </w:r>
      <w:r w:rsidRPr="00506C07">
        <w:br/>
        <w:t>Entre les soussignés,</w:t>
      </w:r>
    </w:p>
    <w:p w14:paraId="30F6D743" w14:textId="260EE976" w:rsidP="004E2900" w:rsidR="00F36899" w:rsidRDefault="00F36899" w:rsidRPr="00506C07">
      <w:pPr>
        <w:spacing w:before="240" w:line="240" w:lineRule="auto"/>
        <w:jc w:val="both"/>
      </w:pPr>
      <w:r w:rsidRPr="00506C07">
        <w:t xml:space="preserve">La SARL SECORA, SIRET : 309 813 491 00029, dont le siège social est situé à SAINT HERBLAIN (44800), 385 route de Vannes – Lieu-dit Les Pavillons, représentée par </w:t>
      </w:r>
      <w:r w:rsidR="00162BE7">
        <w:t>XXX</w:t>
      </w:r>
      <w:bookmarkStart w:id="0" w:name="_GoBack"/>
      <w:bookmarkEnd w:id="0"/>
      <w:r w:rsidRPr="00506C07">
        <w:t>, en sa qualité de gérant.</w:t>
      </w:r>
    </w:p>
    <w:p w14:paraId="1753D678" w14:textId="77777777" w:rsidP="004E2900" w:rsidR="004E2900" w:rsidRDefault="00F36899">
      <w:pPr>
        <w:spacing w:before="240" w:line="240" w:lineRule="auto"/>
        <w:jc w:val="both"/>
      </w:pPr>
      <w:proofErr w:type="gramStart"/>
      <w:r w:rsidRPr="00506C07">
        <w:t>d'une</w:t>
      </w:r>
      <w:proofErr w:type="gramEnd"/>
      <w:r w:rsidRPr="00506C07">
        <w:t xml:space="preserve"> part, </w:t>
      </w:r>
    </w:p>
    <w:p w14:paraId="08ACF524" w14:textId="36E2012C" w:rsidP="004E2900" w:rsidR="00F36899" w:rsidRDefault="00F36899" w:rsidRPr="00506C07">
      <w:pPr>
        <w:spacing w:before="240" w:line="240" w:lineRule="auto"/>
        <w:jc w:val="both"/>
      </w:pPr>
      <w:r w:rsidRPr="00506C07">
        <w:br/>
        <w:t>Et</w:t>
      </w:r>
    </w:p>
    <w:p w14:paraId="6E452AB6" w14:textId="5CC2D2BF" w:rsidP="004E2900" w:rsidR="00F36899" w:rsidRDefault="000C0C5F" w:rsidRPr="00506C07">
      <w:pPr>
        <w:spacing w:before="240" w:line="240" w:lineRule="auto"/>
        <w:jc w:val="both"/>
      </w:pPr>
      <w:r w:rsidRPr="00506C07">
        <w:t xml:space="preserve">L’ensemble du personnel ayant ratifié l’accord à la majorité des deux tiers. </w:t>
      </w:r>
    </w:p>
    <w:p w14:paraId="18F03EE4" w14:textId="386A2D62" w:rsidP="004E2900" w:rsidR="00F36899" w:rsidRDefault="00F36899">
      <w:pPr>
        <w:spacing w:before="240" w:line="240" w:lineRule="auto"/>
        <w:jc w:val="both"/>
      </w:pPr>
      <w:proofErr w:type="gramStart"/>
      <w:r w:rsidRPr="00506C07">
        <w:t>d'autre</w:t>
      </w:r>
      <w:proofErr w:type="gramEnd"/>
      <w:r w:rsidRPr="00506C07">
        <w:t xml:space="preserve"> part.</w:t>
      </w:r>
    </w:p>
    <w:p w14:paraId="5C5BD926" w14:textId="77777777" w:rsidP="004E2900" w:rsidR="00793EEA" w:rsidRDefault="00793EEA" w:rsidRPr="00506C07">
      <w:pPr>
        <w:spacing w:before="240" w:line="240" w:lineRule="auto"/>
        <w:jc w:val="both"/>
      </w:pPr>
    </w:p>
    <w:p w14:paraId="53A97922" w14:textId="77777777" w:rsidP="004E2900" w:rsidR="00F36899" w:rsidRDefault="00F36899" w:rsidRPr="00506C07">
      <w:pPr>
        <w:spacing w:before="240" w:line="240" w:lineRule="auto"/>
        <w:jc w:val="both"/>
      </w:pPr>
      <w:r w:rsidRPr="00506C07">
        <w:t>Il a été conclu l'accord d'entreprise suivant :</w:t>
      </w:r>
    </w:p>
    <w:p w14:paraId="2798F20F" w14:textId="77777777" w:rsidP="004E2900" w:rsidR="00F36899" w:rsidRDefault="00F36899" w:rsidRPr="00506C07">
      <w:pPr>
        <w:spacing w:before="240" w:line="240" w:lineRule="auto"/>
        <w:jc w:val="both"/>
      </w:pPr>
    </w:p>
    <w:p w14:paraId="3802397E" w14:textId="6D5A7A27" w:rsidP="004E2900" w:rsidR="00F36899" w:rsidRDefault="00F36899" w:rsidRPr="004E2900">
      <w:pPr>
        <w:spacing w:before="240" w:line="240" w:lineRule="auto"/>
        <w:jc w:val="both"/>
        <w:rPr>
          <w:b/>
          <w:bCs/>
          <w:u w:val="single"/>
        </w:rPr>
      </w:pPr>
      <w:r w:rsidRPr="004E2900">
        <w:rPr>
          <w:b/>
          <w:bCs/>
          <w:u w:val="single"/>
        </w:rPr>
        <w:t>Préambule</w:t>
      </w:r>
    </w:p>
    <w:p w14:paraId="026DAF4B" w14:textId="13ECDD9A" w:rsidP="004E2900" w:rsidR="00F36899" w:rsidRDefault="00F36899">
      <w:pPr>
        <w:spacing w:before="240"/>
        <w:jc w:val="both"/>
      </w:pPr>
      <w:r w:rsidRPr="003A6DCC">
        <w:t xml:space="preserve">La Direction de la </w:t>
      </w:r>
      <w:r>
        <w:t xml:space="preserve">SARL SECORA </w:t>
      </w:r>
      <w:r w:rsidRPr="003A6DCC">
        <w:t>soucieuse de préserver l’emploi</w:t>
      </w:r>
      <w:r>
        <w:t xml:space="preserve"> et le pouvoir d’achat de ses salariés</w:t>
      </w:r>
      <w:r w:rsidRPr="003A6DCC">
        <w:t xml:space="preserve"> a décidé de conclure un accord d’entreprise avec </w:t>
      </w:r>
      <w:r w:rsidR="004E2900">
        <w:t>s</w:t>
      </w:r>
      <w:r w:rsidRPr="003A6DCC">
        <w:t xml:space="preserve">es </w:t>
      </w:r>
      <w:r w:rsidR="000C0C5F">
        <w:t xml:space="preserve">salariés. </w:t>
      </w:r>
    </w:p>
    <w:p w14:paraId="252560DE" w14:textId="1D5ABBC2" w:rsidP="004E2900" w:rsidR="0017071A" w:rsidRDefault="00F36899">
      <w:pPr>
        <w:spacing w:before="240"/>
        <w:jc w:val="both"/>
      </w:pPr>
      <w:r w:rsidRPr="003A6DCC">
        <w:t>Ces dispositions vi</w:t>
      </w:r>
      <w:r w:rsidR="005D7F83">
        <w:t xml:space="preserve">sent à </w:t>
      </w:r>
      <w:r>
        <w:t xml:space="preserve">maintenir un niveau de </w:t>
      </w:r>
      <w:r w:rsidR="005D7F83">
        <w:t>salaire</w:t>
      </w:r>
      <w:r>
        <w:t xml:space="preserve"> uniforme sur l’ensemble de l’année et ainsi permette</w:t>
      </w:r>
      <w:r w:rsidR="0017071A">
        <w:t>nt</w:t>
      </w:r>
      <w:r>
        <w:t xml:space="preserve"> de </w:t>
      </w:r>
      <w:r w:rsidR="005D7F83">
        <w:t>favoriser</w:t>
      </w:r>
      <w:r>
        <w:t xml:space="preserve"> le pouvoir d’achat des salariés</w:t>
      </w:r>
      <w:r w:rsidR="005D7F83">
        <w:t xml:space="preserve"> par une rémunération stable plus importante</w:t>
      </w:r>
      <w:r>
        <w:t xml:space="preserve"> </w:t>
      </w:r>
      <w:r w:rsidR="00506C07">
        <w:t xml:space="preserve">et sécurisée </w:t>
      </w:r>
      <w:r>
        <w:t xml:space="preserve">dans </w:t>
      </w:r>
      <w:r w:rsidR="0017071A">
        <w:t>un</w:t>
      </w:r>
      <w:r>
        <w:t xml:space="preserve"> contexte économique</w:t>
      </w:r>
      <w:r w:rsidR="0017071A">
        <w:t xml:space="preserve"> actuel</w:t>
      </w:r>
      <w:r>
        <w:t xml:space="preserve"> </w:t>
      </w:r>
      <w:r w:rsidR="0017071A">
        <w:t>marqué par l’inflation. Le présent accord permet également d</w:t>
      </w:r>
      <w:r w:rsidR="00722D2F">
        <w:t xml:space="preserve">e préserver le fonctionnement interne des équipes comptables et sociales en cas de départs de l’entreprise. </w:t>
      </w:r>
    </w:p>
    <w:p w14:paraId="40AB623C" w14:textId="77777777" w:rsidP="004E2900" w:rsidR="005D7F83" w:rsidRDefault="00F36899" w:rsidRPr="00506C07">
      <w:pPr>
        <w:spacing w:before="240" w:line="240" w:lineRule="auto"/>
        <w:jc w:val="both"/>
      </w:pPr>
      <w:r w:rsidRPr="00506C07">
        <w:t xml:space="preserve">Les parties se sont </w:t>
      </w:r>
      <w:r w:rsidR="005D7F83" w:rsidRPr="00506C07">
        <w:t xml:space="preserve">donc </w:t>
      </w:r>
      <w:r w:rsidRPr="00506C07">
        <w:t>rapprochées afin de conclure un accord d’entreprise</w:t>
      </w:r>
      <w:r w:rsidR="005D7F83" w:rsidRPr="00506C07">
        <w:t xml:space="preserve">. </w:t>
      </w:r>
    </w:p>
    <w:p w14:paraId="6D6E1D6A" w14:textId="1BCEC6DD" w:rsidP="00866E7E" w:rsidR="00F36899" w:rsidRDefault="00F36899">
      <w:pPr>
        <w:spacing w:before="240" w:line="480" w:lineRule="auto"/>
        <w:jc w:val="both"/>
        <w:rPr>
          <w:b/>
          <w:bCs/>
          <w:u w:val="single"/>
        </w:rPr>
      </w:pPr>
      <w:r w:rsidRPr="004E2900">
        <w:rPr>
          <w:b/>
          <w:bCs/>
          <w:u w:val="single"/>
        </w:rPr>
        <w:br/>
        <w:t xml:space="preserve">Article </w:t>
      </w:r>
      <w:r w:rsidR="005D7F83" w:rsidRPr="004E2900">
        <w:rPr>
          <w:b/>
          <w:bCs/>
          <w:u w:val="single"/>
        </w:rPr>
        <w:t>1</w:t>
      </w:r>
      <w:r w:rsidRPr="004E2900">
        <w:rPr>
          <w:b/>
          <w:bCs/>
          <w:u w:val="single"/>
        </w:rPr>
        <w:t xml:space="preserve"> - Champ d'application de l'accord</w:t>
      </w:r>
    </w:p>
    <w:p w14:paraId="19BED61A" w14:textId="77777777" w:rsidP="007C110F" w:rsidR="007C110F" w:rsidRDefault="00F36899">
      <w:pPr>
        <w:spacing w:after="0" w:before="240" w:line="240" w:lineRule="auto"/>
        <w:jc w:val="both"/>
      </w:pPr>
      <w:r w:rsidRPr="00506C07">
        <w:t>Le présent accord est applicable aux salariés de</w:t>
      </w:r>
      <w:r w:rsidR="005D7F83" w:rsidRPr="00506C07">
        <w:t xml:space="preserve"> la SARL SECORA sans distinction de statut. </w:t>
      </w:r>
    </w:p>
    <w:p w14:paraId="4C0ACF15" w14:textId="385B1845" w:rsidP="007C110F" w:rsidR="004E2900" w:rsidRDefault="007C110F">
      <w:pPr>
        <w:spacing w:after="0" w:before="240" w:line="240" w:lineRule="auto"/>
        <w:jc w:val="both"/>
      </w:pPr>
      <w:r>
        <w:t xml:space="preserve">Toutefois, ne sont pas concernés les salariés en contrat à durée déterminée, en contrat d’apprentissage ou en contrat de professionnalisation à la date de clôture du bilan. </w:t>
      </w:r>
    </w:p>
    <w:p w14:paraId="10F25FAE" w14:textId="4E8F4A17" w:rsidP="007C110F" w:rsidR="007C110F" w:rsidRDefault="007C110F">
      <w:pPr>
        <w:spacing w:after="0" w:before="240" w:line="240" w:lineRule="auto"/>
        <w:jc w:val="both"/>
      </w:pPr>
    </w:p>
    <w:p w14:paraId="6A1A3F93" w14:textId="0C05E7D6" w:rsidP="007C110F" w:rsidR="001719CA" w:rsidRDefault="001719CA">
      <w:pPr>
        <w:spacing w:after="0" w:before="240" w:line="240" w:lineRule="auto"/>
        <w:jc w:val="both"/>
      </w:pPr>
    </w:p>
    <w:p w14:paraId="599BB2C4" w14:textId="4525E19E" w:rsidP="007C110F" w:rsidR="001719CA" w:rsidRDefault="001719CA">
      <w:pPr>
        <w:spacing w:after="0" w:before="240" w:line="240" w:lineRule="auto"/>
        <w:jc w:val="both"/>
      </w:pPr>
    </w:p>
    <w:p w14:paraId="56A861D5" w14:textId="7FF1E6C8" w:rsidP="004E2900" w:rsidR="000C0C5F" w:rsidRDefault="00F36899">
      <w:pPr>
        <w:spacing w:before="240" w:line="240" w:lineRule="auto"/>
        <w:jc w:val="both"/>
        <w:rPr>
          <w:b/>
          <w:bCs/>
          <w:u w:val="single"/>
        </w:rPr>
      </w:pPr>
      <w:r w:rsidRPr="004E2900">
        <w:rPr>
          <w:b/>
          <w:bCs/>
          <w:u w:val="single"/>
        </w:rPr>
        <w:lastRenderedPageBreak/>
        <w:t xml:space="preserve">Article </w:t>
      </w:r>
      <w:r w:rsidR="00840433" w:rsidRPr="004E2900">
        <w:rPr>
          <w:b/>
          <w:bCs/>
          <w:u w:val="single"/>
        </w:rPr>
        <w:t xml:space="preserve">2 </w:t>
      </w:r>
      <w:r w:rsidR="000C0C5F" w:rsidRPr="004E2900">
        <w:rPr>
          <w:b/>
          <w:bCs/>
          <w:u w:val="single"/>
        </w:rPr>
        <w:t>–</w:t>
      </w:r>
      <w:r w:rsidR="00840433" w:rsidRPr="004E2900">
        <w:rPr>
          <w:b/>
          <w:bCs/>
          <w:u w:val="single"/>
        </w:rPr>
        <w:t xml:space="preserve"> </w:t>
      </w:r>
      <w:r w:rsidR="000C0C5F" w:rsidRPr="004E2900">
        <w:rPr>
          <w:b/>
          <w:bCs/>
          <w:u w:val="single"/>
        </w:rPr>
        <w:t>Règles de rémunération actuelles</w:t>
      </w:r>
    </w:p>
    <w:p w14:paraId="1F7AFB1F" w14:textId="2E0C6B12" w:rsidP="004E2900" w:rsidR="00E31047" w:rsidRDefault="007C110F" w:rsidRPr="00E31047">
      <w:pPr>
        <w:spacing w:before="240" w:line="240" w:lineRule="auto"/>
        <w:jc w:val="both"/>
      </w:pPr>
      <w:r>
        <w:t xml:space="preserve">Jusqu’à maintenant, </w:t>
      </w:r>
      <w:r w:rsidR="00E31047" w:rsidRPr="00E31047">
        <w:t xml:space="preserve">la rémunération des collaborateurs </w:t>
      </w:r>
      <w:r>
        <w:t>é</w:t>
      </w:r>
      <w:r w:rsidR="00E31047" w:rsidRPr="00E31047">
        <w:t>t</w:t>
      </w:r>
      <w:r>
        <w:t>ait</w:t>
      </w:r>
      <w:r w:rsidR="00E31047" w:rsidRPr="00E31047">
        <w:t xml:space="preserve"> composée </w:t>
      </w:r>
      <w:r>
        <w:t xml:space="preserve">de la manière suivante </w:t>
      </w:r>
      <w:r w:rsidR="00E31047" w:rsidRPr="00E31047">
        <w:t>:</w:t>
      </w:r>
    </w:p>
    <w:p w14:paraId="4C00A4CF" w14:textId="001C9C50" w:rsidP="004E2900" w:rsidR="00E31047" w:rsidRDefault="00E31047" w:rsidRPr="00506C07">
      <w:pPr>
        <w:numPr>
          <w:ilvl w:val="0"/>
          <w:numId w:val="2"/>
        </w:numPr>
        <w:spacing w:before="240" w:line="240" w:lineRule="auto"/>
        <w:jc w:val="both"/>
      </w:pPr>
      <w:r w:rsidRPr="00E31047">
        <w:t>une partie fixe</w:t>
      </w:r>
      <w:r w:rsidR="007C110F">
        <w:t xml:space="preserve"> contractuelle</w:t>
      </w:r>
      <w:r w:rsidRPr="00E31047">
        <w:t xml:space="preserve"> identique tous les mois</w:t>
      </w:r>
    </w:p>
    <w:p w14:paraId="58539E98" w14:textId="797F1EF6" w:rsidP="004E2900" w:rsidR="00E31047" w:rsidRDefault="007C110F" w:rsidRPr="00E31047">
      <w:pPr>
        <w:spacing w:before="240" w:line="240" w:lineRule="auto"/>
        <w:jc w:val="both"/>
      </w:pPr>
      <w:r>
        <w:t>Et p</w:t>
      </w:r>
      <w:r w:rsidR="00E31047" w:rsidRPr="00506C07">
        <w:t xml:space="preserve">our les collaborateurs ayant plus d’un an d’ancienneté à la clôture du bilan : </w:t>
      </w:r>
    </w:p>
    <w:p w14:paraId="4FBF7D27" w14:textId="031988C1" w:rsidP="004E2900" w:rsidR="00E31047" w:rsidRDefault="00E31047" w:rsidRPr="00E31047">
      <w:pPr>
        <w:numPr>
          <w:ilvl w:val="0"/>
          <w:numId w:val="2"/>
        </w:numPr>
        <w:spacing w:before="240" w:line="240" w:lineRule="auto"/>
        <w:jc w:val="both"/>
      </w:pPr>
      <w:r w:rsidRPr="00E31047">
        <w:t xml:space="preserve">une augmentation de 2% en moyenne en juillet chaque année </w:t>
      </w:r>
    </w:p>
    <w:p w14:paraId="003126DA" w14:textId="38604D17" w:rsidP="004E2900" w:rsidR="00E31047" w:rsidRDefault="00E31047" w:rsidRPr="00E31047">
      <w:pPr>
        <w:numPr>
          <w:ilvl w:val="0"/>
          <w:numId w:val="2"/>
        </w:numPr>
        <w:spacing w:before="240" w:line="240" w:lineRule="auto"/>
        <w:jc w:val="both"/>
      </w:pPr>
      <w:r w:rsidRPr="00E31047">
        <w:t xml:space="preserve">une prime exceptionnelle versée sur le bulletin de juillet après la clôture du bilan </w:t>
      </w:r>
      <w:r w:rsidR="00CF595B">
        <w:t>variable selon les résultats comptables et selon l’implication du collaborateur. Cette prime p</w:t>
      </w:r>
      <w:r w:rsidR="007C110F">
        <w:t>ouvait</w:t>
      </w:r>
      <w:r w:rsidR="00CF595B">
        <w:t xml:space="preserve"> varier de zéro </w:t>
      </w:r>
      <w:proofErr w:type="gramStart"/>
      <w:r w:rsidR="007C110F">
        <w:t>euros</w:t>
      </w:r>
      <w:proofErr w:type="gramEnd"/>
      <w:r w:rsidR="007C110F">
        <w:t xml:space="preserve"> </w:t>
      </w:r>
      <w:r w:rsidR="00CF595B">
        <w:t>à un mois de salaire.</w:t>
      </w:r>
    </w:p>
    <w:p w14:paraId="5DC7BF3F" w14:textId="77777777" w:rsidP="004E2900" w:rsidR="00506C07" w:rsidRDefault="00506C07" w:rsidRPr="00506C07">
      <w:pPr>
        <w:spacing w:before="240" w:line="240" w:lineRule="auto"/>
        <w:jc w:val="both"/>
      </w:pPr>
    </w:p>
    <w:p w14:paraId="39B65C0B" w14:textId="7BD403ED" w:rsidP="004E2900" w:rsidR="00F36899" w:rsidRDefault="00F36899" w:rsidRPr="007C110F">
      <w:pPr>
        <w:spacing w:before="240" w:line="240" w:lineRule="auto"/>
        <w:jc w:val="both"/>
        <w:rPr>
          <w:b/>
          <w:bCs/>
          <w:u w:val="single"/>
        </w:rPr>
      </w:pPr>
      <w:r w:rsidRPr="007C110F">
        <w:rPr>
          <w:b/>
          <w:bCs/>
          <w:u w:val="single"/>
        </w:rPr>
        <w:t xml:space="preserve">Article </w:t>
      </w:r>
      <w:r w:rsidR="000C0C5F" w:rsidRPr="007C110F">
        <w:rPr>
          <w:b/>
          <w:bCs/>
          <w:u w:val="single"/>
        </w:rPr>
        <w:t>3</w:t>
      </w:r>
      <w:r w:rsidRPr="007C110F">
        <w:rPr>
          <w:b/>
          <w:bCs/>
          <w:u w:val="single"/>
        </w:rPr>
        <w:t xml:space="preserve"> </w:t>
      </w:r>
      <w:r w:rsidR="000C0C5F" w:rsidRPr="007C110F">
        <w:rPr>
          <w:b/>
          <w:bCs/>
          <w:u w:val="single"/>
        </w:rPr>
        <w:t>–</w:t>
      </w:r>
      <w:r w:rsidRPr="007C110F">
        <w:rPr>
          <w:b/>
          <w:bCs/>
          <w:u w:val="single"/>
        </w:rPr>
        <w:t xml:space="preserve"> </w:t>
      </w:r>
      <w:r w:rsidR="000C0C5F" w:rsidRPr="007C110F">
        <w:rPr>
          <w:b/>
          <w:bCs/>
          <w:u w:val="single"/>
        </w:rPr>
        <w:t xml:space="preserve">Règles de rémunération applicables </w:t>
      </w:r>
      <w:r w:rsidR="00866E7E">
        <w:rPr>
          <w:b/>
          <w:bCs/>
          <w:u w:val="single"/>
        </w:rPr>
        <w:t>au</w:t>
      </w:r>
      <w:r w:rsidR="000C0C5F" w:rsidRPr="007C110F">
        <w:rPr>
          <w:b/>
          <w:bCs/>
          <w:u w:val="single"/>
        </w:rPr>
        <w:t xml:space="preserve"> 1er juillet 2022</w:t>
      </w:r>
    </w:p>
    <w:p w14:paraId="77AFF79F" w14:textId="34FBE168" w:rsidP="004E2900" w:rsidR="003C6ED4" w:rsidRDefault="003C6ED4" w:rsidRPr="003C6ED4">
      <w:pPr>
        <w:spacing w:before="240" w:line="240" w:lineRule="auto"/>
        <w:jc w:val="both"/>
      </w:pPr>
      <w:r w:rsidRPr="003C6ED4">
        <w:t xml:space="preserve">Le nouveau mode de rémunération se </w:t>
      </w:r>
      <w:r w:rsidR="007C110F">
        <w:t>dé</w:t>
      </w:r>
      <w:r w:rsidRPr="003C6ED4">
        <w:t>compose de la façon suivante</w:t>
      </w:r>
      <w:r>
        <w:t xml:space="preserve"> </w:t>
      </w:r>
      <w:r w:rsidRPr="003C6ED4">
        <w:t>:</w:t>
      </w:r>
    </w:p>
    <w:p w14:paraId="34BB896C" w14:textId="3E0311DF" w:rsidP="004E2900" w:rsidR="003C6ED4" w:rsidRDefault="003C6ED4" w:rsidRPr="003C6ED4">
      <w:pPr>
        <w:numPr>
          <w:ilvl w:val="0"/>
          <w:numId w:val="3"/>
        </w:numPr>
        <w:spacing w:before="240" w:line="240" w:lineRule="auto"/>
        <w:jc w:val="both"/>
      </w:pPr>
      <w:r w:rsidRPr="003C6ED4">
        <w:t>Suppression de la prime annuelle à compter de juillet 2023</w:t>
      </w:r>
    </w:p>
    <w:p w14:paraId="1993B50D" w14:textId="062E1398" w:rsidP="004E2900" w:rsidR="003C6ED4" w:rsidRDefault="003C6ED4" w:rsidRPr="001719CA">
      <w:pPr>
        <w:numPr>
          <w:ilvl w:val="0"/>
          <w:numId w:val="3"/>
        </w:numPr>
        <w:spacing w:before="240" w:line="240" w:lineRule="auto"/>
        <w:jc w:val="both"/>
      </w:pPr>
      <w:r w:rsidRPr="003C6ED4">
        <w:t>Intégration de la prime annuelle versée en juillet 2021 dans le salaire mensuel</w:t>
      </w:r>
      <w:r>
        <w:t xml:space="preserve"> à partir du 1</w:t>
      </w:r>
      <w:r w:rsidRPr="003C6ED4">
        <w:rPr>
          <w:vertAlign w:val="superscript"/>
        </w:rPr>
        <w:t>er</w:t>
      </w:r>
      <w:r>
        <w:t xml:space="preserve"> juillet 2022</w:t>
      </w:r>
      <w:r w:rsidRPr="003C6ED4">
        <w:t>, à hauteur de 1/12</w:t>
      </w:r>
      <w:r w:rsidRPr="003C6ED4">
        <w:rPr>
          <w:vertAlign w:val="superscript"/>
        </w:rPr>
        <w:t>ème</w:t>
      </w:r>
    </w:p>
    <w:p w14:paraId="3526735C" w14:textId="17F40869" w:rsidP="00FC7F2A" w:rsidR="00FC7F2A" w:rsidRDefault="001719CA">
      <w:pPr>
        <w:spacing w:before="240" w:line="240" w:lineRule="auto"/>
        <w:ind w:left="720"/>
        <w:jc w:val="both"/>
      </w:pPr>
      <w:r w:rsidRPr="003C6ED4">
        <w:t xml:space="preserve">Intégration </w:t>
      </w:r>
      <w:r>
        <w:t>d’une augmentation de salaire supérieure à 2% du salaire de base initial</w:t>
      </w:r>
      <w:r w:rsidRPr="003C6ED4">
        <w:t xml:space="preserve"> dans le salaire mensuel</w:t>
      </w:r>
      <w:r>
        <w:t xml:space="preserve"> </w:t>
      </w:r>
      <w:r w:rsidR="00B576D3">
        <w:t>de</w:t>
      </w:r>
      <w:r w:rsidR="00FC7F2A" w:rsidRPr="003C6ED4">
        <w:t xml:space="preserve"> juillet 2022</w:t>
      </w:r>
      <w:r w:rsidR="00FC7F2A">
        <w:t xml:space="preserve"> par rapport à juin 2022. </w:t>
      </w:r>
    </w:p>
    <w:p w14:paraId="52956BC5" w14:textId="1F246146" w:rsidP="00AC18DF" w:rsidR="003C6ED4" w:rsidRDefault="004C1742">
      <w:pPr>
        <w:numPr>
          <w:ilvl w:val="0"/>
          <w:numId w:val="3"/>
        </w:numPr>
        <w:spacing w:before="240" w:line="240" w:lineRule="auto"/>
        <w:jc w:val="both"/>
      </w:pPr>
      <w:r>
        <w:t>Le n</w:t>
      </w:r>
      <w:r w:rsidR="003C6ED4" w:rsidRPr="003C6ED4">
        <w:t xml:space="preserve">ouveau salaire de base </w:t>
      </w:r>
      <w:r>
        <w:t xml:space="preserve">doit se trouver </w:t>
      </w:r>
      <w:r w:rsidR="003C6ED4" w:rsidRPr="003C6ED4">
        <w:t xml:space="preserve">en augmentation de 5% au minimum </w:t>
      </w:r>
      <w:r w:rsidR="003C6ED4">
        <w:t>pour</w:t>
      </w:r>
      <w:r w:rsidR="003C6ED4" w:rsidRPr="003C6ED4">
        <w:t xml:space="preserve"> juillet 2022</w:t>
      </w:r>
      <w:r w:rsidR="001719CA">
        <w:t xml:space="preserve"> par rapport à juin 2022. </w:t>
      </w:r>
    </w:p>
    <w:p w14:paraId="7B550685" w14:textId="631B6F11" w:rsidP="007C110F" w:rsidR="007C110F" w:rsidRDefault="007C110F">
      <w:pPr>
        <w:spacing w:before="240" w:line="240" w:lineRule="auto"/>
        <w:jc w:val="both"/>
      </w:pPr>
      <w:r>
        <w:t xml:space="preserve">Ces nouvelles dispositions </w:t>
      </w:r>
      <w:r w:rsidRPr="00506C07">
        <w:t>concerne</w:t>
      </w:r>
      <w:r>
        <w:t>nt</w:t>
      </w:r>
      <w:r w:rsidRPr="00506C07">
        <w:t xml:space="preserve"> les salariés ayant plus d’un an d’ancienneté </w:t>
      </w:r>
      <w:r w:rsidR="004C1742">
        <w:t>au 30 juin 2022</w:t>
      </w:r>
      <w:r w:rsidRPr="00506C07">
        <w:t xml:space="preserve">. </w:t>
      </w:r>
    </w:p>
    <w:p w14:paraId="23F5DD00" w14:textId="6A865DAA" w:rsidP="004C1742" w:rsidR="00F36899" w:rsidRDefault="00F36899" w:rsidRPr="00866E7E">
      <w:pPr>
        <w:spacing w:before="240" w:line="240" w:lineRule="auto"/>
        <w:jc w:val="both"/>
      </w:pPr>
      <w:r w:rsidRPr="00506C07">
        <w:br/>
      </w:r>
      <w:r w:rsidRPr="00866E7E">
        <w:rPr>
          <w:b/>
          <w:bCs/>
          <w:u w:val="single"/>
        </w:rPr>
        <w:t xml:space="preserve">Article </w:t>
      </w:r>
      <w:r w:rsidR="000C0C5F" w:rsidRPr="00866E7E">
        <w:rPr>
          <w:b/>
          <w:bCs/>
          <w:u w:val="single"/>
        </w:rPr>
        <w:t>4</w:t>
      </w:r>
      <w:r w:rsidRPr="00866E7E">
        <w:rPr>
          <w:b/>
          <w:bCs/>
          <w:u w:val="single"/>
        </w:rPr>
        <w:t xml:space="preserve"> </w:t>
      </w:r>
      <w:r w:rsidR="000C0C5F" w:rsidRPr="00866E7E">
        <w:rPr>
          <w:b/>
          <w:bCs/>
          <w:u w:val="single"/>
        </w:rPr>
        <w:t>–</w:t>
      </w:r>
      <w:r w:rsidRPr="00866E7E">
        <w:rPr>
          <w:b/>
          <w:bCs/>
          <w:u w:val="single"/>
        </w:rPr>
        <w:t xml:space="preserve"> </w:t>
      </w:r>
      <w:r w:rsidR="000C0C5F" w:rsidRPr="00866E7E">
        <w:rPr>
          <w:b/>
          <w:bCs/>
          <w:u w:val="single"/>
        </w:rPr>
        <w:t>Exemple</w:t>
      </w:r>
      <w:r w:rsidR="00CF595B" w:rsidRPr="00866E7E">
        <w:rPr>
          <w:b/>
          <w:bCs/>
          <w:u w:val="single"/>
        </w:rPr>
        <w:t xml:space="preserve"> pour la détermination du salaire de juillet 2022</w:t>
      </w:r>
    </w:p>
    <w:p w14:paraId="0ABA9E94" w14:textId="77777777" w:rsidP="004E2900" w:rsidR="003C6ED4" w:rsidRDefault="003C6ED4" w:rsidRPr="003C6ED4">
      <w:pPr>
        <w:spacing w:before="240" w:line="240" w:lineRule="auto"/>
        <w:jc w:val="both"/>
      </w:pPr>
      <w:r w:rsidRPr="003C6ED4">
        <w:t>Salaire de base = 2500 euros bruts</w:t>
      </w:r>
    </w:p>
    <w:p w14:paraId="346243A5" w14:textId="77777777" w:rsidP="004E2900" w:rsidR="003C6ED4" w:rsidRDefault="003C6ED4" w:rsidRPr="003C6ED4">
      <w:pPr>
        <w:spacing w:before="240" w:line="240" w:lineRule="auto"/>
        <w:jc w:val="both"/>
      </w:pPr>
      <w:r w:rsidRPr="003C6ED4">
        <w:t>Prime annuelle = 750 euros bruts</w:t>
      </w:r>
    </w:p>
    <w:p w14:paraId="38C9ED67" w14:textId="5F093F32" w:rsidP="004E2900" w:rsidR="003C6ED4" w:rsidRDefault="003C6ED4" w:rsidRPr="003C6ED4">
      <w:pPr>
        <w:spacing w:before="240" w:line="240" w:lineRule="auto"/>
        <w:jc w:val="both"/>
      </w:pPr>
      <w:r w:rsidRPr="003C6ED4">
        <w:rPr>
          <w:u w:val="single"/>
        </w:rPr>
        <w:t xml:space="preserve">Ancien </w:t>
      </w:r>
      <w:r w:rsidR="004C1742" w:rsidRPr="003C6ED4">
        <w:rPr>
          <w:u w:val="single"/>
        </w:rPr>
        <w:t>système :</w:t>
      </w:r>
      <w:r w:rsidRPr="003C6ED4">
        <w:rPr>
          <w:u w:val="single"/>
        </w:rPr>
        <w:t xml:space="preserve"> </w:t>
      </w:r>
    </w:p>
    <w:p w14:paraId="35A567CD" w14:textId="77777777" w:rsidP="004E2900" w:rsidR="003C6ED4" w:rsidRDefault="003C6ED4" w:rsidRPr="003C6ED4">
      <w:pPr>
        <w:numPr>
          <w:ilvl w:val="0"/>
          <w:numId w:val="4"/>
        </w:numPr>
        <w:spacing w:before="240" w:line="240" w:lineRule="auto"/>
        <w:jc w:val="both"/>
      </w:pPr>
      <w:r w:rsidRPr="003C6ED4">
        <w:t>Augmentation de 2% en juillet : nouveau salaire de base = 2550 euros</w:t>
      </w:r>
    </w:p>
    <w:p w14:paraId="258C0615" w14:textId="77777777" w:rsidP="004E2900" w:rsidR="003C6ED4" w:rsidRDefault="003C6ED4" w:rsidRPr="003C6ED4">
      <w:pPr>
        <w:numPr>
          <w:ilvl w:val="0"/>
          <w:numId w:val="4"/>
        </w:numPr>
        <w:spacing w:before="240" w:line="240" w:lineRule="auto"/>
        <w:jc w:val="both"/>
      </w:pPr>
      <w:r w:rsidRPr="003C6ED4">
        <w:t>Prime versée en juillet : 750 euros</w:t>
      </w:r>
    </w:p>
    <w:p w14:paraId="07D2089B" w14:textId="68D263A7" w:rsidP="004E2900" w:rsidR="003C6ED4" w:rsidRDefault="003C6ED4">
      <w:pPr>
        <w:spacing w:before="240" w:line="240" w:lineRule="auto"/>
        <w:jc w:val="both"/>
      </w:pPr>
      <w:r w:rsidRPr="003C6ED4">
        <w:t>-&gt; rémunération moyenne = 2550 + (750/12) = 2612,50 euros</w:t>
      </w:r>
    </w:p>
    <w:p w14:paraId="1FA0E5E5" w14:textId="4A88452B" w:rsidP="004E2900" w:rsidR="003C6ED4" w:rsidRDefault="003C6ED4" w:rsidRPr="003C6ED4">
      <w:pPr>
        <w:spacing w:before="240" w:line="240" w:lineRule="auto"/>
        <w:jc w:val="both"/>
      </w:pPr>
      <w:r w:rsidRPr="003C6ED4">
        <w:rPr>
          <w:u w:val="single"/>
        </w:rPr>
        <w:t xml:space="preserve">Nouveau </w:t>
      </w:r>
      <w:r w:rsidR="004C1742" w:rsidRPr="003C6ED4">
        <w:rPr>
          <w:u w:val="single"/>
        </w:rPr>
        <w:t>système :</w:t>
      </w:r>
    </w:p>
    <w:p w14:paraId="07D0C828" w14:textId="77777777" w:rsidP="004E2900" w:rsidR="004C1742" w:rsidRDefault="003C6ED4">
      <w:pPr>
        <w:spacing w:before="240" w:line="240" w:lineRule="auto"/>
        <w:jc w:val="both"/>
      </w:pPr>
      <w:r w:rsidRPr="003C6ED4">
        <w:t xml:space="preserve">- </w:t>
      </w:r>
      <w:r w:rsidR="004C1742">
        <w:tab/>
        <w:t>Intégration de la prime au salaire de base +62,50 €</w:t>
      </w:r>
    </w:p>
    <w:p w14:paraId="2D560875" w14:textId="4BF63135" w:rsidP="004E2900" w:rsidR="004C1742" w:rsidRDefault="004C1742">
      <w:pPr>
        <w:spacing w:before="240" w:line="240" w:lineRule="auto"/>
        <w:jc w:val="both"/>
      </w:pPr>
      <w:r>
        <w:t>-</w:t>
      </w:r>
      <w:r>
        <w:tab/>
        <w:t>Intégration de l’augmentation de 2</w:t>
      </w:r>
      <w:r w:rsidR="00102966">
        <w:t xml:space="preserve"> </w:t>
      </w:r>
      <w:r>
        <w:t xml:space="preserve">%  </w:t>
      </w:r>
      <w:r w:rsidR="00102966">
        <w:t>+ 50 €</w:t>
      </w:r>
    </w:p>
    <w:p w14:paraId="25C88D7D" w14:textId="236F1E2A" w:rsidP="004E2900" w:rsidR="00102966" w:rsidRDefault="00102966">
      <w:pPr>
        <w:spacing w:before="240" w:line="240" w:lineRule="auto"/>
        <w:jc w:val="both"/>
      </w:pPr>
      <w:r>
        <w:lastRenderedPageBreak/>
        <w:t>-</w:t>
      </w:r>
      <w:r>
        <w:tab/>
        <w:t>Intégration de la prime et de l’augmentation (112,50 €) inférieure à l’a</w:t>
      </w:r>
      <w:r w:rsidR="003C6ED4" w:rsidRPr="003C6ED4">
        <w:t>ugmentation de 5%</w:t>
      </w:r>
      <w:r>
        <w:t xml:space="preserve"> du salaire de base : 125 €</w:t>
      </w:r>
    </w:p>
    <w:p w14:paraId="64CE11D1" w14:textId="3CAE8B3D" w:rsidP="004E2900" w:rsidR="003C6ED4" w:rsidRDefault="00102966">
      <w:pPr>
        <w:spacing w:before="240" w:line="240" w:lineRule="auto"/>
        <w:jc w:val="both"/>
      </w:pPr>
      <w:r>
        <w:t>Donc à compter de</w:t>
      </w:r>
      <w:r w:rsidR="003C6ED4" w:rsidRPr="003C6ED4">
        <w:t xml:space="preserve"> juillet</w:t>
      </w:r>
      <w:r>
        <w:t xml:space="preserve"> 2022</w:t>
      </w:r>
      <w:r w:rsidR="003C6ED4" w:rsidRPr="003C6ED4">
        <w:t xml:space="preserve"> : nouveau salaire de base = 2625 euros</w:t>
      </w:r>
      <w:r>
        <w:t>.</w:t>
      </w:r>
    </w:p>
    <w:p w14:paraId="0F20683F" w14:textId="77777777" w:rsidP="004E2900" w:rsidR="00102966" w:rsidRDefault="00102966" w:rsidRPr="00506C07">
      <w:pPr>
        <w:spacing w:before="240" w:line="240" w:lineRule="auto"/>
        <w:jc w:val="both"/>
      </w:pPr>
    </w:p>
    <w:p w14:paraId="447ADB11" w14:textId="1C2EE88B" w:rsidP="004E2900" w:rsidR="000C0C5F" w:rsidRDefault="000C0C5F" w:rsidRPr="00866E7E">
      <w:pPr>
        <w:spacing w:before="240" w:line="240" w:lineRule="auto"/>
        <w:jc w:val="both"/>
        <w:rPr>
          <w:b/>
          <w:bCs/>
          <w:u w:val="single"/>
        </w:rPr>
      </w:pPr>
      <w:r w:rsidRPr="00866E7E">
        <w:rPr>
          <w:b/>
          <w:bCs/>
          <w:u w:val="single"/>
        </w:rPr>
        <w:t>Article 5 – Préavis en cas de démission</w:t>
      </w:r>
    </w:p>
    <w:p w14:paraId="4AF1180D" w14:textId="0497C463" w:rsidP="004E2900" w:rsidR="000C0C5F" w:rsidRDefault="000C0C5F" w:rsidRPr="00506C07">
      <w:pPr>
        <w:spacing w:before="240" w:line="240" w:lineRule="auto"/>
        <w:jc w:val="both"/>
      </w:pPr>
      <w:r w:rsidRPr="00506C07">
        <w:t>Par dérogation aux dispositions de la convention collective Experts comptables et com</w:t>
      </w:r>
      <w:r w:rsidR="00E31047" w:rsidRPr="00506C07">
        <w:t>missaires aux comptes n°787</w:t>
      </w:r>
      <w:r w:rsidR="003C6ED4" w:rsidRPr="003C6ED4">
        <w:t xml:space="preserve"> et afin de préserver le fonctionnement interne des équipes, d’organiser les recrutements et </w:t>
      </w:r>
      <w:r w:rsidR="003C6ED4">
        <w:t xml:space="preserve">de </w:t>
      </w:r>
      <w:r w:rsidR="003C6ED4" w:rsidRPr="003C6ED4">
        <w:t xml:space="preserve">s’aligner sur ce qui se pratique aujourd’hui dans de nombreux cabinets, l’accord d’entreprise prévoit un préavis </w:t>
      </w:r>
      <w:r w:rsidR="00866E7E">
        <w:t xml:space="preserve">en cas </w:t>
      </w:r>
      <w:r w:rsidR="003C6ED4" w:rsidRPr="003C6ED4">
        <w:t>de démission de</w:t>
      </w:r>
      <w:r w:rsidR="00866E7E">
        <w:t xml:space="preserve"> </w:t>
      </w:r>
      <w:r w:rsidR="00E31047" w:rsidRPr="00506C07">
        <w:t xml:space="preserve">: </w:t>
      </w:r>
    </w:p>
    <w:p w14:paraId="57ECB559" w14:textId="12081531" w:rsidP="004E2900" w:rsidR="00E31047" w:rsidRDefault="00E31047" w:rsidRPr="00506C07">
      <w:pPr>
        <w:pStyle w:val="Paragraphedeliste"/>
        <w:numPr>
          <w:ilvl w:val="0"/>
          <w:numId w:val="1"/>
        </w:numPr>
        <w:spacing w:before="240" w:line="240" w:lineRule="auto"/>
        <w:jc w:val="both"/>
      </w:pPr>
      <w:r w:rsidRPr="00506C07">
        <w:t>Salariés non-cadres : 2 mois</w:t>
      </w:r>
    </w:p>
    <w:p w14:paraId="5B21A861" w14:textId="678B8BB3" w:rsidP="004E2900" w:rsidR="00E31047" w:rsidRDefault="00E31047" w:rsidRPr="00506C07">
      <w:pPr>
        <w:pStyle w:val="Paragraphedeliste"/>
        <w:numPr>
          <w:ilvl w:val="0"/>
          <w:numId w:val="1"/>
        </w:numPr>
        <w:spacing w:before="240" w:line="240" w:lineRule="auto"/>
        <w:jc w:val="both"/>
      </w:pPr>
      <w:r w:rsidRPr="00506C07">
        <w:t>Salariés cadres : 3 mois</w:t>
      </w:r>
    </w:p>
    <w:p w14:paraId="5FA05C0D" w14:textId="78E9CE13" w:rsidP="004E2900" w:rsidR="000C0C5F" w:rsidRDefault="00866E7E">
      <w:pPr>
        <w:spacing w:before="240" w:line="240" w:lineRule="auto"/>
        <w:jc w:val="both"/>
      </w:pPr>
      <w:r>
        <w:t>Ce préavis s’applique à l’issue de la période d’essai</w:t>
      </w:r>
      <w:r w:rsidR="00102966">
        <w:t xml:space="preserve"> et à compter d</w:t>
      </w:r>
      <w:r w:rsidR="00074CC6">
        <w:t>e la signature du présent accord</w:t>
      </w:r>
      <w:r>
        <w:t xml:space="preserve">. </w:t>
      </w:r>
    </w:p>
    <w:p w14:paraId="11CACC1F" w14:textId="77777777" w:rsidP="004E2900" w:rsidR="00866E7E" w:rsidRDefault="00866E7E">
      <w:pPr>
        <w:spacing w:before="240" w:line="240" w:lineRule="auto"/>
        <w:jc w:val="both"/>
      </w:pPr>
    </w:p>
    <w:p w14:paraId="71C3E024" w14:textId="7D156706" w:rsidP="004E2900" w:rsidR="003C6ED4" w:rsidRDefault="00866E7E" w:rsidRPr="00866E7E">
      <w:pPr>
        <w:spacing w:before="240"/>
        <w:jc w:val="both"/>
        <w:rPr>
          <w:b/>
          <w:bCs/>
          <w:u w:val="single"/>
        </w:rPr>
      </w:pPr>
      <w:r w:rsidRPr="00866E7E">
        <w:rPr>
          <w:b/>
          <w:bCs/>
          <w:u w:val="single"/>
        </w:rPr>
        <w:t>Article 6 – Durée de l’accord</w:t>
      </w:r>
    </w:p>
    <w:p w14:paraId="36ECFB26" w14:textId="77777777" w:rsidP="004E2900" w:rsidR="003C6ED4" w:rsidRDefault="003C6ED4">
      <w:pPr>
        <w:spacing w:before="240"/>
        <w:jc w:val="both"/>
      </w:pPr>
      <w:r w:rsidRPr="003A6DCC">
        <w:t xml:space="preserve">Le présent accord est conclu pour une durée indéterminée. </w:t>
      </w:r>
    </w:p>
    <w:p w14:paraId="0A2C6868" w14:textId="77777777" w:rsidP="004E2900" w:rsidR="003C6ED4" w:rsidRDefault="003C6ED4">
      <w:pPr>
        <w:spacing w:before="240"/>
        <w:jc w:val="both"/>
      </w:pPr>
      <w:r w:rsidRPr="003A6DCC">
        <w:t xml:space="preserve">Il peut faire l’objet à tout moment d’une révision à la demande de l’une ou l’autre des parties signataires, dans le respect des conditions de validité applicables à la conclusion des accords d’entreprise. </w:t>
      </w:r>
    </w:p>
    <w:p w14:paraId="05ECD63D" w14:textId="77777777" w:rsidP="004E2900" w:rsidR="003C6ED4" w:rsidRDefault="003C6ED4" w:rsidRPr="003A6DCC">
      <w:pPr>
        <w:spacing w:before="240"/>
        <w:jc w:val="both"/>
      </w:pPr>
      <w:r w:rsidRPr="003A6DCC">
        <w:t>Il peut être dénoncé par l’une ou l’autre des parties signataires par lettre recommandée avec accusé de réception, sous réserve du respect d’un préavis de 3 mois courant à compter de la notification de la dénonciation à la DIRECCTE ainsi qu’au Conseil de Prud’hommes.</w:t>
      </w:r>
    </w:p>
    <w:p w14:paraId="53A9EF82" w14:textId="77777777" w:rsidP="004E2900" w:rsidR="003C6ED4" w:rsidRDefault="003C6ED4">
      <w:pPr>
        <w:spacing w:before="240"/>
        <w:jc w:val="both"/>
        <w:rPr>
          <w:u w:val="single"/>
        </w:rPr>
      </w:pPr>
    </w:p>
    <w:p w14:paraId="2C6DD3B0" w14:textId="65623EF9" w:rsidP="004E2900" w:rsidR="003C6ED4" w:rsidRDefault="00866E7E" w:rsidRPr="00866E7E">
      <w:pPr>
        <w:spacing w:before="240"/>
        <w:jc w:val="both"/>
        <w:rPr>
          <w:b/>
          <w:bCs/>
          <w:u w:val="single"/>
        </w:rPr>
      </w:pPr>
      <w:r w:rsidRPr="00866E7E">
        <w:rPr>
          <w:b/>
          <w:bCs/>
          <w:u w:val="single"/>
        </w:rPr>
        <w:t>Article 7 – Entrée en vigueur</w:t>
      </w:r>
    </w:p>
    <w:p w14:paraId="2A7E1688" w14:textId="77777777" w:rsidP="004E2900" w:rsidR="003C6ED4" w:rsidRDefault="003C6ED4">
      <w:pPr>
        <w:spacing w:before="240"/>
        <w:jc w:val="both"/>
      </w:pPr>
      <w:r w:rsidRPr="003A6DCC">
        <w:t xml:space="preserve">Le présent avenant est établi en un nombre suffisant d’exemplaires pour remise à chacune des parties signataires et dépôt dans les conditions prévues à l’article D.2231-2 du Code du Travail (dépôt à la DIRECCTE et au Conseil de Prud’hommes compétents). </w:t>
      </w:r>
    </w:p>
    <w:p w14:paraId="385600D1" w14:textId="0516C6B4" w:rsidP="004E2900" w:rsidR="003C6ED4" w:rsidRDefault="003C6ED4">
      <w:pPr>
        <w:spacing w:before="240"/>
        <w:jc w:val="both"/>
      </w:pPr>
      <w:r w:rsidRPr="003A6DCC">
        <w:t>Le dépôt à la DIRECCTE s’accompagnera de la copie des résultats aux dernières élections professionnelles et du bordereau de dépôt.</w:t>
      </w:r>
    </w:p>
    <w:p w14:paraId="55D19E9D" w14:textId="5F2B6226" w:rsidP="004E2900" w:rsidR="00866E7E" w:rsidRDefault="00866E7E">
      <w:pPr>
        <w:spacing w:before="240"/>
        <w:jc w:val="both"/>
      </w:pPr>
      <w:r>
        <w:t xml:space="preserve">Il entre en vigueur </w:t>
      </w:r>
      <w:r w:rsidR="00074CC6">
        <w:t>à compter de sa date de signature</w:t>
      </w:r>
      <w:r>
        <w:t xml:space="preserve">. </w:t>
      </w:r>
    </w:p>
    <w:p w14:paraId="2DF30CFC" w14:textId="2A7092AC" w:rsidP="00866E7E" w:rsidR="00866E7E" w:rsidRDefault="00866E7E">
      <w:pPr>
        <w:spacing w:after="0" w:before="240" w:line="240" w:lineRule="auto"/>
        <w:jc w:val="both"/>
      </w:pPr>
    </w:p>
    <w:p w14:paraId="3BB792A6" w14:textId="0C81ACB2" w:rsidP="00866E7E" w:rsidR="00FA6A7F" w:rsidRDefault="00FA6A7F">
      <w:pPr>
        <w:spacing w:after="0" w:before="240" w:line="240" w:lineRule="auto"/>
        <w:jc w:val="both"/>
      </w:pPr>
    </w:p>
    <w:p w14:paraId="65CAD997" w14:textId="77777777" w:rsidP="00866E7E" w:rsidR="00FA6A7F" w:rsidRDefault="00FA6A7F">
      <w:pPr>
        <w:spacing w:after="0" w:before="240" w:line="240" w:lineRule="auto"/>
        <w:jc w:val="both"/>
      </w:pPr>
    </w:p>
    <w:p w14:paraId="64BE850C" w14:textId="55836CD5" w:rsidP="00866E7E" w:rsidR="00F36899" w:rsidRDefault="00F36899" w:rsidRPr="00866E7E">
      <w:pPr>
        <w:spacing w:after="0" w:line="240" w:lineRule="auto"/>
        <w:jc w:val="both"/>
        <w:rPr>
          <w:b/>
          <w:bCs/>
          <w:u w:val="single"/>
        </w:rPr>
      </w:pPr>
      <w:r w:rsidRPr="00506C07">
        <w:lastRenderedPageBreak/>
        <w:br/>
      </w:r>
      <w:r w:rsidRPr="00866E7E">
        <w:rPr>
          <w:b/>
          <w:bCs/>
          <w:u w:val="single"/>
        </w:rPr>
        <w:t xml:space="preserve">Article </w:t>
      </w:r>
      <w:r w:rsidR="00866E7E" w:rsidRPr="00866E7E">
        <w:rPr>
          <w:b/>
          <w:bCs/>
          <w:u w:val="single"/>
        </w:rPr>
        <w:t>8</w:t>
      </w:r>
      <w:r w:rsidRPr="00866E7E">
        <w:rPr>
          <w:b/>
          <w:bCs/>
          <w:u w:val="single"/>
        </w:rPr>
        <w:t xml:space="preserve"> - Dépôt et publicité de l'accord</w:t>
      </w:r>
    </w:p>
    <w:p w14:paraId="7C02FA58" w14:textId="23BBE631" w:rsidP="004E2900" w:rsidR="00F36899" w:rsidRDefault="00F36899" w:rsidRPr="00506C07">
      <w:pPr>
        <w:spacing w:before="240" w:line="240" w:lineRule="auto"/>
        <w:jc w:val="both"/>
      </w:pPr>
      <w:r w:rsidRPr="00506C07">
        <w:t xml:space="preserve">Le présent accord sera diffusé dans l'entreprise </w:t>
      </w:r>
      <w:r w:rsidR="00725784" w:rsidRPr="00506C07">
        <w:t xml:space="preserve">à chaque salarié. </w:t>
      </w:r>
      <w:r w:rsidRPr="00506C07">
        <w:t>Il sera déposé sur la plateforme numérique « </w:t>
      </w:r>
      <w:proofErr w:type="spellStart"/>
      <w:r w:rsidRPr="00506C07">
        <w:t>Téléaccords</w:t>
      </w:r>
      <w:proofErr w:type="spellEnd"/>
      <w:r w:rsidRPr="00506C07">
        <w:t xml:space="preserve"> », accessible depuis le site internet dédié, accompagné des pièces prévues à l'article </w:t>
      </w:r>
      <w:hyperlink r:id="rId6" w:history="1">
        <w:r w:rsidRPr="00506C07">
          <w:t>D. 2231-7</w:t>
        </w:r>
      </w:hyperlink>
      <w:r w:rsidRPr="00506C07">
        <w:t xml:space="preserve"> du code du travail, par </w:t>
      </w:r>
      <w:r w:rsidR="00725784" w:rsidRPr="00506C07">
        <w:t>Laurent DENAUD</w:t>
      </w:r>
      <w:r w:rsidRPr="00506C07">
        <w:t>, représentant de l'entreprise.</w:t>
      </w:r>
    </w:p>
    <w:p w14:paraId="194AEBC5" w14:textId="5BD874F1" w:rsidP="004E2900" w:rsidR="00F36899" w:rsidRDefault="00F36899">
      <w:pPr>
        <w:spacing w:before="240" w:line="240" w:lineRule="auto"/>
        <w:jc w:val="both"/>
      </w:pPr>
      <w:r w:rsidRPr="00506C07">
        <w:t xml:space="preserve">Un exemplaire sera également remis au greffe du conseil de prud'hommes de </w:t>
      </w:r>
      <w:r w:rsidR="00725784" w:rsidRPr="00506C07">
        <w:t>Nantes</w:t>
      </w:r>
      <w:r w:rsidRPr="00506C07">
        <w:t>. Les éventuels avenants de révision du présent accord feront l'objet des mêmes mesures de publicité.</w:t>
      </w:r>
    </w:p>
    <w:p w14:paraId="1A0B2C7A" w14:textId="39B5FF84" w:rsidP="004E2900" w:rsidR="000B74E5" w:rsidRDefault="000B74E5">
      <w:pPr>
        <w:spacing w:before="240" w:line="240" w:lineRule="auto"/>
        <w:jc w:val="both"/>
      </w:pPr>
    </w:p>
    <w:p w14:paraId="50A48BC9" w14:textId="339DFE1C" w:rsidP="00162BE7" w:rsidR="000B74E5" w:rsidRDefault="000B74E5" w:rsidRPr="00162BE7">
      <w:pPr>
        <w:spacing w:before="240" w:line="240" w:lineRule="auto"/>
        <w:jc w:val="both"/>
      </w:pPr>
      <w:r>
        <w:t>Saint Herblain, le 18 juillet 2022</w:t>
      </w:r>
    </w:p>
    <w:sectPr w:rsidR="000B74E5" w:rsidRPr="00162BE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1A71A8A"/>
    <w:multiLevelType w:val="hybridMultilevel"/>
    <w:tmpl w:val="A8DEB78A"/>
    <w:lvl w:ilvl="0" w:tplc="ACD4CDC4">
      <w:start w:val="1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hAnsi="Times New Roman" w:hint="default"/>
      </w:rPr>
    </w:lvl>
    <w:lvl w:ilvl="1" w:tentative="1" w:tplc="90F482E4">
      <w:start w:val="1"/>
      <w:numFmt w:val="bullet"/>
      <w:lvlText w:val="-"/>
      <w:lvlJc w:val="left"/>
      <w:pPr>
        <w:tabs>
          <w:tab w:pos="1440" w:val="num"/>
        </w:tabs>
        <w:ind w:hanging="360" w:left="1440"/>
      </w:pPr>
      <w:rPr>
        <w:rFonts w:ascii="Times New Roman" w:hAnsi="Times New Roman" w:hint="default"/>
      </w:rPr>
    </w:lvl>
    <w:lvl w:ilvl="2" w:tentative="1" w:tplc="D35604AE">
      <w:start w:val="1"/>
      <w:numFmt w:val="bullet"/>
      <w:lvlText w:val="-"/>
      <w:lvlJc w:val="left"/>
      <w:pPr>
        <w:tabs>
          <w:tab w:pos="2160" w:val="num"/>
        </w:tabs>
        <w:ind w:hanging="360" w:left="2160"/>
      </w:pPr>
      <w:rPr>
        <w:rFonts w:ascii="Times New Roman" w:hAnsi="Times New Roman" w:hint="default"/>
      </w:rPr>
    </w:lvl>
    <w:lvl w:ilvl="3" w:tentative="1" w:tplc="E4C4EB46">
      <w:start w:val="1"/>
      <w:numFmt w:val="bullet"/>
      <w:lvlText w:val="-"/>
      <w:lvlJc w:val="left"/>
      <w:pPr>
        <w:tabs>
          <w:tab w:pos="2880" w:val="num"/>
        </w:tabs>
        <w:ind w:hanging="360" w:left="2880"/>
      </w:pPr>
      <w:rPr>
        <w:rFonts w:ascii="Times New Roman" w:hAnsi="Times New Roman" w:hint="default"/>
      </w:rPr>
    </w:lvl>
    <w:lvl w:ilvl="4" w:tentative="1" w:tplc="75523FF8">
      <w:start w:val="1"/>
      <w:numFmt w:val="bullet"/>
      <w:lvlText w:val="-"/>
      <w:lvlJc w:val="left"/>
      <w:pPr>
        <w:tabs>
          <w:tab w:pos="3600" w:val="num"/>
        </w:tabs>
        <w:ind w:hanging="360" w:left="3600"/>
      </w:pPr>
      <w:rPr>
        <w:rFonts w:ascii="Times New Roman" w:hAnsi="Times New Roman" w:hint="default"/>
      </w:rPr>
    </w:lvl>
    <w:lvl w:ilvl="5" w:tentative="1" w:tplc="A1CE08B8">
      <w:start w:val="1"/>
      <w:numFmt w:val="bullet"/>
      <w:lvlText w:val="-"/>
      <w:lvlJc w:val="left"/>
      <w:pPr>
        <w:tabs>
          <w:tab w:pos="4320" w:val="num"/>
        </w:tabs>
        <w:ind w:hanging="360" w:left="4320"/>
      </w:pPr>
      <w:rPr>
        <w:rFonts w:ascii="Times New Roman" w:hAnsi="Times New Roman" w:hint="default"/>
      </w:rPr>
    </w:lvl>
    <w:lvl w:ilvl="6" w:tentative="1" w:tplc="D842EDCC">
      <w:start w:val="1"/>
      <w:numFmt w:val="bullet"/>
      <w:lvlText w:val="-"/>
      <w:lvlJc w:val="left"/>
      <w:pPr>
        <w:tabs>
          <w:tab w:pos="5040" w:val="num"/>
        </w:tabs>
        <w:ind w:hanging="360" w:left="5040"/>
      </w:pPr>
      <w:rPr>
        <w:rFonts w:ascii="Times New Roman" w:hAnsi="Times New Roman" w:hint="default"/>
      </w:rPr>
    </w:lvl>
    <w:lvl w:ilvl="7" w:tentative="1" w:tplc="51AE0E62">
      <w:start w:val="1"/>
      <w:numFmt w:val="bullet"/>
      <w:lvlText w:val="-"/>
      <w:lvlJc w:val="left"/>
      <w:pPr>
        <w:tabs>
          <w:tab w:pos="5760" w:val="num"/>
        </w:tabs>
        <w:ind w:hanging="360" w:left="5760"/>
      </w:pPr>
      <w:rPr>
        <w:rFonts w:ascii="Times New Roman" w:hAnsi="Times New Roman" w:hint="default"/>
      </w:rPr>
    </w:lvl>
    <w:lvl w:ilvl="8" w:tentative="1" w:tplc="44D64E1E">
      <w:start w:val="1"/>
      <w:numFmt w:val="bullet"/>
      <w:lvlText w:val="-"/>
      <w:lvlJc w:val="left"/>
      <w:pPr>
        <w:tabs>
          <w:tab w:pos="6480" w:val="num"/>
        </w:tabs>
        <w:ind w:hanging="360" w:left="6480"/>
      </w:pPr>
      <w:rPr>
        <w:rFonts w:ascii="Times New Roman" w:hAnsi="Times New Roman" w:hint="default"/>
      </w:rPr>
    </w:lvl>
  </w:abstractNum>
  <w:abstractNum w:abstractNumId="1">
    <w:nsid w:val="18D60621"/>
    <w:multiLevelType w:val="hybridMultilevel"/>
    <w:tmpl w:val="D72AF99A"/>
    <w:lvl w:ilvl="0" w:tplc="8BCA702C">
      <w:start w:val="5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">
    <w:nsid w:val="687A575D"/>
    <w:multiLevelType w:val="hybridMultilevel"/>
    <w:tmpl w:val="A0B84BF0"/>
    <w:lvl w:ilvl="0" w:tplc="9878B8E2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entative="1" w:tplc="5BAAF204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Arial" w:hAnsi="Arial" w:hint="default"/>
      </w:rPr>
    </w:lvl>
    <w:lvl w:ilvl="2" w:tentative="1" w:tplc="315E6DA8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Arial" w:hAnsi="Arial" w:hint="default"/>
      </w:rPr>
    </w:lvl>
    <w:lvl w:ilvl="3" w:tentative="1" w:tplc="209C67C8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Arial" w:hAnsi="Arial" w:hint="default"/>
      </w:rPr>
    </w:lvl>
    <w:lvl w:ilvl="4" w:tentative="1" w:tplc="E3A6DC92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Arial" w:hAnsi="Arial" w:hint="default"/>
      </w:rPr>
    </w:lvl>
    <w:lvl w:ilvl="5" w:tentative="1" w:tplc="6284E178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Arial" w:hAnsi="Arial" w:hint="default"/>
      </w:rPr>
    </w:lvl>
    <w:lvl w:ilvl="6" w:tentative="1" w:tplc="6298D6CE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Arial" w:hAnsi="Arial" w:hint="default"/>
      </w:rPr>
    </w:lvl>
    <w:lvl w:ilvl="7" w:tentative="1" w:tplc="5308CCDE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Arial" w:hAnsi="Arial" w:hint="default"/>
      </w:rPr>
    </w:lvl>
    <w:lvl w:ilvl="8" w:tentative="1" w:tplc="DFA2F0B2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Arial" w:hAnsi="Arial" w:hint="default"/>
      </w:rPr>
    </w:lvl>
  </w:abstractNum>
  <w:abstractNum w:abstractNumId="3">
    <w:nsid w:val="769B6B9C"/>
    <w:multiLevelType w:val="hybridMultilevel"/>
    <w:tmpl w:val="00FAECB4"/>
    <w:lvl w:ilvl="0" w:tplc="38A22978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entative="1" w:tplc="6F3817F4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Arial" w:hAnsi="Arial" w:hint="default"/>
      </w:rPr>
    </w:lvl>
    <w:lvl w:ilvl="2" w:tentative="1" w:tplc="5D7A77A4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Arial" w:hAnsi="Arial" w:hint="default"/>
      </w:rPr>
    </w:lvl>
    <w:lvl w:ilvl="3" w:tentative="1" w:tplc="39D63C0E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Arial" w:hAnsi="Arial" w:hint="default"/>
      </w:rPr>
    </w:lvl>
    <w:lvl w:ilvl="4" w:tentative="1" w:tplc="39642CE0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Arial" w:hAnsi="Arial" w:hint="default"/>
      </w:rPr>
    </w:lvl>
    <w:lvl w:ilvl="5" w:tentative="1" w:tplc="0E7CF866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Arial" w:hAnsi="Arial" w:hint="default"/>
      </w:rPr>
    </w:lvl>
    <w:lvl w:ilvl="6" w:tentative="1" w:tplc="F1F61428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Arial" w:hAnsi="Arial" w:hint="default"/>
      </w:rPr>
    </w:lvl>
    <w:lvl w:ilvl="7" w:tentative="1" w:tplc="BD16A0D0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Arial" w:hAnsi="Arial" w:hint="default"/>
      </w:rPr>
    </w:lvl>
    <w:lvl w:ilvl="8" w:tentative="1" w:tplc="E4E82B0C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899"/>
    <w:rsid w:val="00074CC6"/>
    <w:rsid w:val="000B74E5"/>
    <w:rsid w:val="000C0C5F"/>
    <w:rsid w:val="00102966"/>
    <w:rsid w:val="00162BE7"/>
    <w:rsid w:val="0017071A"/>
    <w:rsid w:val="001719CA"/>
    <w:rsid w:val="002048C3"/>
    <w:rsid w:val="003C6ED4"/>
    <w:rsid w:val="004C1742"/>
    <w:rsid w:val="004E2900"/>
    <w:rsid w:val="00506C07"/>
    <w:rsid w:val="005D7F83"/>
    <w:rsid w:val="005F0CBC"/>
    <w:rsid w:val="00722D2F"/>
    <w:rsid w:val="00725784"/>
    <w:rsid w:val="007915BD"/>
    <w:rsid w:val="00793EEA"/>
    <w:rsid w:val="007C110F"/>
    <w:rsid w:val="00823129"/>
    <w:rsid w:val="00840433"/>
    <w:rsid w:val="00866E7E"/>
    <w:rsid w:val="00B3363E"/>
    <w:rsid w:val="00B576D3"/>
    <w:rsid w:val="00CF595B"/>
    <w:rsid w:val="00DC2F42"/>
    <w:rsid w:val="00E31047"/>
    <w:rsid w:val="00F36899"/>
    <w:rsid w:val="00F779E2"/>
    <w:rsid w:val="00FA6A7F"/>
    <w:rsid w:val="00FC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6202C1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NormalWeb" w:type="paragraph">
    <w:name w:val="Normal (Web)"/>
    <w:basedOn w:val="Normal"/>
    <w:uiPriority w:val="99"/>
    <w:semiHidden/>
    <w:unhideWhenUsed/>
    <w:rsid w:val="00F3689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customStyle="1" w:styleId="textedp02" w:type="character">
    <w:name w:val="textedp02"/>
    <w:basedOn w:val="Policepardfaut"/>
    <w:rsid w:val="00F36899"/>
  </w:style>
  <w:style w:styleId="Lienhypertexte" w:type="character">
    <w:name w:val="Hyperlink"/>
    <w:basedOn w:val="Policepardfaut"/>
    <w:uiPriority w:val="99"/>
    <w:semiHidden/>
    <w:unhideWhenUsed/>
    <w:rsid w:val="00F36899"/>
    <w:rPr>
      <w:color w:val="0000FF"/>
      <w:u w:val="single"/>
    </w:rPr>
  </w:style>
  <w:style w:customStyle="1" w:styleId="tiartf" w:type="character">
    <w:name w:val="tiartf"/>
    <w:basedOn w:val="Policepardfaut"/>
    <w:rsid w:val="00F36899"/>
  </w:style>
  <w:style w:customStyle="1" w:styleId="tiartf2" w:type="character">
    <w:name w:val="tiartf2"/>
    <w:basedOn w:val="Policepardfaut"/>
    <w:rsid w:val="00F36899"/>
  </w:style>
  <w:style w:styleId="Paragraphedeliste" w:type="paragraph">
    <w:name w:val="List Paragraph"/>
    <w:basedOn w:val="Normal"/>
    <w:uiPriority w:val="34"/>
    <w:qFormat/>
    <w:rsid w:val="00E31047"/>
    <w:pPr>
      <w:ind w:left="720"/>
      <w:contextualSpacing/>
    </w:pPr>
  </w:style>
  <w:style w:styleId="Grilledutableau" w:type="table">
    <w:name w:val="Table Grid"/>
    <w:basedOn w:val="TableauNormal"/>
    <w:uiPriority w:val="39"/>
    <w:rsid w:val="00F779E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6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extedp02">
    <w:name w:val="textedp02"/>
    <w:basedOn w:val="Policepardfaut"/>
    <w:rsid w:val="00F36899"/>
  </w:style>
  <w:style w:type="character" w:styleId="Lienhypertexte">
    <w:name w:val="Hyperlink"/>
    <w:basedOn w:val="Policepardfaut"/>
    <w:uiPriority w:val="99"/>
    <w:semiHidden/>
    <w:unhideWhenUsed/>
    <w:rsid w:val="00F36899"/>
    <w:rPr>
      <w:color w:val="0000FF"/>
      <w:u w:val="single"/>
    </w:rPr>
  </w:style>
  <w:style w:type="character" w:customStyle="1" w:styleId="tiartf">
    <w:name w:val="tiartf"/>
    <w:basedOn w:val="Policepardfaut"/>
    <w:rsid w:val="00F36899"/>
  </w:style>
  <w:style w:type="character" w:customStyle="1" w:styleId="tiartf2">
    <w:name w:val="tiartf2"/>
    <w:basedOn w:val="Policepardfaut"/>
    <w:rsid w:val="00F36899"/>
  </w:style>
  <w:style w:type="paragraph" w:styleId="Paragraphedeliste">
    <w:name w:val="List Paragraph"/>
    <w:basedOn w:val="Normal"/>
    <w:uiPriority w:val="34"/>
    <w:qFormat/>
    <w:rsid w:val="00E31047"/>
    <w:pPr>
      <w:ind w:left="720"/>
      <w:contextualSpacing/>
    </w:pPr>
  </w:style>
  <w:style w:type="table" w:styleId="Grilledutableau">
    <w:name w:val="Table Grid"/>
    <w:basedOn w:val="TableauNormal"/>
    <w:uiPriority w:val="39"/>
    <w:rsid w:val="00F7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8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5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1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0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2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4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0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91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8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53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9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22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94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77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1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634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2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1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54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5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81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12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91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12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7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2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5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3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https://www.elnet.fr/documentation/Document?id=CODE_CTRA_ARTI_D2231-7&amp;FromId=Z2M1179" TargetMode="External" Type="http://schemas.openxmlformats.org/officeDocument/2006/relationships/hyperlink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848</Words>
  <Characters>4666</Characters>
  <Application>Microsoft Office Word</Application>
  <DocSecurity>0</DocSecurity>
  <Lines>38</Lines>
  <Paragraphs>11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Ministères Chargés des Affaires Sociales</Company>
  <LinksUpToDate>false</LinksUpToDate>
  <CharactersWithSpaces>5503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2022-07-28T13:08:00Z</dcterms:created>
  <dcterms:modified xsi:type="dcterms:W3CDTF">2022-07-28T13:08:00Z</dcterms:modified>
  <cp:revision>2</cp:revision>
</cp:coreProperties>
</file>