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omTo"/>
        <w:numPr>
          <w:ilvl w:val="0"/>
          <w:numId w:val="0"/>
        </w:numPr>
        <w:rPr>
          <w:rFonts w:ascii="Vinci Sans Light" w:hAnsi="Vinci Sans Light" w:cs="Vinci Sans Light"/>
          <w:szCs w:val="22"/>
        </w:rPr>
      </w:pPr>
      <w:r>
        <w:rPr>
          <w:rFonts w:cs="Vinci Sans Light" w:ascii="Vinci Sans Light" w:hAnsi="Vinci Sans Light"/>
          <w:szCs w:val="22"/>
        </w:rPr>
      </w:r>
    </w:p>
    <w:p>
      <w:pPr>
        <w:pStyle w:val="Normal"/>
        <w:numPr>
          <w:ilvl w:val="0"/>
          <w:numId w:val="0"/>
        </w:numPr>
        <w:rPr>
          <w:rFonts w:ascii="Vinci Sans Light" w:hAnsi="Vinci Sans Light" w:cs="Vinci Sans Light"/>
          <w:szCs w:val="22"/>
        </w:rPr>
      </w:pPr>
      <w:r>
        <w:rPr>
          <w:rFonts w:cs="Vinci Sans Light" w:ascii="Vinci Sans Light" w:hAnsi="Vinci Sans Light"/>
          <w:szCs w:val="22"/>
        </w:rPr>
      </w:r>
    </w:p>
    <w:p>
      <w:pPr>
        <w:pStyle w:val="Normal"/>
        <w:pBdr>
          <w:top w:val="thickThinSmallGap" w:sz="24" w:space="1" w:color="000000"/>
          <w:left w:val="thickThinSmallGap" w:sz="24" w:space="4" w:color="000000"/>
          <w:bottom w:val="thickThinSmallGap" w:sz="24" w:space="1" w:color="000000"/>
          <w:right w:val="thickThinSmallGap" w:sz="24" w:space="4" w:color="000000"/>
        </w:pBdr>
        <w:jc w:val="center"/>
        <w:rPr>
          <w:rFonts w:ascii="Vinci Sans Light" w:hAnsi="Vinci Sans Light" w:cs="Arial"/>
          <w:b/>
          <w:b/>
          <w:sz w:val="28"/>
          <w:szCs w:val="22"/>
        </w:rPr>
      </w:pPr>
      <w:r>
        <w:rPr>
          <w:rFonts w:cs="Arial" w:ascii="Vinci Sans Light" w:hAnsi="Vinci Sans Light"/>
          <w:b/>
          <w:sz w:val="28"/>
          <w:szCs w:val="22"/>
        </w:rPr>
      </w:r>
    </w:p>
    <w:p>
      <w:pPr>
        <w:pStyle w:val="Normal"/>
        <w:pBdr>
          <w:top w:val="thickThinSmallGap" w:sz="24" w:space="1" w:color="000000"/>
          <w:left w:val="thickThinSmallGap" w:sz="24" w:space="4" w:color="000000"/>
          <w:bottom w:val="thickThinSmallGap" w:sz="24" w:space="1" w:color="000000"/>
          <w:right w:val="thickThinSmallGap" w:sz="24" w:space="4" w:color="000000"/>
        </w:pBdr>
        <w:jc w:val="center"/>
        <w:rPr>
          <w:rFonts w:ascii="Vinci Sans Light" w:hAnsi="Vinci Sans Light" w:cs="Arial"/>
          <w:b/>
          <w:b/>
          <w:sz w:val="28"/>
          <w:szCs w:val="28"/>
        </w:rPr>
      </w:pPr>
      <w:r>
        <w:rPr>
          <w:rFonts w:cs="Arial" w:ascii="Vinci Sans Light" w:hAnsi="Vinci Sans Light"/>
          <w:b/>
          <w:sz w:val="28"/>
          <w:szCs w:val="28"/>
        </w:rPr>
        <w:t xml:space="preserve">ACCORD A L’ISSUE DES </w:t>
      </w:r>
    </w:p>
    <w:p>
      <w:pPr>
        <w:pStyle w:val="Normal"/>
        <w:pBdr>
          <w:top w:val="thickThinSmallGap" w:sz="24" w:space="1" w:color="000000"/>
          <w:left w:val="thickThinSmallGap" w:sz="24" w:space="4" w:color="000000"/>
          <w:bottom w:val="thickThinSmallGap" w:sz="24" w:space="1" w:color="000000"/>
          <w:right w:val="thickThinSmallGap" w:sz="24" w:space="4" w:color="000000"/>
        </w:pBdr>
        <w:jc w:val="center"/>
        <w:rPr>
          <w:rFonts w:ascii="Vinci Sans Light" w:hAnsi="Vinci Sans Light" w:cs="Arial"/>
          <w:b/>
          <w:b/>
          <w:sz w:val="28"/>
          <w:szCs w:val="28"/>
        </w:rPr>
      </w:pPr>
      <w:r>
        <w:rPr>
          <w:rFonts w:cs="Arial" w:ascii="Vinci Sans Light" w:hAnsi="Vinci Sans Light"/>
          <w:b/>
          <w:sz w:val="28"/>
          <w:szCs w:val="28"/>
        </w:rPr>
        <w:t>NEGOCIATIONS ANNUELLES OBLIGATOIRES 2022</w:t>
      </w:r>
    </w:p>
    <w:p>
      <w:pPr>
        <w:pStyle w:val="Normal"/>
        <w:jc w:val="both"/>
        <w:rPr>
          <w:rFonts w:ascii="Vinci Sans Light" w:hAnsi="Vinci Sans Light" w:cs="Arial"/>
          <w:b/>
          <w:b/>
          <w:sz w:val="24"/>
          <w:szCs w:val="28"/>
        </w:rPr>
      </w:pPr>
      <w:r>
        <w:rPr>
          <w:rFonts w:cs="Arial" w:ascii="Vinci Sans Light" w:hAnsi="Vinci Sans Light"/>
          <w:b/>
          <w:sz w:val="24"/>
          <w:szCs w:val="28"/>
        </w:rPr>
      </w:r>
    </w:p>
    <w:p>
      <w:pPr>
        <w:pStyle w:val="TextBody"/>
        <w:jc w:val="both"/>
        <w:rPr>
          <w:rFonts w:ascii="Vinci Sans Light" w:hAnsi="Vinci Sans Light" w:cs="Arial"/>
          <w:iCs/>
          <w:sz w:val="22"/>
          <w:szCs w:val="22"/>
        </w:rPr>
      </w:pPr>
      <w:r>
        <w:rPr>
          <w:rFonts w:cs="Arial" w:ascii="Vinci Sans Light" w:hAnsi="Vinci Sans Light"/>
          <w:sz w:val="22"/>
          <w:szCs w:val="22"/>
        </w:rPr>
        <w:t>La Direction de la société SOGEA CENTRE, représentée par …, et les partenaires sociaux, représentés par … (Déléguée syndicale CFTC), présente, se sont rencontrés dans le cadre des négociations annuelles obligatoires</w:t>
      </w:r>
      <w:r>
        <w:rPr>
          <w:rFonts w:cs="Arial" w:ascii="Vinci Sans Light" w:hAnsi="Vinci Sans Light"/>
          <w:i/>
          <w:sz w:val="22"/>
          <w:szCs w:val="22"/>
        </w:rPr>
        <w:t xml:space="preserve"> </w:t>
      </w:r>
      <w:r>
        <w:rPr>
          <w:rFonts w:cs="Arial" w:ascii="Vinci Sans Light" w:hAnsi="Vinci Sans Light"/>
          <w:iCs/>
          <w:sz w:val="22"/>
          <w:szCs w:val="22"/>
        </w:rPr>
        <w:t>(NAO) telles que prévues à l’article L 2242-8 et suivants du Code du travail pour une application au 1</w:t>
      </w:r>
      <w:r>
        <w:rPr>
          <w:rFonts w:cs="Arial" w:ascii="Vinci Sans Light" w:hAnsi="Vinci Sans Light"/>
          <w:iCs/>
          <w:sz w:val="22"/>
          <w:szCs w:val="22"/>
          <w:vertAlign w:val="superscript"/>
        </w:rPr>
        <w:t>er</w:t>
      </w:r>
      <w:r>
        <w:rPr>
          <w:rFonts w:cs="Arial" w:ascii="Vinci Sans Light" w:hAnsi="Vinci Sans Light"/>
          <w:iCs/>
          <w:sz w:val="22"/>
          <w:szCs w:val="22"/>
        </w:rPr>
        <w:t xml:space="preserve"> janvier 2022.</w:t>
      </w:r>
    </w:p>
    <w:p>
      <w:pPr>
        <w:pStyle w:val="TextBody"/>
        <w:jc w:val="both"/>
        <w:rPr>
          <w:rFonts w:ascii="Vinci Sans Light" w:hAnsi="Vinci Sans Light" w:cs="Arial"/>
          <w:iCs/>
          <w:sz w:val="22"/>
          <w:szCs w:val="22"/>
        </w:rPr>
      </w:pPr>
      <w:r>
        <w:rPr>
          <w:rFonts w:cs="Arial" w:ascii="Vinci Sans Light" w:hAnsi="Vinci Sans Light"/>
          <w:iCs/>
          <w:sz w:val="22"/>
          <w:szCs w:val="22"/>
        </w:rPr>
        <w:t>Le calendrier de négociation, défini le 17 janvier 2022, a notamment porté sur les salaires. A cette occasion, un document de travail indiquant les données sociales nécessaires à la négociation a été remis aux partenaires sociaux.</w:t>
      </w:r>
    </w:p>
    <w:p>
      <w:pPr>
        <w:pStyle w:val="Paragraphedeliste"/>
        <w:ind w:left="0" w:hanging="0"/>
        <w:jc w:val="both"/>
        <w:rPr>
          <w:rFonts w:ascii="Vinci Sans Light" w:hAnsi="Vinci Sans Light" w:cs="Arial"/>
          <w:szCs w:val="22"/>
          <w:lang w:eastAsia="en-US"/>
        </w:rPr>
      </w:pPr>
      <w:r>
        <w:rPr>
          <w:rFonts w:cs="Arial" w:ascii="Vinci Sans Light" w:hAnsi="Vinci Sans Light"/>
          <w:szCs w:val="22"/>
          <w:lang w:eastAsia="en-US"/>
        </w:rPr>
        <w:t xml:space="preserve">Dans la mesure où l’entreprise est déjà couverte par un accord d’entreprise sur l’aménagement du temps de travail ainsi que par des accords de Groupe concernant l’épargne salariale et la retraite supplémentaire, les parties conviennent que ces sujets ne seront pas évoqués dans le cadre de cette négociation annuelle. </w:t>
      </w:r>
    </w:p>
    <w:p>
      <w:pPr>
        <w:pStyle w:val="Paragraphedeliste"/>
        <w:ind w:left="0" w:hanging="0"/>
        <w:jc w:val="both"/>
        <w:rPr>
          <w:rFonts w:ascii="Vinci Sans Light" w:hAnsi="Vinci Sans Light" w:cs="Arial"/>
          <w:szCs w:val="22"/>
          <w:lang w:eastAsia="en-US"/>
        </w:rPr>
      </w:pPr>
      <w:r>
        <w:rPr>
          <w:rFonts w:cs="Arial" w:ascii="Vinci Sans Light" w:hAnsi="Vinci Sans Light"/>
          <w:szCs w:val="22"/>
          <w:lang w:eastAsia="en-US"/>
        </w:rPr>
        <w:t xml:space="preserve">Concernant l’intéressement et la participation, l’entreprise est couverte par des accords spécifiques répondant à leurs propres modalités et périodicité de négociation. Dès lors, les parties conviennent que ces sujets ne seront pas non plus abordés dans le cadre de cette négociation annuelle.  </w:t>
      </w:r>
    </w:p>
    <w:p>
      <w:pPr>
        <w:pStyle w:val="TextBody"/>
        <w:jc w:val="both"/>
        <w:rPr>
          <w:rFonts w:ascii="Vinci Sans Light" w:hAnsi="Vinci Sans Light" w:cs="Arial"/>
          <w:sz w:val="24"/>
          <w:szCs w:val="24"/>
        </w:rPr>
      </w:pPr>
      <w:r>
        <w:rPr>
          <w:rFonts w:cs="Arial" w:ascii="Vinci Sans Light" w:hAnsi="Vinci Sans Light"/>
          <w:sz w:val="22"/>
          <w:szCs w:val="22"/>
        </w:rPr>
        <w:t>Les négociations se sont déroulées les 17 janvier 2022, 1</w:t>
      </w:r>
      <w:r>
        <w:rPr>
          <w:rFonts w:cs="Arial" w:ascii="Vinci Sans Light" w:hAnsi="Vinci Sans Light"/>
          <w:sz w:val="22"/>
          <w:szCs w:val="22"/>
          <w:vertAlign w:val="superscript"/>
        </w:rPr>
        <w:t>er</w:t>
      </w:r>
      <w:r>
        <w:rPr>
          <w:rFonts w:cs="Arial" w:ascii="Vinci Sans Light" w:hAnsi="Vinci Sans Light"/>
          <w:sz w:val="22"/>
          <w:szCs w:val="22"/>
        </w:rPr>
        <w:t xml:space="preserve"> février 2022.</w:t>
      </w:r>
    </w:p>
    <w:p>
      <w:pPr>
        <w:pStyle w:val="Normal"/>
        <w:jc w:val="both"/>
        <w:rPr>
          <w:rFonts w:ascii="Vinci Sans Light" w:hAnsi="Vinci Sans Light" w:cs="Arial"/>
          <w:b/>
          <w:b/>
          <w:sz w:val="28"/>
          <w:szCs w:val="22"/>
          <w:u w:val="single"/>
        </w:rPr>
      </w:pPr>
      <w:r>
        <w:rPr>
          <w:rFonts w:cs="Arial" w:ascii="Vinci Sans Light" w:hAnsi="Vinci Sans Light"/>
          <w:b/>
          <w:sz w:val="28"/>
          <w:szCs w:val="22"/>
          <w:u w:val="single"/>
        </w:rPr>
      </w:r>
    </w:p>
    <w:p>
      <w:pPr>
        <w:pStyle w:val="Normal"/>
        <w:jc w:val="both"/>
        <w:rPr>
          <w:rFonts w:ascii="Vinci Sans Light" w:hAnsi="Vinci Sans Light" w:cs="Arial"/>
          <w:b/>
          <w:b/>
          <w:sz w:val="24"/>
          <w:szCs w:val="24"/>
        </w:rPr>
      </w:pPr>
      <w:r>
        <w:rPr>
          <w:rFonts w:cs="Arial" w:ascii="Vinci Sans Light" w:hAnsi="Vinci Sans Light"/>
          <w:b/>
          <w:sz w:val="24"/>
          <w:szCs w:val="24"/>
          <w:u w:val="single"/>
        </w:rPr>
        <w:t>1 – DEMANDES FORMEES PAR L’ORGANISATION SYNDICALE CFTC</w:t>
      </w:r>
    </w:p>
    <w:p>
      <w:pPr>
        <w:pStyle w:val="Normal"/>
        <w:numPr>
          <w:ilvl w:val="0"/>
          <w:numId w:val="1"/>
        </w:numPr>
        <w:jc w:val="both"/>
        <w:rPr>
          <w:rFonts w:ascii="Vinci Sans Light" w:hAnsi="Vinci Sans Light" w:cs="Arial"/>
          <w:szCs w:val="22"/>
        </w:rPr>
      </w:pPr>
      <w:r>
        <w:rPr>
          <w:rFonts w:cs="Arial" w:ascii="Vinci Sans Light" w:hAnsi="Vinci Sans Light"/>
          <w:szCs w:val="22"/>
        </w:rPr>
        <w:t>Augmentation de la masse salariale de … %</w:t>
      </w:r>
    </w:p>
    <w:p>
      <w:pPr>
        <w:pStyle w:val="Normal"/>
        <w:ind w:left="1134" w:firstLine="230"/>
        <w:jc w:val="both"/>
        <w:rPr>
          <w:rFonts w:ascii="Vinci Sans Light" w:hAnsi="Vinci Sans Light" w:cs="Arial"/>
          <w:szCs w:val="22"/>
        </w:rPr>
      </w:pPr>
      <w:r>
        <w:rPr>
          <w:rFonts w:cs="Arial" w:ascii="Vinci Sans Light" w:hAnsi="Vinci Sans Light"/>
          <w:szCs w:val="22"/>
        </w:rPr>
        <w:t>a. … % au mérite</w:t>
      </w:r>
    </w:p>
    <w:p>
      <w:pPr>
        <w:pStyle w:val="Normal"/>
        <w:ind w:left="1364" w:hanging="0"/>
        <w:jc w:val="both"/>
        <w:rPr>
          <w:rFonts w:ascii="Vinci Sans Light" w:hAnsi="Vinci Sans Light" w:cs="Arial"/>
          <w:szCs w:val="22"/>
        </w:rPr>
      </w:pPr>
      <w:r>
        <w:rPr>
          <w:rFonts w:cs="Arial" w:ascii="Vinci Sans Light" w:hAnsi="Vinci Sans Light"/>
          <w:szCs w:val="22"/>
        </w:rPr>
        <w:t>b. … % annuel</w:t>
      </w:r>
    </w:p>
    <w:p>
      <w:pPr>
        <w:pStyle w:val="Normal"/>
        <w:numPr>
          <w:ilvl w:val="0"/>
          <w:numId w:val="1"/>
        </w:numPr>
        <w:jc w:val="both"/>
        <w:rPr>
          <w:rFonts w:ascii="Vinci Sans Light" w:hAnsi="Vinci Sans Light" w:cs="Arial"/>
          <w:szCs w:val="22"/>
        </w:rPr>
      </w:pPr>
      <w:r>
        <w:rPr>
          <w:rFonts w:cs="Arial" w:ascii="Vinci Sans Light" w:hAnsi="Vinci Sans Light"/>
          <w:szCs w:val="22"/>
        </w:rPr>
        <w:t>Augmentation des paniers ouvriers non sédentaire … €</w:t>
      </w:r>
    </w:p>
    <w:p>
      <w:pPr>
        <w:pStyle w:val="Normal"/>
        <w:numPr>
          <w:ilvl w:val="0"/>
          <w:numId w:val="1"/>
        </w:numPr>
        <w:jc w:val="both"/>
        <w:rPr>
          <w:rFonts w:ascii="Vinci Sans Light" w:hAnsi="Vinci Sans Light" w:cs="Arial"/>
          <w:szCs w:val="22"/>
        </w:rPr>
      </w:pPr>
      <w:r>
        <w:rPr>
          <w:rFonts w:cs="Arial" w:ascii="Vinci Sans Light" w:hAnsi="Vinci Sans Light"/>
          <w:szCs w:val="22"/>
        </w:rPr>
        <w:t>Augmentation des paniers ETAM/CADRE CHANTIER non sédentaire … €</w:t>
      </w:r>
    </w:p>
    <w:p>
      <w:pPr>
        <w:pStyle w:val="Normal"/>
        <w:numPr>
          <w:ilvl w:val="0"/>
          <w:numId w:val="1"/>
        </w:numPr>
        <w:jc w:val="both"/>
        <w:rPr>
          <w:rFonts w:ascii="Vinci Sans Light" w:hAnsi="Vinci Sans Light" w:cs="Arial"/>
          <w:szCs w:val="22"/>
        </w:rPr>
      </w:pPr>
      <w:r>
        <w:rPr>
          <w:rFonts w:cs="Arial" w:ascii="Vinci Sans Light" w:hAnsi="Vinci Sans Light"/>
          <w:szCs w:val="22"/>
        </w:rPr>
        <w:t>Augmentation du ticket restaurant de … € … € avec 60 % de prise en charge par l’employeur et 40 % par le salarié</w:t>
      </w:r>
    </w:p>
    <w:p>
      <w:pPr>
        <w:pStyle w:val="Normal"/>
        <w:numPr>
          <w:ilvl w:val="0"/>
          <w:numId w:val="1"/>
        </w:numPr>
        <w:jc w:val="both"/>
        <w:rPr>
          <w:rFonts w:ascii="Vinci Sans Light" w:hAnsi="Vinci Sans Light" w:cs="Arial"/>
          <w:szCs w:val="22"/>
        </w:rPr>
      </w:pPr>
      <w:r>
        <w:rPr>
          <w:rFonts w:cs="Arial" w:ascii="Vinci Sans Light" w:hAnsi="Vinci Sans Light"/>
          <w:szCs w:val="22"/>
        </w:rPr>
        <w:t>Bénéficier de la Prime macron à hauteur de … € (déjà donné pour certaine société du groupe en décembre)</w:t>
      </w:r>
    </w:p>
    <w:p>
      <w:pPr>
        <w:pStyle w:val="Normal"/>
        <w:numPr>
          <w:ilvl w:val="0"/>
          <w:numId w:val="1"/>
        </w:numPr>
        <w:jc w:val="both"/>
        <w:rPr>
          <w:rFonts w:ascii="Vinci Sans Light" w:hAnsi="Vinci Sans Light" w:cs="Arial"/>
          <w:szCs w:val="22"/>
        </w:rPr>
      </w:pPr>
      <w:r>
        <w:rPr>
          <w:rFonts w:cs="Arial" w:ascii="Vinci Sans Light" w:hAnsi="Vinci Sans Light"/>
          <w:szCs w:val="22"/>
        </w:rPr>
        <w:t>Prime de … € donné par le gouvernement</w:t>
      </w:r>
    </w:p>
    <w:p>
      <w:pPr>
        <w:pStyle w:val="Normal"/>
        <w:numPr>
          <w:ilvl w:val="0"/>
          <w:numId w:val="1"/>
        </w:numPr>
        <w:jc w:val="both"/>
        <w:rPr>
          <w:rFonts w:ascii="Vinci Sans Light" w:hAnsi="Vinci Sans Light" w:cs="Arial"/>
          <w:szCs w:val="22"/>
        </w:rPr>
      </w:pPr>
      <w:r>
        <w:rPr>
          <w:rFonts w:cs="Arial" w:ascii="Vinci Sans Light" w:hAnsi="Vinci Sans Light"/>
          <w:szCs w:val="22"/>
        </w:rPr>
        <w:t>Indemnité de … € net par mois pour les personnes effectuant du télétravail 3 fois par semaine</w:t>
      </w:r>
    </w:p>
    <w:p>
      <w:pPr>
        <w:pStyle w:val="Normal"/>
        <w:numPr>
          <w:ilvl w:val="0"/>
          <w:numId w:val="1"/>
        </w:numPr>
        <w:jc w:val="both"/>
        <w:rPr>
          <w:rFonts w:ascii="Vinci Sans Light" w:hAnsi="Vinci Sans Light" w:cs="Arial"/>
          <w:szCs w:val="22"/>
        </w:rPr>
      </w:pPr>
      <w:r>
        <w:rPr>
          <w:rFonts w:cs="Arial" w:ascii="Vinci Sans Light" w:hAnsi="Vinci Sans Light"/>
          <w:szCs w:val="22"/>
        </w:rPr>
        <w:t>Indemnité de nettoyage des vêtements à … € par mois au prorata du temps de présence pour le personnel ayant une tenue de travail</w:t>
      </w:r>
    </w:p>
    <w:p>
      <w:pPr>
        <w:pStyle w:val="Normal"/>
        <w:numPr>
          <w:ilvl w:val="0"/>
          <w:numId w:val="1"/>
        </w:numPr>
        <w:jc w:val="both"/>
        <w:rPr>
          <w:rFonts w:ascii="Vinci Sans Light" w:hAnsi="Vinci Sans Light" w:cs="Arial"/>
          <w:szCs w:val="22"/>
        </w:rPr>
      </w:pPr>
      <w:r>
        <w:rPr>
          <w:rFonts w:cs="Arial" w:ascii="Vinci Sans Light" w:hAnsi="Vinci Sans Light"/>
          <w:szCs w:val="22"/>
        </w:rPr>
        <w:t>Indemnité de petits déplacements nouvelle grille FFB</w:t>
      </w:r>
    </w:p>
    <w:p>
      <w:pPr>
        <w:pStyle w:val="Normal"/>
        <w:numPr>
          <w:ilvl w:val="0"/>
          <w:numId w:val="1"/>
        </w:numPr>
        <w:jc w:val="both"/>
        <w:rPr>
          <w:rFonts w:ascii="Vinci Sans Light" w:hAnsi="Vinci Sans Light" w:cs="Arial"/>
          <w:szCs w:val="22"/>
        </w:rPr>
      </w:pPr>
      <w:r>
        <w:rPr>
          <w:rFonts w:cs="Arial" w:ascii="Vinci Sans Light" w:hAnsi="Vinci Sans Light"/>
          <w:szCs w:val="22"/>
        </w:rPr>
        <w:t>Indemnité de grands déplacements ouvriers non sédentaires … € par jour travaillé à condition de rester sur place (hors région parisienne)</w:t>
      </w:r>
    </w:p>
    <w:p>
      <w:pPr>
        <w:pStyle w:val="Normal"/>
        <w:numPr>
          <w:ilvl w:val="0"/>
          <w:numId w:val="1"/>
        </w:numPr>
        <w:jc w:val="both"/>
        <w:rPr>
          <w:rFonts w:ascii="Vinci Sans Light" w:hAnsi="Vinci Sans Light" w:cs="Arial"/>
          <w:szCs w:val="22"/>
        </w:rPr>
      </w:pPr>
      <w:r>
        <w:rPr>
          <w:rFonts w:cs="Arial" w:ascii="Vinci Sans Light" w:hAnsi="Vinci Sans Light"/>
          <w:szCs w:val="22"/>
        </w:rPr>
        <w:t>Indemnité de retour de grands déplacements à … €</w:t>
      </w:r>
    </w:p>
    <w:p>
      <w:pPr>
        <w:pStyle w:val="Normal"/>
        <w:numPr>
          <w:ilvl w:val="0"/>
          <w:numId w:val="1"/>
        </w:numPr>
        <w:jc w:val="both"/>
        <w:rPr>
          <w:rFonts w:ascii="Vinci Sans Light" w:hAnsi="Vinci Sans Light" w:cs="Arial"/>
          <w:szCs w:val="22"/>
        </w:rPr>
      </w:pPr>
      <w:r>
        <w:rPr>
          <w:rFonts w:cs="Arial" w:ascii="Vinci Sans Light" w:hAnsi="Vinci Sans Light"/>
          <w:szCs w:val="22"/>
        </w:rPr>
        <w:t>Augmentation des IGD sur la région parisienne … €</w:t>
      </w:r>
    </w:p>
    <w:p>
      <w:pPr>
        <w:pStyle w:val="Normal"/>
        <w:numPr>
          <w:ilvl w:val="0"/>
          <w:numId w:val="1"/>
        </w:numPr>
        <w:jc w:val="both"/>
        <w:rPr>
          <w:rFonts w:ascii="Vinci Sans Light" w:hAnsi="Vinci Sans Light" w:cs="Arial"/>
          <w:szCs w:val="22"/>
        </w:rPr>
      </w:pPr>
      <w:r>
        <w:rPr>
          <w:rFonts w:cs="Arial" w:ascii="Vinci Sans Light" w:hAnsi="Vinci Sans Light"/>
          <w:szCs w:val="22"/>
        </w:rPr>
        <w:t>Revalorisation des salaires avec la nouvelle grille de la FFB 2022 (CADRE en février et ETAM/OUVRIER en juin)</w:t>
      </w:r>
    </w:p>
    <w:p>
      <w:pPr>
        <w:pStyle w:val="Normal"/>
        <w:ind w:left="1068" w:hanging="0"/>
        <w:jc w:val="both"/>
        <w:rPr>
          <w:rFonts w:ascii="Vinci Sans Light" w:hAnsi="Vinci Sans Light" w:cs="Arial"/>
          <w:szCs w:val="22"/>
        </w:rPr>
      </w:pPr>
      <w:r>
        <w:rPr>
          <w:rFonts w:cs="Arial" w:ascii="Vinci Sans Light" w:hAnsi="Vinci Sans Light"/>
          <w:szCs w:val="22"/>
        </w:rPr>
      </w:r>
    </w:p>
    <w:p>
      <w:pPr>
        <w:pStyle w:val="Normal"/>
        <w:jc w:val="both"/>
        <w:rPr>
          <w:rFonts w:ascii="Vinci Sans Light" w:hAnsi="Vinci Sans Light" w:cs="Arial"/>
          <w:szCs w:val="24"/>
        </w:rPr>
      </w:pPr>
      <w:r>
        <w:rPr>
          <w:rFonts w:cs="Arial" w:ascii="Vinci Sans Light" w:hAnsi="Vinci Sans Light"/>
          <w:szCs w:val="24"/>
        </w:rPr>
      </w:r>
    </w:p>
    <w:p>
      <w:pPr>
        <w:pStyle w:val="Normal"/>
        <w:jc w:val="both"/>
        <w:rPr>
          <w:rFonts w:ascii="Vinci Sans Light" w:hAnsi="Vinci Sans Light" w:cs="Arial"/>
          <w:b/>
          <w:b/>
          <w:sz w:val="24"/>
          <w:szCs w:val="24"/>
          <w:u w:val="single"/>
        </w:rPr>
      </w:pPr>
      <w:r>
        <w:rPr>
          <w:rFonts w:cs="Arial" w:ascii="Vinci Sans Light" w:hAnsi="Vinci Sans Light"/>
          <w:b/>
          <w:sz w:val="24"/>
          <w:szCs w:val="24"/>
          <w:u w:val="single"/>
        </w:rPr>
        <w:t>2 – PROPOSITIONS DE LA DIRECTION</w:t>
      </w:r>
    </w:p>
    <w:p>
      <w:pPr>
        <w:pStyle w:val="Normal"/>
        <w:numPr>
          <w:ilvl w:val="0"/>
          <w:numId w:val="1"/>
        </w:numPr>
        <w:jc w:val="both"/>
        <w:rPr>
          <w:rFonts w:ascii="Vinci Sans Light" w:hAnsi="Vinci Sans Light" w:cs="Arial"/>
          <w:szCs w:val="22"/>
        </w:rPr>
      </w:pPr>
      <w:r>
        <w:rPr>
          <w:rFonts w:cs="Arial" w:ascii="Vinci Sans Light" w:hAnsi="Vinci Sans Light"/>
          <w:szCs w:val="22"/>
        </w:rPr>
        <w:t>Les revalorisations salariales individuelles correspondent à une enveloppe de … % des salaires bruts de base des salariés Ouvriers, ETAM, Cadre, présents/présents au 31.12.2021.</w:t>
      </w:r>
    </w:p>
    <w:p>
      <w:pPr>
        <w:pStyle w:val="Normal"/>
        <w:numPr>
          <w:ilvl w:val="0"/>
          <w:numId w:val="1"/>
        </w:numPr>
        <w:jc w:val="both"/>
        <w:rPr>
          <w:rFonts w:ascii="Vinci Sans Light" w:hAnsi="Vinci Sans Light" w:cs="Arial"/>
          <w:szCs w:val="22"/>
        </w:rPr>
      </w:pPr>
      <w:r>
        <w:rPr>
          <w:rFonts w:cs="Arial" w:ascii="Vinci Sans Light" w:hAnsi="Vinci Sans Light"/>
          <w:szCs w:val="22"/>
        </w:rPr>
        <w:t>Application des barèmes IPD de la FFB 2022 ;</w:t>
      </w:r>
    </w:p>
    <w:p>
      <w:pPr>
        <w:pStyle w:val="Normal"/>
        <w:numPr>
          <w:ilvl w:val="0"/>
          <w:numId w:val="1"/>
        </w:numPr>
        <w:jc w:val="both"/>
        <w:rPr>
          <w:rFonts w:ascii="Vinci Sans Light" w:hAnsi="Vinci Sans Light" w:cs="Arial"/>
          <w:szCs w:val="22"/>
        </w:rPr>
      </w:pPr>
      <w:r>
        <w:rPr>
          <w:rFonts w:cs="Arial" w:ascii="Vinci Sans Light" w:hAnsi="Vinci Sans Light"/>
          <w:szCs w:val="22"/>
        </w:rPr>
        <w:t>Revalorisation des indemnités dites paniers pour les Ouvriers non sédentaires, de … € à … €.</w:t>
      </w:r>
    </w:p>
    <w:p>
      <w:pPr>
        <w:pStyle w:val="Normal"/>
        <w:numPr>
          <w:ilvl w:val="0"/>
          <w:numId w:val="1"/>
        </w:numPr>
        <w:jc w:val="both"/>
        <w:rPr>
          <w:rFonts w:ascii="Vinci Sans Light" w:hAnsi="Vinci Sans Light" w:cs="Arial"/>
          <w:szCs w:val="22"/>
        </w:rPr>
      </w:pPr>
      <w:r>
        <w:rPr>
          <w:rFonts w:cs="Arial" w:ascii="Vinci Sans Light" w:hAnsi="Vinci Sans Light"/>
          <w:szCs w:val="22"/>
        </w:rPr>
        <w:t>Maintien des indemnités dites paniers pour les ETAM, Cadres dits « Chantiers », non sédentaires, de … €.</w:t>
      </w:r>
    </w:p>
    <w:p>
      <w:pPr>
        <w:pStyle w:val="Normal"/>
        <w:numPr>
          <w:ilvl w:val="0"/>
          <w:numId w:val="1"/>
        </w:numPr>
        <w:jc w:val="both"/>
        <w:rPr>
          <w:rFonts w:ascii="Vinci Sans Light" w:hAnsi="Vinci Sans Light" w:cs="Arial"/>
          <w:szCs w:val="22"/>
        </w:rPr>
      </w:pPr>
      <w:r>
        <w:rPr>
          <w:rFonts w:cs="Arial" w:ascii="Vinci Sans Light" w:hAnsi="Vinci Sans Light"/>
          <w:szCs w:val="22"/>
        </w:rPr>
        <w:t xml:space="preserve">La valeur faciale du Titre-restaurant pour les ETAM et Cadre dits « sédentaires », est revalorisée à … €, revalorisation de la part patronale à … € (plafond URSSAF, répartition 60/40), dès lors la part salariale serait de … €. </w:t>
      </w:r>
    </w:p>
    <w:p>
      <w:pPr>
        <w:pStyle w:val="Normal"/>
        <w:numPr>
          <w:ilvl w:val="0"/>
          <w:numId w:val="1"/>
        </w:numPr>
        <w:jc w:val="both"/>
        <w:rPr>
          <w:rFonts w:ascii="Vinci Sans Light" w:hAnsi="Vinci Sans Light" w:cs="Arial"/>
          <w:szCs w:val="22"/>
        </w:rPr>
      </w:pPr>
      <w:r>
        <w:rPr>
          <w:rFonts w:cs="Arial" w:ascii="Vinci Sans Light" w:hAnsi="Vinci Sans Light"/>
          <w:szCs w:val="22"/>
        </w:rPr>
        <w:t>Maintien de l’indemnité de grand déplacement pour les Ouvriers non sédentaires </w:t>
      </w:r>
    </w:p>
    <w:p>
      <w:pPr>
        <w:pStyle w:val="Normal"/>
        <w:numPr>
          <w:ilvl w:val="0"/>
          <w:numId w:val="1"/>
        </w:numPr>
        <w:jc w:val="both"/>
        <w:rPr>
          <w:rFonts w:ascii="Vinci Sans Light" w:hAnsi="Vinci Sans Light" w:cs="Arial"/>
          <w:szCs w:val="22"/>
        </w:rPr>
      </w:pPr>
      <w:r>
        <w:rPr>
          <w:rFonts w:cs="Arial" w:ascii="Vinci Sans Light" w:hAnsi="Vinci Sans Light"/>
          <w:szCs w:val="22"/>
        </w:rPr>
        <w:t>Refus des autres propositions syndicales. Il est fait application de la règlementation du travail et des usages en vigueur.</w:t>
      </w:r>
    </w:p>
    <w:p>
      <w:pPr>
        <w:pStyle w:val="Normal"/>
        <w:ind w:left="644" w:hanging="0"/>
        <w:jc w:val="both"/>
        <w:rPr>
          <w:rFonts w:ascii="Vinci Sans Light" w:hAnsi="Vinci Sans Light" w:cs="Arial"/>
          <w:szCs w:val="22"/>
        </w:rPr>
      </w:pPr>
      <w:r>
        <w:rPr>
          <w:rFonts w:eastAsia="Vinci Sans Light" w:cs="Vinci Sans Light" w:ascii="Vinci Sans Light" w:hAnsi="Vinci Sans Light"/>
          <w:szCs w:val="22"/>
        </w:rPr>
        <w:t xml:space="preserve">                                           </w:t>
      </w:r>
    </w:p>
    <w:p>
      <w:pPr>
        <w:pStyle w:val="TextBody"/>
        <w:jc w:val="both"/>
        <w:rPr>
          <w:rFonts w:ascii="Vinci Sans Light" w:hAnsi="Vinci Sans Light" w:cs="Arial"/>
          <w:iCs/>
          <w:sz w:val="22"/>
          <w:szCs w:val="22"/>
        </w:rPr>
      </w:pPr>
      <w:r>
        <w:rPr>
          <w:rFonts w:cs="Arial" w:ascii="Vinci Sans Light" w:hAnsi="Vinci Sans Light"/>
          <w:iCs/>
          <w:sz w:val="22"/>
          <w:szCs w:val="22"/>
        </w:rPr>
        <w:t>A la suite des réunions de négociations, les parties en présence se sont accordées sur les mesures suivantes :</w:t>
      </w:r>
    </w:p>
    <w:p>
      <w:pPr>
        <w:pStyle w:val="Normal"/>
        <w:jc w:val="both"/>
        <w:rPr>
          <w:rFonts w:ascii="Vinci Sans Light" w:hAnsi="Vinci Sans Light" w:cs="Arial"/>
          <w:b/>
          <w:b/>
          <w:iCs/>
          <w:sz w:val="24"/>
          <w:szCs w:val="24"/>
          <w:u w:val="single"/>
        </w:rPr>
      </w:pPr>
      <w:r>
        <w:rPr>
          <w:rFonts w:cs="Arial" w:ascii="Vinci Sans Light" w:hAnsi="Vinci Sans Light"/>
          <w:b/>
          <w:iCs/>
          <w:sz w:val="24"/>
          <w:szCs w:val="24"/>
          <w:u w:val="single"/>
        </w:rPr>
      </w:r>
    </w:p>
    <w:p>
      <w:pPr>
        <w:pStyle w:val="Normal"/>
        <w:jc w:val="both"/>
        <w:rPr>
          <w:rFonts w:ascii="Vinci Sans Light" w:hAnsi="Vinci Sans Light" w:cs="Arial"/>
          <w:b/>
          <w:b/>
          <w:caps/>
          <w:sz w:val="24"/>
          <w:szCs w:val="24"/>
          <w:u w:val="single"/>
        </w:rPr>
      </w:pPr>
      <w:r>
        <w:rPr>
          <w:rFonts w:cs="Arial" w:ascii="Vinci Sans Light" w:hAnsi="Vinci Sans Light"/>
          <w:b/>
          <w:sz w:val="24"/>
          <w:szCs w:val="24"/>
          <w:u w:val="single"/>
        </w:rPr>
        <w:t xml:space="preserve">3 – </w:t>
      </w:r>
      <w:r>
        <w:rPr>
          <w:rFonts w:cs="Arial" w:ascii="Vinci Sans Light" w:hAnsi="Vinci Sans Light"/>
          <w:b/>
          <w:caps/>
          <w:sz w:val="24"/>
          <w:szCs w:val="24"/>
          <w:u w:val="single"/>
        </w:rPr>
        <w:t>accord DES PARTIES SUR LES MESURES SUIVANTES</w:t>
      </w:r>
    </w:p>
    <w:p>
      <w:pPr>
        <w:pStyle w:val="Normal"/>
        <w:jc w:val="both"/>
        <w:rPr>
          <w:rFonts w:ascii="Vinci Sans Light" w:hAnsi="Vinci Sans Light" w:cs="Arial"/>
          <w:b/>
          <w:b/>
          <w:caps/>
          <w:sz w:val="24"/>
          <w:szCs w:val="24"/>
          <w:u w:val="single"/>
        </w:rPr>
      </w:pPr>
      <w:r>
        <w:rPr>
          <w:rFonts w:cs="Arial" w:ascii="Vinci Sans Light" w:hAnsi="Vinci Sans Light"/>
          <w:b/>
          <w:caps/>
          <w:sz w:val="24"/>
          <w:szCs w:val="24"/>
          <w:u w:val="single"/>
        </w:rPr>
      </w:r>
    </w:p>
    <w:p>
      <w:pPr>
        <w:pStyle w:val="Normal"/>
        <w:tabs>
          <w:tab w:val="left" w:pos="1506" w:leader="none"/>
        </w:tabs>
        <w:jc w:val="both"/>
        <w:rPr>
          <w:rFonts w:ascii="Vinci Sans Light" w:hAnsi="Vinci Sans Light" w:cs="Arial"/>
          <w:szCs w:val="24"/>
        </w:rPr>
      </w:pPr>
      <w:r>
        <w:rPr>
          <w:rFonts w:cs="Arial" w:ascii="Vinci Sans Light" w:hAnsi="Vinci Sans Light"/>
          <w:szCs w:val="24"/>
        </w:rPr>
        <w:t>1-Les revalorisations salariales individuelles correspondent à une enveloppe de … % des salaires bruts de base des salariés Ouvriers, ETAM, Cadre, présents/présents au 31.12.2021</w:t>
      </w:r>
    </w:p>
    <w:p>
      <w:pPr>
        <w:pStyle w:val="Normal"/>
        <w:tabs>
          <w:tab w:val="left" w:pos="1506" w:leader="none"/>
        </w:tabs>
        <w:jc w:val="both"/>
        <w:rPr>
          <w:rFonts w:ascii="Vinci Sans Light" w:hAnsi="Vinci Sans Light" w:cs="Arial"/>
          <w:szCs w:val="24"/>
        </w:rPr>
      </w:pPr>
      <w:r>
        <w:rPr>
          <w:rFonts w:cs="Arial" w:ascii="Vinci Sans Light" w:hAnsi="Vinci Sans Light"/>
          <w:szCs w:val="24"/>
        </w:rPr>
      </w:r>
    </w:p>
    <w:p>
      <w:pPr>
        <w:pStyle w:val="Normal"/>
        <w:tabs>
          <w:tab w:val="left" w:pos="1506" w:leader="none"/>
        </w:tabs>
        <w:jc w:val="both"/>
        <w:rPr>
          <w:rFonts w:ascii="Vinci Sans Light" w:hAnsi="Vinci Sans Light" w:cs="Arial"/>
          <w:szCs w:val="24"/>
        </w:rPr>
      </w:pPr>
      <w:r>
        <w:rPr>
          <w:rFonts w:cs="Arial" w:ascii="Vinci Sans Light" w:hAnsi="Vinci Sans Light"/>
          <w:szCs w:val="24"/>
        </w:rPr>
        <w:t>2-Application des barèmes IPD de la FFB 2022 ;</w:t>
      </w:r>
    </w:p>
    <w:p>
      <w:pPr>
        <w:pStyle w:val="Normal"/>
        <w:tabs>
          <w:tab w:val="left" w:pos="1506" w:leader="none"/>
        </w:tabs>
        <w:jc w:val="both"/>
        <w:rPr>
          <w:rFonts w:ascii="Vinci Sans Light" w:hAnsi="Vinci Sans Light" w:cs="Arial"/>
          <w:szCs w:val="24"/>
        </w:rPr>
      </w:pPr>
      <w:r>
        <w:rPr>
          <w:rFonts w:cs="Arial" w:ascii="Vinci Sans Light" w:hAnsi="Vinci Sans Light"/>
          <w:szCs w:val="24"/>
        </w:rPr>
      </w:r>
    </w:p>
    <w:p>
      <w:pPr>
        <w:pStyle w:val="Normal"/>
        <w:tabs>
          <w:tab w:val="left" w:pos="1506" w:leader="none"/>
        </w:tabs>
        <w:jc w:val="both"/>
        <w:rPr>
          <w:rFonts w:ascii="Vinci Sans Light" w:hAnsi="Vinci Sans Light" w:cs="Arial"/>
          <w:szCs w:val="24"/>
        </w:rPr>
      </w:pPr>
      <w:r>
        <w:rPr>
          <w:rFonts w:cs="Arial" w:ascii="Vinci Sans Light" w:hAnsi="Vinci Sans Light"/>
          <w:szCs w:val="24"/>
        </w:rPr>
        <w:t>3-Revalorisation des indemnités dites paniers pour les Ouvriers non sédentaires, de … € à … €.</w:t>
      </w:r>
    </w:p>
    <w:p>
      <w:pPr>
        <w:pStyle w:val="Normal"/>
        <w:tabs>
          <w:tab w:val="left" w:pos="1506" w:leader="none"/>
        </w:tabs>
        <w:jc w:val="both"/>
        <w:rPr>
          <w:rFonts w:ascii="Vinci Sans Light" w:hAnsi="Vinci Sans Light" w:cs="Arial"/>
          <w:szCs w:val="24"/>
        </w:rPr>
      </w:pPr>
      <w:r>
        <w:rPr>
          <w:rFonts w:cs="Arial" w:ascii="Vinci Sans Light" w:hAnsi="Vinci Sans Light"/>
          <w:szCs w:val="24"/>
        </w:rPr>
      </w:r>
    </w:p>
    <w:p>
      <w:pPr>
        <w:pStyle w:val="Normal"/>
        <w:tabs>
          <w:tab w:val="left" w:pos="1506" w:leader="none"/>
        </w:tabs>
        <w:jc w:val="both"/>
        <w:rPr>
          <w:rFonts w:ascii="Vinci Sans Light" w:hAnsi="Vinci Sans Light" w:cs="Arial"/>
          <w:szCs w:val="24"/>
        </w:rPr>
      </w:pPr>
      <w:r>
        <w:rPr>
          <w:rFonts w:cs="Arial" w:ascii="Vinci Sans Light" w:hAnsi="Vinci Sans Light"/>
          <w:szCs w:val="24"/>
        </w:rPr>
        <w:t>4-Maintien des indemnités dites paniers pour les ETAM, Cadres dits « Chantiers », non sédentaires, de … €.</w:t>
      </w:r>
    </w:p>
    <w:p>
      <w:pPr>
        <w:pStyle w:val="Normal"/>
        <w:tabs>
          <w:tab w:val="left" w:pos="1506" w:leader="none"/>
        </w:tabs>
        <w:jc w:val="both"/>
        <w:rPr>
          <w:rFonts w:ascii="Vinci Sans Light" w:hAnsi="Vinci Sans Light" w:cs="Arial"/>
          <w:szCs w:val="24"/>
        </w:rPr>
      </w:pPr>
      <w:r>
        <w:rPr>
          <w:rFonts w:cs="Arial" w:ascii="Vinci Sans Light" w:hAnsi="Vinci Sans Light"/>
          <w:szCs w:val="24"/>
        </w:rPr>
      </w:r>
    </w:p>
    <w:p>
      <w:pPr>
        <w:pStyle w:val="Normal"/>
        <w:tabs>
          <w:tab w:val="left" w:pos="1506" w:leader="none"/>
        </w:tabs>
        <w:jc w:val="both"/>
        <w:rPr>
          <w:rFonts w:ascii="Vinci Sans Light" w:hAnsi="Vinci Sans Light" w:cs="Arial"/>
          <w:szCs w:val="24"/>
        </w:rPr>
      </w:pPr>
      <w:r>
        <w:rPr>
          <w:rFonts w:cs="Arial" w:ascii="Vinci Sans Light" w:hAnsi="Vinci Sans Light"/>
          <w:szCs w:val="24"/>
        </w:rPr>
        <w:t xml:space="preserve">5-La valeur faciale du Titre-restaurant pour les ETAM et Cadre dits « sédentaires », est revalorisée à … €, revalorisation de la part patronale à … € (plafond URSSAF, répartition 60/40), dès lors la part salariale serait de … €. </w:t>
      </w:r>
    </w:p>
    <w:p>
      <w:pPr>
        <w:pStyle w:val="Normal"/>
        <w:tabs>
          <w:tab w:val="left" w:pos="1506" w:leader="none"/>
        </w:tabs>
        <w:jc w:val="both"/>
        <w:rPr>
          <w:rFonts w:ascii="Vinci Sans Light" w:hAnsi="Vinci Sans Light" w:cs="Arial"/>
          <w:szCs w:val="24"/>
        </w:rPr>
      </w:pPr>
      <w:r>
        <w:rPr>
          <w:rFonts w:cs="Arial" w:ascii="Vinci Sans Light" w:hAnsi="Vinci Sans Light"/>
          <w:szCs w:val="24"/>
        </w:rPr>
      </w:r>
    </w:p>
    <w:p>
      <w:pPr>
        <w:pStyle w:val="Normal"/>
        <w:jc w:val="both"/>
        <w:rPr>
          <w:rFonts w:ascii="Vinci Sans Light" w:hAnsi="Vinci Sans Light" w:cs="Arial"/>
          <w:szCs w:val="24"/>
        </w:rPr>
      </w:pPr>
      <w:r>
        <w:rPr>
          <w:rFonts w:cs="Arial" w:ascii="Vinci Sans Light" w:hAnsi="Vinci Sans Light"/>
          <w:szCs w:val="24"/>
        </w:rPr>
        <w:t xml:space="preserve">6-Maintien des montants des indemnités de grand déplacement  </w:t>
      </w:r>
    </w:p>
    <w:p>
      <w:pPr>
        <w:pStyle w:val="Normal"/>
        <w:jc w:val="both"/>
        <w:rPr>
          <w:rFonts w:ascii="Vinci Sans Light" w:hAnsi="Vinci Sans Light" w:cs="Arial"/>
          <w:szCs w:val="22"/>
        </w:rPr>
      </w:pPr>
      <w:r>
        <w:rPr>
          <w:rFonts w:cs="Arial" w:ascii="Vinci Sans Light" w:hAnsi="Vinci Sans Light"/>
          <w:szCs w:val="22"/>
        </w:rPr>
      </w:r>
    </w:p>
    <w:p>
      <w:pPr>
        <w:pStyle w:val="Normal"/>
        <w:jc w:val="both"/>
        <w:rPr>
          <w:rFonts w:ascii="Vinci Sans Light" w:hAnsi="Vinci Sans Light" w:cs="Arial"/>
          <w:szCs w:val="22"/>
        </w:rPr>
      </w:pPr>
      <w:r>
        <w:rPr>
          <w:rFonts w:cs="Arial" w:ascii="Vinci Sans Light" w:hAnsi="Vinci Sans Light"/>
          <w:szCs w:val="22"/>
        </w:rPr>
      </w:r>
    </w:p>
    <w:p>
      <w:pPr>
        <w:pStyle w:val="Normal"/>
        <w:tabs>
          <w:tab w:val="left" w:pos="7992" w:leader="none"/>
        </w:tabs>
        <w:jc w:val="both"/>
        <w:rPr>
          <w:rFonts w:ascii="Vinci Sans Light" w:hAnsi="Vinci Sans Light" w:cs="Arial"/>
          <w:szCs w:val="22"/>
        </w:rPr>
      </w:pPr>
      <w:r>
        <w:rPr>
          <w:rFonts w:cs="Arial" w:ascii="Vinci Sans Light" w:hAnsi="Vinci Sans Light"/>
          <w:szCs w:val="22"/>
        </w:rPr>
      </w:r>
    </w:p>
    <w:p>
      <w:pPr>
        <w:pStyle w:val="Normal"/>
        <w:jc w:val="both"/>
        <w:rPr>
          <w:rFonts w:ascii="Vinci Sans Light" w:hAnsi="Vinci Sans Light" w:cs="Arial"/>
          <w:b/>
          <w:b/>
          <w:caps/>
          <w:sz w:val="24"/>
          <w:szCs w:val="24"/>
          <w:u w:val="single"/>
        </w:rPr>
      </w:pPr>
      <w:r>
        <w:rPr>
          <w:rFonts w:cs="Arial" w:ascii="Vinci Sans Light" w:hAnsi="Vinci Sans Light"/>
          <w:b/>
          <w:sz w:val="24"/>
          <w:szCs w:val="24"/>
          <w:u w:val="single"/>
        </w:rPr>
        <w:t xml:space="preserve">4 – </w:t>
      </w:r>
      <w:r>
        <w:rPr>
          <w:rFonts w:cs="Arial" w:ascii="Vinci Sans Light" w:hAnsi="Vinci Sans Light"/>
          <w:b/>
          <w:caps/>
          <w:sz w:val="24"/>
          <w:szCs w:val="24"/>
          <w:u w:val="single"/>
        </w:rPr>
        <w:t>Conditions de dépot et publicité de l’accord</w:t>
      </w:r>
    </w:p>
    <w:p>
      <w:pPr>
        <w:pStyle w:val="Normal"/>
        <w:jc w:val="both"/>
        <w:rPr>
          <w:rFonts w:ascii="Vinci Sans Light" w:hAnsi="Vinci Sans Light" w:cs="Arial"/>
          <w:b/>
          <w:b/>
          <w:caps/>
          <w:sz w:val="24"/>
          <w:szCs w:val="24"/>
          <w:u w:val="single"/>
        </w:rPr>
      </w:pPr>
      <w:r>
        <w:rPr>
          <w:rFonts w:cs="Arial" w:ascii="Vinci Sans Light" w:hAnsi="Vinci Sans Light"/>
          <w:b/>
          <w:caps/>
          <w:sz w:val="24"/>
          <w:szCs w:val="24"/>
          <w:u w:val="single"/>
        </w:rPr>
      </w:r>
    </w:p>
    <w:p>
      <w:pPr>
        <w:pStyle w:val="Normal"/>
        <w:spacing w:lineRule="auto" w:line="276"/>
        <w:jc w:val="both"/>
        <w:rPr>
          <w:rFonts w:ascii="Vinci Sans Light" w:hAnsi="Vinci Sans Light" w:cs="Arial"/>
          <w:szCs w:val="22"/>
        </w:rPr>
      </w:pPr>
      <w:r>
        <w:rPr>
          <w:rFonts w:cs="Arial" w:ascii="Vinci Sans Light" w:hAnsi="Vinci Sans Light"/>
          <w:szCs w:val="22"/>
        </w:rPr>
        <w:t>Le présent accord sera déposé en version sur support électronique via le site de télétransmission gouvernementale, à l’initiative de la Direction de la société.</w:t>
      </w:r>
    </w:p>
    <w:p>
      <w:pPr>
        <w:pStyle w:val="Normal"/>
        <w:spacing w:lineRule="auto" w:line="276"/>
        <w:jc w:val="both"/>
        <w:rPr>
          <w:rFonts w:ascii="Vinci Sans Light" w:hAnsi="Vinci Sans Light" w:cs="Arial"/>
          <w:szCs w:val="22"/>
        </w:rPr>
      </w:pPr>
      <w:r>
        <w:rPr>
          <w:rFonts w:cs="Arial" w:ascii="Vinci Sans Light" w:hAnsi="Vinci Sans Light"/>
          <w:szCs w:val="22"/>
        </w:rPr>
        <w:t>Un exemplaire original sera, en outre, déposé au Secrétariat-Greffe du Conseil des Prud’hommes de Orléans.</w:t>
      </w:r>
    </w:p>
    <w:p>
      <w:pPr>
        <w:pStyle w:val="Normal"/>
        <w:spacing w:lineRule="auto" w:line="276"/>
        <w:jc w:val="both"/>
        <w:rPr>
          <w:rFonts w:ascii="Vinci Sans Light" w:hAnsi="Vinci Sans Light" w:cs="Arial"/>
          <w:szCs w:val="22"/>
        </w:rPr>
      </w:pPr>
      <w:r>
        <w:rPr>
          <w:rFonts w:cs="Arial" w:ascii="Vinci Sans Light" w:hAnsi="Vinci Sans Light"/>
          <w:szCs w:val="22"/>
        </w:rPr>
        <w:t>Un exemplaire original est remis à l’ensemble des parties signataires.</w:t>
      </w:r>
    </w:p>
    <w:p>
      <w:pPr>
        <w:pStyle w:val="Normal"/>
        <w:jc w:val="both"/>
        <w:rPr>
          <w:rFonts w:ascii="Vinci Sans Light" w:hAnsi="Vinci Sans Light" w:cs="Arial"/>
          <w:sz w:val="28"/>
          <w:szCs w:val="22"/>
        </w:rPr>
      </w:pPr>
      <w:r>
        <w:rPr>
          <w:rFonts w:cs="Arial" w:ascii="Vinci Sans Light" w:hAnsi="Vinci Sans Light"/>
          <w:sz w:val="28"/>
          <w:szCs w:val="22"/>
        </w:rPr>
      </w:r>
    </w:p>
    <w:p>
      <w:pPr>
        <w:pStyle w:val="Normal"/>
        <w:jc w:val="both"/>
        <w:rPr>
          <w:rFonts w:ascii="Vinci Sans Light" w:hAnsi="Vinci Sans Light" w:cs="Arial"/>
          <w:sz w:val="28"/>
          <w:szCs w:val="22"/>
        </w:rPr>
      </w:pPr>
      <w:r>
        <w:rPr>
          <w:rFonts w:eastAsia="Vinci Sans Light" w:cs="Vinci Sans Light" w:ascii="Vinci Sans Light" w:hAnsi="Vinci Sans Light"/>
          <w:szCs w:val="22"/>
        </w:rPr>
        <w:t xml:space="preserve"> </w:t>
      </w:r>
      <w:r>
        <w:rPr>
          <w:rFonts w:cs="Arial" w:ascii="Vinci Sans Light" w:hAnsi="Vinci Sans Light"/>
          <w:szCs w:val="22"/>
        </w:rPr>
        <w:t>Fait à Saran, le 3 /02 /2022, En 3 exemplaires,</w:t>
      </w:r>
    </w:p>
    <w:p>
      <w:pPr>
        <w:pStyle w:val="Normal"/>
        <w:jc w:val="both"/>
        <w:rPr>
          <w:rFonts w:ascii="Vinci Sans Light" w:hAnsi="Vinci Sans Light" w:cs="Arial"/>
          <w:sz w:val="28"/>
          <w:szCs w:val="22"/>
        </w:rPr>
      </w:pPr>
      <w:r>
        <w:rPr>
          <w:rFonts w:cs="Arial" w:ascii="Vinci Sans Light" w:hAnsi="Vinci Sans Light"/>
          <w:sz w:val="28"/>
          <w:szCs w:val="22"/>
        </w:rPr>
      </w:r>
    </w:p>
    <w:p>
      <w:pPr>
        <w:pStyle w:val="Normal"/>
        <w:jc w:val="both"/>
        <w:rPr>
          <w:rFonts w:ascii="Vinci Sans Light" w:hAnsi="Vinci Sans Light" w:cs="Arial"/>
          <w:szCs w:val="22"/>
        </w:rPr>
      </w:pPr>
      <w:r>
        <w:rPr>
          <w:rFonts w:cs="Arial" w:ascii="Vinci Sans Light" w:hAnsi="Vinci Sans Light"/>
          <w:szCs w:val="22"/>
        </w:rPr>
        <w:t>Pour la Direction</w:t>
        <w:tab/>
        <w:tab/>
        <w:tab/>
        <w:tab/>
        <w:tab/>
        <w:tab/>
        <w:tab/>
        <w:t>Pour le Syndicat CFTC</w:t>
      </w:r>
    </w:p>
    <w:p>
      <w:pPr>
        <w:pStyle w:val="Normal"/>
        <w:jc w:val="both"/>
        <w:rPr/>
      </w:pPr>
      <w:r>
        <w:rPr>
          <w:rFonts w:cs="Arial" w:ascii="Vinci Sans Light" w:hAnsi="Vinci Sans Light"/>
          <w:szCs w:val="22"/>
        </w:rPr>
        <w:t>…</w:t>
      </w:r>
      <w:r>
        <w:rPr>
          <w:rFonts w:cs="Arial" w:ascii="Vinci Sans Light" w:hAnsi="Vinci Sans Light"/>
          <w:szCs w:val="22"/>
        </w:rPr>
        <w:tab/>
        <w:tab/>
        <w:tab/>
        <w:tab/>
        <w:tab/>
        <w:tab/>
        <w:tab/>
        <w:t xml:space="preserve">              …</w:t>
      </w:r>
    </w:p>
    <w:p>
      <w:pPr>
        <w:sectPr>
          <w:headerReference w:type="default" r:id="rId2"/>
          <w:headerReference w:type="first" r:id="rId3"/>
          <w:footerReference w:type="default" r:id="rId4"/>
          <w:footerReference w:type="first" r:id="rId5"/>
          <w:type w:val="nextPage"/>
          <w:pgSz w:w="11906" w:h="16838"/>
          <w:pgMar w:left="1247" w:right="1247" w:header="0" w:top="1702" w:footer="510" w:bottom="2268" w:gutter="0"/>
          <w:pgNumType w:fmt="decimal"/>
          <w:formProt w:val="false"/>
          <w:titlePg/>
          <w:textDirection w:val="lrTb"/>
          <w:docGrid w:type="default" w:linePitch="360" w:charSpace="0"/>
        </w:sectPr>
      </w:pPr>
    </w:p>
    <w:sectPr>
      <w:type w:val="continuous"/>
      <w:pgSz w:w="11906" w:h="16838"/>
      <w:pgMar w:left="1247" w:right="1247" w:header="0" w:top="1701"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inci Sans">
    <w:charset w:val="00"/>
    <w:family w:val="auto"/>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Vinci Sans Medium">
    <w:charset w:val="00"/>
    <w:family w:val="auto"/>
    <w:pitch w:val="variable"/>
  </w:font>
  <w:font w:name="Vinci Sans Bold">
    <w:altName w:val="Courier New"/>
    <w:charset w:val="00"/>
    <w:family w:val="auto"/>
    <w:pitch w:val="variable"/>
  </w:font>
  <w:font w:name="Arial Narrow">
    <w:charset w:val="00"/>
    <w:family w:val="swiss"/>
    <w:pitch w:val="variable"/>
  </w:font>
  <w:font w:name="Vinci Sans Light">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t xml:space="preserve">Accord NAO 2022 – SOGEA CENTRE   Page </w:t>
    </w:r>
    <w:r>
      <w:rPr>
        <w:b/>
        <w:bCs/>
      </w:rPr>
      <w:fldChar w:fldCharType="begin"/>
    </w:r>
    <w:r>
      <w:instrText> PAGE \* ARABIC </w:instrText>
    </w:r>
    <w:r>
      <w:fldChar w:fldCharType="separate"/>
    </w:r>
    <w:r>
      <w:t>0</w:t>
    </w:r>
    <w:r>
      <w:fldChar w:fldCharType="end"/>
    </w:r>
    <w:r>
      <w:rPr/>
      <w:t xml:space="preserve"> sur </w:t>
    </w:r>
    <w:r>
      <w:rPr>
        <w:b/>
        <w:bCs/>
      </w:rPr>
      <w:fldChar w:fldCharType="begin"/>
    </w:r>
    <w:r>
      <w:instrText> NUMPAGES \* ARABIC </w:instrText>
    </w:r>
    <w:r>
      <w:fldChar w:fldCharType="separate"/>
    </w:r>
    <w:r>
      <w:t>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aps/>
      </w:rPr>
    </w:pPr>
    <w:r>
      <w:rPr>
        <w:caps/>
      </w:rPr>
      <w:t>SOGEA CENTRE</w:t>
      <w:tab/>
      <w:tab/>
      <w:tab/>
      <w:tab/>
      <w:tab/>
      <w:tab/>
      <w:tab/>
      <w:tab/>
      <w:tab/>
    </w:r>
  </w:p>
  <w:p>
    <w:pPr>
      <w:pStyle w:val="Footer"/>
      <w:rPr/>
    </w:pPr>
    <w:r>
      <w:rPr>
        <w:caps/>
      </w:rPr>
      <w:t>SIEGE SOCIAL</w:t>
    </w:r>
  </w:p>
  <w:p>
    <w:pPr>
      <w:pStyle w:val="Footer"/>
      <w:rPr/>
    </w:pPr>
    <w:r>
      <w:rPr/>
      <w:t>479 RUE DES SABLES DE SARY</w:t>
    </w:r>
  </w:p>
  <w:p>
    <w:pPr>
      <w:pStyle w:val="Footer"/>
      <w:rPr/>
    </w:pPr>
    <w:r>
      <w:rPr/>
      <w:t>45770 SARAN</w:t>
    </w:r>
  </w:p>
  <w:p>
    <w:pPr>
      <w:pStyle w:val="Footer"/>
      <w:rPr/>
    </w:pPr>
    <w:r>
      <w:rPr/>
      <w:t>Tél. : 02 38 83 62 64</w:t>
    </w:r>
  </w:p>
  <w:p>
    <w:pPr>
      <w:pStyle w:val="Footer"/>
      <w:rPr/>
    </w:pPr>
    <w:r>
      <w:rPr/>
    </w:r>
  </w:p>
  <w:p>
    <w:pPr>
      <w:pStyle w:val="Mentions"/>
      <w:rPr/>
    </w:pPr>
    <w:r>
      <w:rPr/>
      <w:t>SAS AU CAPITAL DE 910 620 €</w:t>
    </w:r>
  </w:p>
  <w:p>
    <w:pPr>
      <w:pStyle w:val="Mentions"/>
      <w:rPr/>
    </w:pPr>
    <w:r>
      <w:rPr/>
      <w:t>RCS ORLEANS 501 402 457 – APE 4120B</w:t>
      <w:tab/>
      <w:tab/>
      <w:tab/>
      <w:tab/>
      <w:tab/>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935" distR="114935" simplePos="0" locked="0" layoutInCell="1" allowOverlap="1" relativeHeight="0">
          <wp:simplePos x="0" y="0"/>
          <wp:positionH relativeFrom="column">
            <wp:align>center</wp:align>
          </wp:positionH>
          <wp:positionV relativeFrom="paragraph">
            <wp:posOffset>635</wp:posOffset>
          </wp:positionV>
          <wp:extent cx="7559040" cy="868680"/>
          <wp:effectExtent l="0" t="0" r="0" b="0"/>
          <wp:wrapNone/>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1"/>
                  <a:stretch>
                    <a:fillRect/>
                  </a:stretch>
                </pic:blipFill>
                <pic:spPr bwMode="auto">
                  <a:xfrm>
                    <a:off x="0" y="0"/>
                    <a:ext cx="7559040" cy="868680"/>
                  </a:xfrm>
                  <a:prstGeom prst="rect">
                    <a:avLst/>
                  </a:prstGeom>
                </pic:spPr>
              </pic:pic>
            </a:graphicData>
          </a:graphic>
        </wp:anchor>
      </w:drawing>
    </w:r>
    <w:r>
      <mc:AlternateContent>
        <mc:Choice Requires="wps">
          <w:drawing>
            <wp:anchor behindDoc="0" distT="0" distB="0" distL="0" distR="0" simplePos="0" locked="0" layoutInCell="1" allowOverlap="1" relativeHeight="0">
              <wp:simplePos x="0" y="0"/>
              <wp:positionH relativeFrom="page">
                <wp:posOffset>720725</wp:posOffset>
              </wp:positionH>
              <wp:positionV relativeFrom="page">
                <wp:posOffset>205740</wp:posOffset>
              </wp:positionV>
              <wp:extent cx="838835" cy="20955"/>
              <wp:effectExtent l="0" t="0" r="0" b="0"/>
              <wp:wrapSquare wrapText="bothSides"/>
              <wp:docPr id="2" name="Frame2"/>
              <a:graphic xmlns:a="http://schemas.openxmlformats.org/drawingml/2006/main">
                <a:graphicData uri="http://schemas.microsoft.com/office/word/2010/wordprocessingShape">
                  <wps:wsp>
                    <wps:cNvSpPr txBox="1"/>
                    <wps:spPr>
                      <a:xfrm>
                        <a:off x="0" y="0"/>
                        <a:ext cx="838835" cy="20955"/>
                      </a:xfrm>
                      <a:prstGeom prst="rect"/>
                      <a:solidFill>
                        <a:srgbClr val="FFFFFF">
                          <a:alpha val="0"/>
                        </a:srgbClr>
                      </a:solidFill>
                    </wps:spPr>
                    <wps:txbx>
                      <w:txbxContent>
                        <w:tbl>
                          <w:tblPr>
                            <w:tblW w:w="9412" w:type="dxa"/>
                            <w:jc w:val="left"/>
                            <w:tblInd w:w="0" w:type="dxa"/>
                            <w:tblBorders/>
                            <w:tblCellMar>
                              <w:top w:w="0" w:type="dxa"/>
                              <w:left w:w="0" w:type="dxa"/>
                              <w:bottom w:w="0" w:type="dxa"/>
                              <w:right w:w="0" w:type="dxa"/>
                            </w:tblCellMar>
                          </w:tblPr>
                          <w:tblGrid>
                            <w:gridCol w:w="9412"/>
                          </w:tblGrid>
                          <w:tr>
                            <w:trPr>
                              <w:trHeight w:val="595" w:hRule="exact"/>
                              <w:cantSplit w:val="true"/>
                            </w:trPr>
                            <w:tc>
                              <w:tcPr>
                                <w:tcW w:w="9412" w:type="dxa"/>
                                <w:tcBorders/>
                                <w:shd w:fill="auto" w:val="clear"/>
                                <w:vAlign w:val="center"/>
                              </w:tcPr>
                              <w:p>
                                <w:pPr>
                                  <w:pStyle w:val="Logo"/>
                                  <w:rPr/>
                                </w:pPr>
                                <w:r>
                                  <w:rPr/>
                                  <w:drawing>
                                    <wp:inline distT="0" distB="0" distL="0" distR="0">
                                      <wp:extent cx="828675" cy="3073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828675" cy="307340"/>
                                              </a:xfrm>
                                              <a:prstGeom prst="rect">
                                                <a:avLst/>
                                              </a:prstGeom>
                                            </pic:spPr>
                                          </pic:pic>
                                        </a:graphicData>
                                      </a:graphic>
                                    </wp:inline>
                                  </w:drawing>
                                </w:r>
                              </w:p>
                            </w:tc>
                          </w:tr>
                        </w:tbl>
                      </w:txbxContent>
                    </wps:txbx>
                    <wps:bodyPr anchor="t">
                      <a:noAutofit/>
                    </wps:bodyPr>
                  </wps:wsp>
                </a:graphicData>
              </a:graphic>
            </wp:anchor>
          </w:drawing>
        </mc:Choice>
        <mc:Fallback>
          <w:pict>
            <v:rect fillcolor="#FFFFFF" style="position:absolute;rotation:0;width:66.05pt;height:1.65pt;margin-top:16.2pt;mso-position-vertical-relative:page;margin-left:56.75pt;mso-position-horizontal-relative:page">
              <v:fill opacity="0f"/>
              <v:textbox>
                <w:txbxContent>
                  <w:tbl>
                    <w:tblPr>
                      <w:tblW w:w="9412" w:type="dxa"/>
                      <w:jc w:val="left"/>
                      <w:tblInd w:w="0" w:type="dxa"/>
                      <w:tblBorders/>
                      <w:tblCellMar>
                        <w:top w:w="0" w:type="dxa"/>
                        <w:left w:w="0" w:type="dxa"/>
                        <w:bottom w:w="0" w:type="dxa"/>
                        <w:right w:w="0" w:type="dxa"/>
                      </w:tblCellMar>
                    </w:tblPr>
                    <w:tblGrid>
                      <w:gridCol w:w="9412"/>
                    </w:tblGrid>
                    <w:tr>
                      <w:trPr>
                        <w:trHeight w:val="595" w:hRule="exact"/>
                        <w:cantSplit w:val="true"/>
                      </w:trPr>
                      <w:tc>
                        <w:tcPr>
                          <w:tcW w:w="9412" w:type="dxa"/>
                          <w:tcBorders/>
                          <w:shd w:fill="auto" w:val="clear"/>
                          <w:vAlign w:val="center"/>
                        </w:tcPr>
                        <w:p>
                          <w:pPr>
                            <w:pStyle w:val="Logo"/>
                            <w:rPr/>
                          </w:pPr>
                          <w:r>
                            <w:rPr/>
                            <w:drawing>
                              <wp:inline distT="0" distB="0" distL="0" distR="0">
                                <wp:extent cx="828675" cy="307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
                                        <a:stretch>
                                          <a:fillRect/>
                                        </a:stretch>
                                      </pic:blipFill>
                                      <pic:spPr bwMode="auto">
                                        <a:xfrm>
                                          <a:off x="0" y="0"/>
                                          <a:ext cx="828675" cy="307340"/>
                                        </a:xfrm>
                                        <a:prstGeom prst="rect">
                                          <a:avLst/>
                                        </a:prstGeom>
                                      </pic:spPr>
                                    </pic:pic>
                                  </a:graphicData>
                                </a:graphic>
                              </wp:inline>
                            </w:drawing>
                          </w:r>
                        </w:p>
                      </w:tc>
                    </w:tr>
                  </w:tbl>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935" distR="114935" simplePos="0" locked="0" layoutInCell="1" allowOverlap="1" relativeHeight="4">
          <wp:simplePos x="0" y="0"/>
          <wp:positionH relativeFrom="column">
            <wp:posOffset>-807085</wp:posOffset>
          </wp:positionH>
          <wp:positionV relativeFrom="paragraph">
            <wp:posOffset>-10795</wp:posOffset>
          </wp:positionV>
          <wp:extent cx="7560310" cy="1247775"/>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rcRect l="-4" t="-29" r="-4" b="-29"/>
                  <a:stretch>
                    <a:fillRect/>
                  </a:stretch>
                </pic:blipFill>
                <pic:spPr bwMode="auto">
                  <a:xfrm>
                    <a:off x="0" y="0"/>
                    <a:ext cx="7560310" cy="1247775"/>
                  </a:xfrm>
                  <a:prstGeom prst="rect">
                    <a:avLst/>
                  </a:prstGeom>
                </pic:spPr>
              </pic:pic>
            </a:graphicData>
          </a:graphic>
        </wp:anchor>
      </w:drawing>
    </w:r>
    <w:r>
      <mc:AlternateContent>
        <mc:Choice Requires="wps">
          <w:drawing>
            <wp:anchor behindDoc="0" distT="0" distB="0" distL="0" distR="0" simplePos="0" locked="0" layoutInCell="1" allowOverlap="1" relativeHeight="2">
              <wp:simplePos x="0" y="0"/>
              <wp:positionH relativeFrom="page">
                <wp:posOffset>756920</wp:posOffset>
              </wp:positionH>
              <wp:positionV relativeFrom="page">
                <wp:posOffset>324485</wp:posOffset>
              </wp:positionV>
              <wp:extent cx="838835" cy="377825"/>
              <wp:effectExtent l="0" t="0" r="0" b="0"/>
              <wp:wrapSquare wrapText="bothSides"/>
              <wp:docPr id="6" name="Frame1"/>
              <a:graphic xmlns:a="http://schemas.openxmlformats.org/drawingml/2006/main">
                <a:graphicData uri="http://schemas.microsoft.com/office/word/2010/wordprocessingShape">
                  <wps:wsp>
                    <wps:cNvSpPr txBox="1"/>
                    <wps:spPr>
                      <a:xfrm>
                        <a:off x="0" y="0"/>
                        <a:ext cx="838835" cy="377825"/>
                      </a:xfrm>
                      <a:prstGeom prst="rect"/>
                      <a:solidFill>
                        <a:srgbClr val="FFFFFF">
                          <a:alpha val="0"/>
                        </a:srgbClr>
                      </a:solidFill>
                    </wps:spPr>
                    <wps:txbx>
                      <w:txbxContent>
                        <w:tbl>
                          <w:tblPr>
                            <w:tblW w:w="1321" w:type="dxa"/>
                            <w:jc w:val="left"/>
                            <w:tblInd w:w="0" w:type="dxa"/>
                            <w:tblBorders/>
                            <w:tblCellMar>
                              <w:top w:w="0" w:type="dxa"/>
                              <w:left w:w="0" w:type="dxa"/>
                              <w:bottom w:w="0" w:type="dxa"/>
                              <w:right w:w="0" w:type="dxa"/>
                            </w:tblCellMar>
                          </w:tblPr>
                          <w:tblGrid>
                            <w:gridCol w:w="1321"/>
                          </w:tblGrid>
                          <w:tr>
                            <w:trPr>
                              <w:trHeight w:val="595" w:hRule="exact"/>
                              <w:cantSplit w:val="true"/>
                            </w:trPr>
                            <w:tc>
                              <w:tcPr>
                                <w:tcW w:w="1321" w:type="dxa"/>
                                <w:tcBorders/>
                                <w:shd w:fill="auto" w:val="clear"/>
                                <w:vAlign w:val="center"/>
                              </w:tcPr>
                              <w:p>
                                <w:pPr>
                                  <w:pStyle w:val="Logo"/>
                                  <w:rPr/>
                                </w:pPr>
                                <w:r>
                                  <w:rPr/>
                                  <w:drawing>
                                    <wp:inline distT="0" distB="0" distL="0" distR="0">
                                      <wp:extent cx="828675" cy="3073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rcRect l="-14" t="-39" r="-14" b="-39"/>
                                              <a:stretch>
                                                <a:fillRect/>
                                              </a:stretch>
                                            </pic:blipFill>
                                            <pic:spPr bwMode="auto">
                                              <a:xfrm>
                                                <a:off x="0" y="0"/>
                                                <a:ext cx="828675" cy="307340"/>
                                              </a:xfrm>
                                              <a:prstGeom prst="rect">
                                                <a:avLst/>
                                              </a:prstGeom>
                                            </pic:spPr>
                                          </pic:pic>
                                        </a:graphicData>
                                      </a:graphic>
                                    </wp:inline>
                                  </w:drawing>
                                </w:r>
                              </w:p>
                            </w:tc>
                          </w:tr>
                        </w:tbl>
                      </w:txbxContent>
                    </wps:txbx>
                    <wps:bodyPr anchor="t">
                      <a:noAutofit/>
                    </wps:bodyPr>
                  </wps:wsp>
                </a:graphicData>
              </a:graphic>
            </wp:anchor>
          </w:drawing>
        </mc:Choice>
        <mc:Fallback>
          <w:pict>
            <v:rect fillcolor="#FFFFFF" style="position:absolute;rotation:0;width:66.05pt;height:29.75pt;margin-top:25.55pt;mso-position-vertical-relative:page;margin-left:59.6pt;mso-position-horizontal-relative:page">
              <v:fill opacity="0f"/>
              <v:textbox>
                <w:txbxContent>
                  <w:tbl>
                    <w:tblPr>
                      <w:tblW w:w="1321" w:type="dxa"/>
                      <w:jc w:val="left"/>
                      <w:tblInd w:w="0" w:type="dxa"/>
                      <w:tblBorders/>
                      <w:tblCellMar>
                        <w:top w:w="0" w:type="dxa"/>
                        <w:left w:w="0" w:type="dxa"/>
                        <w:bottom w:w="0" w:type="dxa"/>
                        <w:right w:w="0" w:type="dxa"/>
                      </w:tblCellMar>
                    </w:tblPr>
                    <w:tblGrid>
                      <w:gridCol w:w="1321"/>
                    </w:tblGrid>
                    <w:tr>
                      <w:trPr>
                        <w:trHeight w:val="595" w:hRule="exact"/>
                        <w:cantSplit w:val="true"/>
                      </w:trPr>
                      <w:tc>
                        <w:tcPr>
                          <w:tcW w:w="1321" w:type="dxa"/>
                          <w:tcBorders/>
                          <w:shd w:fill="auto" w:val="clear"/>
                          <w:vAlign w:val="center"/>
                        </w:tcPr>
                        <w:p>
                          <w:pPr>
                            <w:pStyle w:val="Logo"/>
                            <w:rPr/>
                          </w:pPr>
                          <w:r>
                            <w:rPr/>
                            <w:drawing>
                              <wp:inline distT="0" distB="0" distL="0" distR="0">
                                <wp:extent cx="828675" cy="3073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
                                        <a:srcRect l="-14" t="-39" r="-14" b="-39"/>
                                        <a:stretch>
                                          <a:fillRect/>
                                        </a:stretch>
                                      </pic:blipFill>
                                      <pic:spPr bwMode="auto">
                                        <a:xfrm>
                                          <a:off x="0" y="0"/>
                                          <a:ext cx="828675" cy="307340"/>
                                        </a:xfrm>
                                        <a:prstGeom prst="rect">
                                          <a:avLst/>
                                        </a:prstGeom>
                                      </pic:spPr>
                                    </pic:pic>
                                  </a:graphicData>
                                </a:graphic>
                              </wp:inline>
                            </w:drawing>
                          </w:r>
                        </w:p>
                      </w:tc>
                    </w:tr>
                  </w:tbl>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szCs w:val="22"/>
        <w:rFonts w:cs="Courier New"/>
      </w:rPr>
    </w:lvl>
  </w:abstractNum>
  <w:abstractNum w:abstractNumId="2">
    <w:lvl w:ilvl="0">
      <w:start w:val="1"/>
      <w:numFmt w:val="decimal"/>
      <w:lvlText w:val="%1."/>
      <w:lvlJc w:val="left"/>
      <w:pPr>
        <w:tabs>
          <w:tab w:val="num" w:pos="720"/>
        </w:tabs>
        <w:ind w:left="720" w:hanging="360"/>
      </w:pPr>
      <w:rPr>
        <w:i w:val="false"/>
        <w:iCs w:val="fals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Vinci Sans" w:hAnsi="Vinci Sans" w:eastAsia="Times New Roman" w:cs="Vinci Sans"/>
      <w:color w:val="auto"/>
      <w:sz w:val="22"/>
      <w:szCs w:val="20"/>
      <w:lang w:val="fr-FR"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b w:val="false"/>
      <w:i w:val="fals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Courier New" w:hAnsi="Courier New" w:cs="Courier New"/>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Courier New" w:hAnsi="Courier New" w:cs="Courier New"/>
      <w:szCs w:val="22"/>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i w:val="false"/>
      <w:iCs w:val="false"/>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Courier New" w:hAnsi="Courier New" w:cs="Courier New"/>
    </w:rPr>
  </w:style>
  <w:style w:type="character" w:styleId="WW8Num12z1">
    <w:name w:val="WW8Num12z1"/>
    <w:qFormat/>
    <w:rPr>
      <w:rFonts w:ascii="Symbol" w:hAnsi="Symbol" w:cs="Symbol"/>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Wingdings" w:hAnsi="Wingdings" w:cs="Wingdings"/>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Policepardfaut">
    <w:name w:val="Police par défaut"/>
    <w:qFormat/>
    <w:rPr/>
  </w:style>
  <w:style w:type="character" w:styleId="VisitedInternetLink">
    <w:name w:val="Visited Internet Link"/>
    <w:rPr>
      <w:color w:val="FF6600"/>
      <w:u w:val="single"/>
    </w:rPr>
  </w:style>
  <w:style w:type="character" w:styleId="TextedebullesCar">
    <w:name w:val="Texte de bulles Car"/>
    <w:qFormat/>
    <w:rPr>
      <w:rFonts w:ascii="Tahoma" w:hAnsi="Tahoma" w:cs="Tahoma"/>
      <w:sz w:val="16"/>
      <w:szCs w:val="16"/>
    </w:rPr>
  </w:style>
  <w:style w:type="character" w:styleId="Marquedecommentaire">
    <w:name w:val="Marque de commentaire"/>
    <w:qFormat/>
    <w:rPr>
      <w:sz w:val="16"/>
      <w:szCs w:val="16"/>
    </w:rPr>
  </w:style>
  <w:style w:type="character" w:styleId="CommentaireCar">
    <w:name w:val="Commentaire Car"/>
    <w:qFormat/>
    <w:rPr>
      <w:rFonts w:ascii="Vinci Sans" w:hAnsi="Vinci Sans" w:cs="Vinci Sans"/>
    </w:rPr>
  </w:style>
  <w:style w:type="character" w:styleId="ObjetducommentaireCar">
    <w:name w:val="Objet du commentaire Car"/>
    <w:qFormat/>
    <w:rPr>
      <w:rFonts w:ascii="Vinci Sans" w:hAnsi="Vinci Sans" w:cs="Vinci Sans"/>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overflowPunct w:val="false"/>
      <w:autoSpaceDE w:val="false"/>
      <w:spacing w:before="130" w:after="130"/>
      <w:textAlignment w:val="baseline"/>
    </w:pPr>
    <w:rPr>
      <w:rFonts w:ascii="Times New Roman" w:hAnsi="Times New Roman" w:cs="Times New Roman"/>
      <w:sz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d">
    <w:name w:val="End"/>
    <w:basedOn w:val="Normal"/>
    <w:qFormat/>
    <w:pPr/>
    <w:rPr>
      <w:sz w:val="2"/>
    </w:rPr>
  </w:style>
  <w:style w:type="paragraph" w:styleId="Contents3">
    <w:name w:val="TOC 3"/>
    <w:basedOn w:val="Normal"/>
    <w:next w:val="Normal"/>
    <w:pPr>
      <w:tabs>
        <w:tab w:val="right" w:pos="9062" w:leader="dot"/>
      </w:tabs>
      <w:spacing w:lineRule="auto" w:line="360" w:before="120" w:after="0"/>
      <w:ind w:left="403" w:firstLine="397"/>
      <w:jc w:val="both"/>
    </w:pPr>
    <w:rPr/>
  </w:style>
  <w:style w:type="paragraph" w:styleId="Contents2">
    <w:name w:val="TOC 2"/>
    <w:basedOn w:val="Normal"/>
    <w:next w:val="Normal"/>
    <w:pPr>
      <w:tabs>
        <w:tab w:val="right" w:pos="9062" w:leader="dot"/>
      </w:tabs>
      <w:spacing w:lineRule="auto" w:line="360" w:before="180" w:after="0"/>
      <w:ind w:left="198" w:firstLine="397"/>
      <w:jc w:val="both"/>
    </w:pPr>
    <w:rPr>
      <w:sz w:val="22"/>
      <w:szCs w:val="22"/>
    </w:rPr>
  </w:style>
  <w:style w:type="paragraph" w:styleId="Header">
    <w:name w:val="Header"/>
    <w:basedOn w:val="Normal"/>
    <w:pPr>
      <w:tabs>
        <w:tab w:val="center" w:pos="4536" w:leader="none"/>
        <w:tab w:val="right" w:pos="9072" w:leader="none"/>
      </w:tabs>
      <w:spacing w:before="0" w:after="0"/>
    </w:pPr>
    <w:rPr/>
  </w:style>
  <w:style w:type="paragraph" w:styleId="Footer">
    <w:name w:val="Footer"/>
    <w:basedOn w:val="Normal"/>
    <w:pPr>
      <w:spacing w:lineRule="exact" w:line="200"/>
    </w:pPr>
    <w:rPr>
      <w:rFonts w:ascii="Vinci Sans Medium" w:hAnsi="Vinci Sans Medium" w:cs="Vinci Sans Medium"/>
      <w:sz w:val="15"/>
    </w:rPr>
  </w:style>
  <w:style w:type="paragraph" w:styleId="DocTitle">
    <w:name w:val="DocTitle"/>
    <w:basedOn w:val="Normal"/>
    <w:qFormat/>
    <w:pPr>
      <w:spacing w:before="0" w:after="0"/>
    </w:pPr>
    <w:rPr>
      <w:rFonts w:ascii="Vinci Sans Medium" w:hAnsi="Vinci Sans Medium" w:cs="Vinci Sans Medium"/>
      <w:sz w:val="30"/>
    </w:rPr>
  </w:style>
  <w:style w:type="paragraph" w:styleId="FromTo">
    <w:name w:val="FromTo"/>
    <w:basedOn w:val="Normal"/>
    <w:qFormat/>
    <w:pPr>
      <w:spacing w:before="0" w:after="0"/>
    </w:pPr>
    <w:rPr>
      <w:rFonts w:ascii="Vinci Sans Medium" w:hAnsi="Vinci Sans Medium" w:cs="Vinci Sans Medium"/>
    </w:rPr>
  </w:style>
  <w:style w:type="paragraph" w:styleId="Service">
    <w:name w:val="Service"/>
    <w:basedOn w:val="Normal"/>
    <w:qFormat/>
    <w:pPr>
      <w:tabs>
        <w:tab w:val="left" w:pos="2820" w:leader="none"/>
      </w:tabs>
    </w:pPr>
    <w:rPr>
      <w:rFonts w:ascii="Vinci Sans Bold;Courier New" w:hAnsi="Vinci Sans Bold;Courier New" w:cs="Vinci Sans Bold;Courier New"/>
      <w:color w:val="1B326C"/>
    </w:rPr>
  </w:style>
  <w:style w:type="paragraph" w:styleId="FromToAns">
    <w:name w:val="FromTo Ans"/>
    <w:basedOn w:val="FromTo"/>
    <w:qFormat/>
    <w:pPr/>
    <w:rPr>
      <w:rFonts w:ascii="Vinci Sans" w:hAnsi="Vinci Sans" w:cs="Vinci Sans"/>
    </w:rPr>
  </w:style>
  <w:style w:type="paragraph" w:styleId="Puce">
    <w:name w:val="Puce"/>
    <w:basedOn w:val="Normal"/>
    <w:qFormat/>
    <w:pPr>
      <w:spacing w:before="0" w:after="0"/>
      <w:jc w:val="center"/>
    </w:pPr>
    <w:rPr>
      <w:sz w:val="10"/>
    </w:rPr>
  </w:style>
  <w:style w:type="paragraph" w:styleId="Mentions">
    <w:name w:val="Mentions"/>
    <w:basedOn w:val="Footer"/>
    <w:qFormat/>
    <w:pPr>
      <w:spacing w:lineRule="exact" w:line="160"/>
    </w:pPr>
    <w:rPr>
      <w:sz w:val="12"/>
      <w:szCs w:val="12"/>
    </w:rPr>
  </w:style>
  <w:style w:type="paragraph" w:styleId="Logo">
    <w:name w:val="Logo"/>
    <w:qFormat/>
    <w:pPr>
      <w:widowControl/>
      <w:ind w:left="6" w:hanging="0"/>
    </w:pPr>
    <w:rPr>
      <w:rFonts w:ascii="Vinci Sans" w:hAnsi="Vinci Sans" w:eastAsia="Times New Roman" w:cs="Vinci Sans"/>
      <w:color w:val="FFFFFF"/>
      <w:sz w:val="22"/>
      <w:szCs w:val="20"/>
      <w:lang w:val="fr-FR" w:eastAsia="en-GB" w:bidi="ar-SA"/>
    </w:rPr>
  </w:style>
  <w:style w:type="paragraph" w:styleId="1PARAG">
    <w:name w:val="1. PARAG"/>
    <w:basedOn w:val="Normal"/>
    <w:qFormat/>
    <w:pPr>
      <w:widowControl w:val="false"/>
      <w:numPr>
        <w:ilvl w:val="0"/>
        <w:numId w:val="2"/>
      </w:numPr>
      <w:tabs>
        <w:tab w:val="left" w:pos="-1440" w:leader="none"/>
        <w:tab w:val="left" w:pos="426" w:leader="none"/>
      </w:tabs>
      <w:suppressAutoHyphens w:val="true"/>
      <w:jc w:val="both"/>
    </w:pPr>
    <w:rPr>
      <w:rFonts w:ascii="Times New Roman" w:hAnsi="Times New Roman" w:cs="Times New Roman"/>
      <w:spacing w:val="-2"/>
      <w:sz w:val="24"/>
      <w:szCs w:val="24"/>
    </w:rPr>
  </w:style>
  <w:style w:type="paragraph" w:styleId="Default">
    <w:name w:val="Default"/>
    <w:qFormat/>
    <w:pPr>
      <w:widowControl/>
      <w:autoSpaceDE w:val="false"/>
    </w:pPr>
    <w:rPr>
      <w:rFonts w:ascii="Arial Narrow" w:hAnsi="Arial Narrow" w:eastAsia="Times New Roman" w:cs="Arial Narrow"/>
      <w:color w:val="000000"/>
      <w:sz w:val="24"/>
      <w:szCs w:val="24"/>
      <w:lang w:val="fr-FR" w:bidi="ar-SA" w:eastAsia="zh-CN"/>
    </w:rPr>
  </w:style>
  <w:style w:type="paragraph" w:styleId="Paragraphedeliste">
    <w:name w:val="Paragraphe de liste"/>
    <w:basedOn w:val="Normal"/>
    <w:qFormat/>
    <w:pPr>
      <w:ind w:left="708" w:hanging="0"/>
    </w:pPr>
    <w:rPr/>
  </w:style>
  <w:style w:type="paragraph" w:styleId="Textedebulles">
    <w:name w:val="Texte de bulles"/>
    <w:basedOn w:val="Normal"/>
    <w:qFormat/>
    <w:pPr/>
    <w:rPr>
      <w:rFonts w:ascii="Tahoma" w:hAnsi="Tahoma" w:cs="Tahoma"/>
      <w:sz w:val="16"/>
      <w:szCs w:val="16"/>
    </w:rPr>
  </w:style>
  <w:style w:type="paragraph" w:styleId="Commentaire">
    <w:name w:val="Commentaire"/>
    <w:basedOn w:val="Normal"/>
    <w:qFormat/>
    <w:pPr/>
    <w:rPr>
      <w:sz w:val="20"/>
    </w:rPr>
  </w:style>
  <w:style w:type="paragraph" w:styleId="Objetducommentaire">
    <w:name w:val="Objet du commentaire"/>
    <w:basedOn w:val="Commentaire"/>
    <w:next w:val="Commentaire"/>
    <w:qFormat/>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Sogea_Centre_Entete</Template>
  <TotalTime>13</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2022-02-04T10:07:00Z</dcterms:created>
  <dc:creator/>
  <dc:description/>
  <dc:language>en-GB</dc:language>
  <cp:lastModifiedBy/>
  <cp:lastPrinted>2021-01-13T17:38:00Z</cp:lastPrinted>
  <dcterms:modified xsi:type="dcterms:W3CDTF">2022-02-04T15:44:00Z</dcterms:modified>
  <cp:revision>8</cp:revision>
  <dc:subject/>
  <dc:title>Télécopie / Fax</dc:title>
</cp:coreProperties>
</file>