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C87B46" w:rsidR="00341A85" w:rsidRDefault="00C87B46">
      <w:pPr>
        <w:tabs>
          <w:tab w:pos="2486" w:val="left"/>
        </w:tabs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NEGOCIATIONS ANNUELLES OBLIGATOIRES</w:t>
      </w:r>
      <w:r w:rsidR="00C76860">
        <w:rPr>
          <w:b/>
          <w:sz w:val="28"/>
          <w:u w:val="single"/>
        </w:rPr>
        <w:t xml:space="preserve"> ANTICIPEES AU TITRE DE L’ANNEE 2023</w:t>
      </w:r>
    </w:p>
    <w:p w:rsidP="00C87B46" w:rsidR="00C87B46" w:rsidRDefault="00C76860" w:rsidRPr="00C87B46">
      <w:pPr>
        <w:tabs>
          <w:tab w:pos="2486" w:val="left"/>
        </w:tabs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PROTOCOLE D’ACCORD</w:t>
      </w:r>
    </w:p>
    <w:p w:rsidP="00C87B46" w:rsidR="00C87B46" w:rsidRDefault="00C87B46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La Direction, représent</w:t>
      </w:r>
      <w:r w:rsidR="00096DA0">
        <w:rPr>
          <w:rFonts w:ascii="Arial" w:cs="Arial" w:hAnsi="Arial"/>
        </w:rPr>
        <w:t>ée</w:t>
      </w:r>
      <w:r>
        <w:rPr>
          <w:rFonts w:ascii="Arial" w:cs="Arial" w:hAnsi="Arial"/>
        </w:rPr>
        <w:t xml:space="preserve"> par </w:t>
      </w:r>
      <w:r w:rsidR="006757D8">
        <w:rPr>
          <w:rFonts w:ascii="Arial" w:cs="Arial" w:hAnsi="Arial"/>
        </w:rPr>
        <w:t xml:space="preserve">Monsieur xxxxxxxxx </w:t>
      </w:r>
      <w:r>
        <w:rPr>
          <w:rFonts w:ascii="Arial" w:cs="Arial" w:hAnsi="Arial"/>
        </w:rPr>
        <w:t>(</w:t>
      </w:r>
      <w:r w:rsidR="00A410A9">
        <w:rPr>
          <w:rFonts w:ascii="Arial" w:cs="Arial" w:hAnsi="Arial"/>
        </w:rPr>
        <w:t>Directeur Général</w:t>
      </w:r>
      <w:r w:rsidR="006757D8">
        <w:rPr>
          <w:rFonts w:ascii="Arial" w:cs="Arial" w:hAnsi="Arial"/>
        </w:rPr>
        <w:t xml:space="preserve">) et Madame xxxxxxxx </w:t>
      </w:r>
      <w:r>
        <w:rPr>
          <w:rFonts w:ascii="Arial" w:cs="Arial" w:hAnsi="Arial"/>
        </w:rPr>
        <w:t>(</w:t>
      </w:r>
      <w:r w:rsidR="00E6594F">
        <w:rPr>
          <w:rFonts w:ascii="Arial" w:cs="Arial" w:hAnsi="Arial"/>
        </w:rPr>
        <w:t>Directrice des</w:t>
      </w:r>
      <w:r>
        <w:rPr>
          <w:rFonts w:ascii="Arial" w:cs="Arial" w:hAnsi="Arial"/>
        </w:rPr>
        <w:t xml:space="preserve"> Ressources Humaines) a convié les Organisations Syndicales présentes dans l’entreprise à la table des Négociations Annuelles Obligatoires.</w:t>
      </w:r>
    </w:p>
    <w:p w:rsidP="00C87B46" w:rsidR="00E16747" w:rsidRDefault="006757D8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Madame xxxxxxxxxx</w:t>
      </w:r>
      <w:r w:rsidR="00C87B46">
        <w:rPr>
          <w:rFonts w:ascii="Arial" w:cs="Arial" w:hAnsi="Arial"/>
        </w:rPr>
        <w:t xml:space="preserve"> était présente pour la CGT, accompagnée </w:t>
      </w:r>
      <w:r w:rsidR="0001179A">
        <w:rPr>
          <w:rFonts w:ascii="Arial" w:cs="Arial" w:hAnsi="Arial"/>
        </w:rPr>
        <w:t>de</w:t>
      </w:r>
      <w:r w:rsidR="00C87B46"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Madame xxxxxxxxxx</w:t>
      </w:r>
      <w:r w:rsidR="00C87B46">
        <w:rPr>
          <w:rFonts w:ascii="Arial" w:cs="Arial" w:hAnsi="Arial"/>
        </w:rPr>
        <w:t>.</w:t>
      </w:r>
    </w:p>
    <w:p w:rsidP="00C87B46" w:rsidR="00E16747" w:rsidRDefault="00E16747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M</w:t>
      </w:r>
      <w:r w:rsidR="006757D8">
        <w:rPr>
          <w:rFonts w:ascii="Arial" w:cs="Arial" w:hAnsi="Arial"/>
        </w:rPr>
        <w:t xml:space="preserve">onsieur xxxxxxxxx </w:t>
      </w:r>
      <w:r w:rsidR="00C76860">
        <w:rPr>
          <w:rFonts w:ascii="Arial" w:cs="Arial" w:hAnsi="Arial"/>
        </w:rPr>
        <w:t>était présent</w:t>
      </w:r>
      <w:r w:rsidR="002E099C">
        <w:rPr>
          <w:rFonts w:ascii="Arial" w:cs="Arial" w:hAnsi="Arial"/>
        </w:rPr>
        <w:t xml:space="preserve"> pour FO</w:t>
      </w:r>
      <w:r w:rsidR="00C76860">
        <w:rPr>
          <w:rFonts w:ascii="Arial" w:cs="Arial" w:hAnsi="Arial"/>
        </w:rPr>
        <w:t>, accompa</w:t>
      </w:r>
      <w:r w:rsidR="006757D8">
        <w:rPr>
          <w:rFonts w:ascii="Arial" w:cs="Arial" w:hAnsi="Arial"/>
        </w:rPr>
        <w:t>gné de Monsieur xxxxxxxxxx</w:t>
      </w:r>
      <w:r w:rsidR="00C76860">
        <w:rPr>
          <w:rFonts w:ascii="Arial" w:cs="Arial" w:hAnsi="Arial"/>
        </w:rPr>
        <w:t>.</w:t>
      </w:r>
    </w:p>
    <w:p w:rsidP="00C87B46" w:rsidR="00C87B46" w:rsidRDefault="00C87B46" w:rsidRPr="00C87B46">
      <w:pPr>
        <w:jc w:val="center"/>
        <w:rPr>
          <w:rFonts w:ascii="Arial" w:cs="Arial" w:hAnsi="Arial"/>
          <w:b/>
          <w:u w:val="single"/>
        </w:rPr>
      </w:pPr>
      <w:r w:rsidRPr="00C87B46">
        <w:rPr>
          <w:rFonts w:ascii="Arial" w:cs="Arial" w:hAnsi="Arial"/>
          <w:b/>
          <w:u w:val="single"/>
        </w:rPr>
        <w:t>Préambule</w:t>
      </w:r>
    </w:p>
    <w:p w:rsidP="00C87B46" w:rsidR="00620B23" w:rsidRDefault="00C76860">
      <w:pPr>
        <w:spacing w:after="0"/>
        <w:jc w:val="both"/>
        <w:rPr>
          <w:rFonts w:ascii="Arial" w:cs="Arial" w:hAnsi="Arial"/>
        </w:rPr>
      </w:pPr>
      <w:r>
        <w:rPr>
          <w:rFonts w:ascii="Arial" w:cs="Arial" w:hAnsi="Arial"/>
        </w:rPr>
        <w:t>Conformément à l’engagement pris conjointement par la Direction de la Société DERET LOGISTIQUE et les Organisations syndicales représentatives</w:t>
      </w:r>
      <w:r w:rsidR="00B43A14">
        <w:rPr>
          <w:rFonts w:ascii="Arial" w:cs="Arial" w:hAnsi="Arial"/>
        </w:rPr>
        <w:t xml:space="preserve"> contenu</w:t>
      </w:r>
      <w:r>
        <w:rPr>
          <w:rFonts w:ascii="Arial" w:cs="Arial" w:hAnsi="Arial"/>
        </w:rPr>
        <w:t xml:space="preserve"> dans le protocole</w:t>
      </w:r>
      <w:r w:rsidR="00833567">
        <w:rPr>
          <w:rFonts w:ascii="Arial" w:cs="Arial" w:hAnsi="Arial"/>
        </w:rPr>
        <w:t xml:space="preserve"> de fin de conflit intervenu le 18</w:t>
      </w:r>
      <w:r>
        <w:rPr>
          <w:rFonts w:ascii="Arial" w:cs="Arial" w:hAnsi="Arial"/>
        </w:rPr>
        <w:t>/10/2022, les parties précitées se sont réuni</w:t>
      </w:r>
      <w:r w:rsidR="00B43A14">
        <w:rPr>
          <w:rFonts w:ascii="Arial" w:cs="Arial" w:hAnsi="Arial"/>
        </w:rPr>
        <w:t>e</w:t>
      </w:r>
      <w:r>
        <w:rPr>
          <w:rFonts w:ascii="Arial" w:cs="Arial" w:hAnsi="Arial"/>
        </w:rPr>
        <w:t xml:space="preserve">s pour définir la mesure d’anticipation sur les salaires </w:t>
      </w:r>
      <w:r w:rsidR="00B43A14">
        <w:rPr>
          <w:rFonts w:ascii="Arial" w:cs="Arial" w:hAnsi="Arial"/>
        </w:rPr>
        <w:t>pouvant être prise.</w:t>
      </w:r>
    </w:p>
    <w:p w:rsidP="00B43A14" w:rsidR="00C76860" w:rsidRDefault="00C76860" w:rsidRPr="00B43A14">
      <w:pPr>
        <w:spacing w:after="0"/>
        <w:jc w:val="both"/>
        <w:rPr>
          <w:rFonts w:ascii="Arial" w:cs="Arial" w:hAnsi="Arial"/>
          <w:sz w:val="20"/>
        </w:rPr>
      </w:pPr>
    </w:p>
    <w:p w:rsidP="00B43A14" w:rsidR="00C76860" w:rsidRDefault="00C76860" w:rsidRPr="00A15140">
      <w:pPr>
        <w:spacing w:after="100" w:afterAutospacing="1" w:line="240" w:lineRule="auto"/>
        <w:jc w:val="both"/>
        <w:rPr>
          <w:rFonts w:ascii="Arial" w:cs="Arial" w:eastAsia="Times New Roman" w:hAnsi="Arial"/>
          <w:szCs w:val="24"/>
          <w:lang w:eastAsia="fr-FR"/>
        </w:rPr>
      </w:pPr>
      <w:r w:rsidRPr="00A15140">
        <w:rPr>
          <w:rFonts w:ascii="Arial" w:cs="Arial" w:eastAsia="Times New Roman" w:hAnsi="Arial"/>
          <w:szCs w:val="24"/>
          <w:lang w:eastAsia="fr-FR"/>
        </w:rPr>
        <w:t>Eu égard à cette situation exceptionnelle ne modifiant pas le calendrier habituel de négociation, la présente négociation a porté uniquement sur des mesures d’anticipation sur la négociation sur les salaires, à venir en 2023.</w:t>
      </w:r>
    </w:p>
    <w:p w:rsidP="00B43A14" w:rsidR="00C76860" w:rsidRDefault="00C76860">
      <w:pPr>
        <w:spacing w:after="100" w:afterAutospacing="1" w:line="240" w:lineRule="auto"/>
        <w:jc w:val="both"/>
        <w:rPr>
          <w:rFonts w:ascii="Arial" w:cs="Arial" w:eastAsia="Times New Roman" w:hAnsi="Arial"/>
          <w:szCs w:val="24"/>
          <w:lang w:eastAsia="fr-FR"/>
        </w:rPr>
      </w:pPr>
      <w:r w:rsidRPr="00A15140">
        <w:rPr>
          <w:rFonts w:ascii="Arial" w:cs="Arial" w:eastAsia="Times New Roman" w:hAnsi="Arial"/>
          <w:szCs w:val="24"/>
          <w:lang w:eastAsia="fr-FR"/>
        </w:rPr>
        <w:t xml:space="preserve">La Direction, a échangé avec les organisations syndicales et répondu aux différentes questions et demandes, à l’occasion de réunions de négociation qui se sont tenues les </w:t>
      </w:r>
      <w:r w:rsidR="00833567">
        <w:rPr>
          <w:rFonts w:ascii="Arial" w:cs="Arial" w:eastAsia="Times New Roman" w:hAnsi="Arial"/>
          <w:szCs w:val="24"/>
          <w:lang w:eastAsia="fr-FR"/>
        </w:rPr>
        <w:t>17 et 18</w:t>
      </w:r>
      <w:r w:rsidR="00B43A14">
        <w:rPr>
          <w:rFonts w:ascii="Arial" w:cs="Arial" w:eastAsia="Times New Roman" w:hAnsi="Arial"/>
          <w:szCs w:val="24"/>
          <w:lang w:eastAsia="fr-FR"/>
        </w:rPr>
        <w:t xml:space="preserve"> octobre</w:t>
      </w:r>
      <w:r w:rsidRPr="00A15140">
        <w:rPr>
          <w:rFonts w:ascii="Arial" w:cs="Arial" w:eastAsia="Times New Roman" w:hAnsi="Arial"/>
          <w:szCs w:val="24"/>
          <w:lang w:eastAsia="fr-FR"/>
        </w:rPr>
        <w:t xml:space="preserve"> 2022.</w:t>
      </w:r>
    </w:p>
    <w:p w:rsidP="00B43A14" w:rsidR="00A66FAE" w:rsidRDefault="00B43A14" w:rsidRPr="00A15140">
      <w:pPr>
        <w:spacing w:after="100" w:afterAutospacing="1" w:line="240" w:lineRule="auto"/>
        <w:jc w:val="center"/>
        <w:rPr>
          <w:rFonts w:ascii="Arial" w:cs="Arial" w:eastAsia="Times New Roman" w:hAnsi="Arial"/>
          <w:color w:val="212529"/>
          <w:lang w:eastAsia="fr-FR"/>
        </w:rPr>
      </w:pPr>
      <w:r w:rsidRPr="00B43A14">
        <w:rPr>
          <w:rFonts w:ascii="Arial" w:cs="Arial" w:eastAsia="Times New Roman" w:hAnsi="Arial"/>
          <w:b/>
          <w:bCs/>
          <w:color w:val="212529"/>
          <w:lang w:eastAsia="fr-FR"/>
        </w:rPr>
        <w:t>Ceci expose il a été convenu ce qui suit</w:t>
      </w:r>
    </w:p>
    <w:p w:rsidP="00B43A14" w:rsidR="00B43A14" w:rsidRDefault="00B43A14">
      <w:pPr>
        <w:spacing w:after="100" w:afterAutospacing="1" w:line="240" w:lineRule="auto"/>
        <w:jc w:val="both"/>
        <w:rPr>
          <w:rFonts w:ascii="Arial" w:cs="Arial" w:eastAsia="Times New Roman" w:hAnsi="Arial"/>
          <w:b/>
          <w:bCs/>
          <w:color w:val="212529"/>
          <w:lang w:eastAsia="fr-FR"/>
        </w:rPr>
      </w:pPr>
      <w:r w:rsidRPr="00B43A14">
        <w:rPr>
          <w:rFonts w:ascii="Arial" w:cs="Arial" w:eastAsia="Times New Roman" w:hAnsi="Arial"/>
          <w:b/>
          <w:bCs/>
          <w:color w:val="212529"/>
          <w:lang w:eastAsia="fr-FR"/>
        </w:rPr>
        <w:t>ARTICLE I – SALAIRES EFFECTIFS</w:t>
      </w:r>
    </w:p>
    <w:p w:rsidP="00B43A14" w:rsidR="00A66FAE" w:rsidRDefault="00A66FAE" w:rsidRPr="00A15140">
      <w:p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</w:p>
    <w:p w:rsidP="00B43A14" w:rsidR="00A66FAE" w:rsidRDefault="00B43A14">
      <w:p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 w:rsidRPr="00A15140">
        <w:rPr>
          <w:rFonts w:ascii="Arial" w:cs="Arial" w:eastAsia="Times New Roman" w:hAnsi="Arial"/>
          <w:color w:val="212529"/>
          <w:lang w:eastAsia="fr-FR"/>
        </w:rPr>
        <w:t xml:space="preserve">Les parties conviennent que la négociation annuelle sur les salaires effectifs ainsi que sur l’ensemble des thèmes prévus à l’article L 2342-15 du code du travail, débutera à </w:t>
      </w:r>
      <w:r w:rsidR="0048741D">
        <w:rPr>
          <w:rFonts w:ascii="Arial" w:cs="Arial" w:eastAsia="Times New Roman" w:hAnsi="Arial"/>
          <w:color w:val="212529"/>
          <w:lang w:eastAsia="fr-FR"/>
        </w:rPr>
        <w:t>échéance habituelle en 2023.</w:t>
      </w:r>
    </w:p>
    <w:p w:rsidP="00B43A14" w:rsidR="00A66FAE" w:rsidRDefault="00A66FAE">
      <w:p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</w:p>
    <w:p w:rsidP="00B43A14" w:rsidR="00A66FAE" w:rsidRDefault="00A66FAE">
      <w:p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</w:p>
    <w:p w:rsidP="00B43A14" w:rsidR="00A66FAE" w:rsidRDefault="00A66FAE">
      <w:p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</w:p>
    <w:p w:rsidP="00B43A14" w:rsidR="00B43A14" w:rsidRDefault="00B43A14">
      <w:p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 w:rsidRPr="00A15140">
        <w:rPr>
          <w:rFonts w:ascii="Arial" w:cs="Arial" w:eastAsia="Times New Roman" w:hAnsi="Arial"/>
          <w:color w:val="212529"/>
          <w:lang w:eastAsia="fr-FR"/>
        </w:rPr>
        <w:lastRenderedPageBreak/>
        <w:t xml:space="preserve">Toutefois, il a été convenu d’appliquer </w:t>
      </w:r>
      <w:r w:rsidRPr="00833567">
        <w:rPr>
          <w:rFonts w:ascii="Arial" w:cs="Arial" w:eastAsia="Times New Roman" w:hAnsi="Arial"/>
          <w:b/>
          <w:color w:val="212529"/>
          <w:lang w:eastAsia="fr-FR"/>
        </w:rPr>
        <w:t>à compter du </w:t>
      </w:r>
      <w:r w:rsidR="0048741D" w:rsidRPr="00833567">
        <w:rPr>
          <w:rFonts w:ascii="Arial" w:cs="Arial" w:eastAsia="Times New Roman" w:hAnsi="Arial"/>
          <w:b/>
          <w:color w:val="212529"/>
          <w:lang w:eastAsia="fr-FR"/>
        </w:rPr>
        <w:t>1</w:t>
      </w:r>
      <w:r w:rsidR="0048741D" w:rsidRPr="00833567">
        <w:rPr>
          <w:rFonts w:ascii="Arial" w:cs="Arial" w:eastAsia="Times New Roman" w:hAnsi="Arial"/>
          <w:b/>
          <w:color w:val="212529"/>
          <w:vertAlign w:val="superscript"/>
          <w:lang w:eastAsia="fr-FR"/>
        </w:rPr>
        <w:t>er</w:t>
      </w:r>
      <w:r w:rsidR="0048741D" w:rsidRPr="00833567">
        <w:rPr>
          <w:rFonts w:ascii="Arial" w:cs="Arial" w:eastAsia="Times New Roman" w:hAnsi="Arial"/>
          <w:b/>
          <w:color w:val="212529"/>
          <w:lang w:eastAsia="fr-FR"/>
        </w:rPr>
        <w:t xml:space="preserve"> novembre</w:t>
      </w:r>
      <w:r w:rsidRPr="00833567">
        <w:rPr>
          <w:rFonts w:ascii="Arial" w:cs="Arial" w:eastAsia="Times New Roman" w:hAnsi="Arial"/>
          <w:b/>
          <w:color w:val="212529"/>
          <w:lang w:eastAsia="fr-FR"/>
        </w:rPr>
        <w:t xml:space="preserve"> 2022</w:t>
      </w:r>
      <w:r w:rsidRPr="00A15140">
        <w:rPr>
          <w:rFonts w:ascii="Arial" w:cs="Arial" w:eastAsia="Times New Roman" w:hAnsi="Arial"/>
          <w:color w:val="212529"/>
          <w:lang w:eastAsia="fr-FR"/>
        </w:rPr>
        <w:t> par anticipation les dispositions ci-après :</w:t>
      </w:r>
    </w:p>
    <w:p w:rsidP="000A079C" w:rsidR="00B43A14" w:rsidRDefault="00833567" w:rsidRPr="00833567">
      <w:pPr>
        <w:pStyle w:val="Paragraphedeliste"/>
        <w:numPr>
          <w:ilvl w:val="0"/>
          <w:numId w:val="22"/>
        </w:num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 w:rsidRPr="00833567">
        <w:rPr>
          <w:rFonts w:ascii="Arial" w:cs="Arial" w:eastAsia="Times New Roman" w:hAnsi="Arial"/>
          <w:b/>
          <w:color w:val="212529"/>
          <w:lang w:eastAsia="fr-FR"/>
        </w:rPr>
        <w:t>Revalorisation du salaire de base</w:t>
      </w:r>
      <w:r>
        <w:rPr>
          <w:rFonts w:ascii="Arial" w:cs="Arial" w:eastAsia="Times New Roman" w:hAnsi="Arial"/>
          <w:b/>
          <w:color w:val="212529"/>
          <w:lang w:eastAsia="fr-FR"/>
        </w:rPr>
        <w:t xml:space="preserve"> p</w:t>
      </w:r>
      <w:r w:rsidRPr="00833567">
        <w:rPr>
          <w:rFonts w:ascii="Arial" w:cs="Arial" w:eastAsia="Times New Roman" w:hAnsi="Arial"/>
          <w:b/>
          <w:bCs/>
          <w:color w:val="212529"/>
          <w:lang w:eastAsia="fr-FR"/>
        </w:rPr>
        <w:t xml:space="preserve">our les catégories Ouvriers, </w:t>
      </w:r>
      <w:r>
        <w:rPr>
          <w:rFonts w:ascii="Arial" w:cs="Arial" w:eastAsia="Times New Roman" w:hAnsi="Arial"/>
          <w:b/>
          <w:bCs/>
          <w:color w:val="212529"/>
          <w:lang w:eastAsia="fr-FR"/>
        </w:rPr>
        <w:t>E</w:t>
      </w:r>
      <w:r w:rsidR="00B43A14" w:rsidRPr="00833567">
        <w:rPr>
          <w:rFonts w:ascii="Arial" w:cs="Arial" w:eastAsia="Times New Roman" w:hAnsi="Arial"/>
          <w:b/>
          <w:bCs/>
          <w:color w:val="212529"/>
          <w:lang w:eastAsia="fr-FR"/>
        </w:rPr>
        <w:t>mployés</w:t>
      </w:r>
      <w:r w:rsidRPr="00833567">
        <w:rPr>
          <w:rFonts w:ascii="Arial" w:cs="Arial" w:eastAsia="Times New Roman" w:hAnsi="Arial"/>
          <w:b/>
          <w:bCs/>
          <w:color w:val="212529"/>
          <w:lang w:eastAsia="fr-FR"/>
        </w:rPr>
        <w:t xml:space="preserve"> et Techniciens Agents de maîtrise (Article 36 et Article 4bis)</w:t>
      </w:r>
      <w:r w:rsidR="00B43A14" w:rsidRPr="00833567">
        <w:rPr>
          <w:rFonts w:ascii="Arial" w:cs="Arial" w:eastAsia="Times New Roman" w:hAnsi="Arial"/>
          <w:b/>
          <w:bCs/>
          <w:color w:val="212529"/>
          <w:lang w:eastAsia="fr-FR"/>
        </w:rPr>
        <w:t> :</w:t>
      </w:r>
    </w:p>
    <w:p w:rsidP="00B43A14" w:rsidR="00A66FAE" w:rsidRDefault="00B43A14">
      <w:p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 w:rsidRPr="00A15140">
        <w:rPr>
          <w:rFonts w:ascii="Arial" w:cs="Arial" w:eastAsia="Times New Roman" w:hAnsi="Arial"/>
          <w:color w:val="212529"/>
          <w:lang w:eastAsia="fr-FR"/>
        </w:rPr>
        <w:t>Considérant le taux d’inflation</w:t>
      </w:r>
      <w:r w:rsidR="0048741D">
        <w:rPr>
          <w:rFonts w:ascii="Arial" w:cs="Arial" w:eastAsia="Times New Roman" w:hAnsi="Arial"/>
          <w:color w:val="212529"/>
          <w:lang w:eastAsia="fr-FR"/>
        </w:rPr>
        <w:t>,</w:t>
      </w:r>
      <w:r w:rsidR="00833567">
        <w:rPr>
          <w:rFonts w:ascii="Arial" w:cs="Arial" w:eastAsia="Times New Roman" w:hAnsi="Arial"/>
          <w:color w:val="212529"/>
          <w:lang w:eastAsia="fr-FR"/>
        </w:rPr>
        <w:t xml:space="preserve"> les augmentations du SMIC opérées aux</w:t>
      </w:r>
      <w:r w:rsidRPr="00A15140">
        <w:rPr>
          <w:rFonts w:ascii="Arial" w:cs="Arial" w:eastAsia="Times New Roman" w:hAnsi="Arial"/>
          <w:color w:val="212529"/>
          <w:lang w:eastAsia="fr-FR"/>
        </w:rPr>
        <w:t xml:space="preserve"> mois de mai et août 2022</w:t>
      </w:r>
      <w:r w:rsidR="0048741D">
        <w:rPr>
          <w:rFonts w:ascii="Arial" w:cs="Arial" w:eastAsia="Times New Roman" w:hAnsi="Arial"/>
          <w:color w:val="212529"/>
          <w:lang w:eastAsia="fr-FR"/>
        </w:rPr>
        <w:t xml:space="preserve"> et les revalorisations salariales </w:t>
      </w:r>
      <w:r w:rsidR="00833567">
        <w:rPr>
          <w:rFonts w:ascii="Arial" w:cs="Arial" w:eastAsia="Times New Roman" w:hAnsi="Arial"/>
          <w:color w:val="212529"/>
          <w:lang w:eastAsia="fr-FR"/>
        </w:rPr>
        <w:t>appliquées au sein de la Société DERET LOGISTIQUE</w:t>
      </w:r>
      <w:r w:rsidR="0048741D">
        <w:rPr>
          <w:rFonts w:ascii="Arial" w:cs="Arial" w:eastAsia="Times New Roman" w:hAnsi="Arial"/>
          <w:color w:val="212529"/>
          <w:lang w:eastAsia="fr-FR"/>
        </w:rPr>
        <w:t xml:space="preserve"> en juillet et août 2022</w:t>
      </w:r>
      <w:r w:rsidR="00A66FAE">
        <w:rPr>
          <w:rFonts w:ascii="Arial" w:cs="Arial" w:eastAsia="Times New Roman" w:hAnsi="Arial"/>
          <w:color w:val="212529"/>
          <w:lang w:eastAsia="fr-FR"/>
        </w:rPr>
        <w:t>,</w:t>
      </w:r>
    </w:p>
    <w:p w:rsidP="00B43A14" w:rsidR="00B43A14" w:rsidRDefault="00A66FAE" w:rsidRPr="00A15140">
      <w:p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>
        <w:rPr>
          <w:rFonts w:ascii="Arial" w:cs="Arial" w:eastAsia="Times New Roman" w:hAnsi="Arial"/>
          <w:color w:val="212529"/>
          <w:lang w:eastAsia="fr-FR"/>
        </w:rPr>
        <w:t>Il</w:t>
      </w:r>
      <w:r w:rsidR="00B43A14" w:rsidRPr="00B43A14">
        <w:rPr>
          <w:rFonts w:ascii="Arial" w:cs="Arial" w:eastAsia="Times New Roman" w:hAnsi="Arial"/>
          <w:color w:val="212529"/>
          <w:lang w:eastAsia="fr-FR"/>
        </w:rPr>
        <w:t xml:space="preserve"> a été convenu, </w:t>
      </w:r>
      <w:r w:rsidR="00B43A14" w:rsidRPr="00A66FAE">
        <w:rPr>
          <w:rFonts w:ascii="Arial" w:cs="Arial" w:eastAsia="Times New Roman" w:hAnsi="Arial"/>
          <w:b/>
          <w:color w:val="212529"/>
          <w:lang w:eastAsia="fr-FR"/>
        </w:rPr>
        <w:t xml:space="preserve">à compter du 1er </w:t>
      </w:r>
      <w:r w:rsidR="00833567" w:rsidRPr="00A66FAE">
        <w:rPr>
          <w:rFonts w:ascii="Arial" w:cs="Arial" w:eastAsia="Times New Roman" w:hAnsi="Arial"/>
          <w:b/>
          <w:color w:val="212529"/>
          <w:lang w:eastAsia="fr-FR"/>
        </w:rPr>
        <w:t>novem</w:t>
      </w:r>
      <w:r w:rsidR="00B43A14" w:rsidRPr="00A66FAE">
        <w:rPr>
          <w:rFonts w:ascii="Arial" w:cs="Arial" w:eastAsia="Times New Roman" w:hAnsi="Arial"/>
          <w:b/>
          <w:color w:val="212529"/>
          <w:lang w:eastAsia="fr-FR"/>
        </w:rPr>
        <w:t>bre 2022</w:t>
      </w:r>
      <w:r w:rsidR="00833567">
        <w:rPr>
          <w:rFonts w:ascii="Arial" w:cs="Arial" w:eastAsia="Times New Roman" w:hAnsi="Arial"/>
          <w:color w:val="212529"/>
          <w:lang w:eastAsia="fr-FR"/>
        </w:rPr>
        <w:t>, u</w:t>
      </w:r>
      <w:r w:rsidR="00B43A14" w:rsidRPr="00A15140">
        <w:rPr>
          <w:rFonts w:ascii="Arial" w:cs="Arial" w:eastAsia="Times New Roman" w:hAnsi="Arial"/>
          <w:color w:val="212529"/>
          <w:lang w:eastAsia="fr-FR"/>
        </w:rPr>
        <w:t xml:space="preserve">ne </w:t>
      </w:r>
      <w:r w:rsidR="00B43A14" w:rsidRPr="00A66FAE">
        <w:rPr>
          <w:rFonts w:ascii="Arial" w:cs="Arial" w:eastAsia="Times New Roman" w:hAnsi="Arial"/>
          <w:b/>
          <w:color w:val="212529"/>
          <w:lang w:eastAsia="fr-FR"/>
        </w:rPr>
        <w:t xml:space="preserve">augmentation </w:t>
      </w:r>
      <w:r w:rsidR="00833567" w:rsidRPr="00A66FAE">
        <w:rPr>
          <w:rFonts w:ascii="Arial" w:cs="Arial" w:eastAsia="Times New Roman" w:hAnsi="Arial"/>
          <w:b/>
          <w:color w:val="212529"/>
          <w:lang w:eastAsia="fr-FR"/>
        </w:rPr>
        <w:t>des salaires de base</w:t>
      </w:r>
      <w:r w:rsidR="00833567">
        <w:rPr>
          <w:rFonts w:ascii="Arial" w:cs="Arial" w:eastAsia="Times New Roman" w:hAnsi="Arial"/>
          <w:color w:val="212529"/>
          <w:lang w:eastAsia="fr-FR"/>
        </w:rPr>
        <w:t xml:space="preserve"> des salariés des Catégories susvisées à hauteur de </w:t>
      </w:r>
      <w:r w:rsidR="00833567" w:rsidRPr="00A66FAE">
        <w:rPr>
          <w:rFonts w:ascii="Arial" w:cs="Arial" w:eastAsia="Times New Roman" w:hAnsi="Arial"/>
          <w:b/>
          <w:color w:val="212529"/>
          <w:lang w:eastAsia="fr-FR"/>
        </w:rPr>
        <w:t>35€ brut</w:t>
      </w:r>
      <w:r w:rsidR="008B7286">
        <w:rPr>
          <w:rFonts w:ascii="Arial" w:cs="Arial" w:eastAsia="Times New Roman" w:hAnsi="Arial"/>
          <w:b/>
          <w:color w:val="212529"/>
          <w:lang w:eastAsia="fr-FR"/>
        </w:rPr>
        <w:t xml:space="preserve"> </w:t>
      </w:r>
      <w:r w:rsidR="008B7286" w:rsidRPr="008B7286">
        <w:rPr>
          <w:rFonts w:ascii="Arial" w:cs="Arial" w:eastAsia="Times New Roman" w:hAnsi="Arial"/>
          <w:color w:val="212529"/>
          <w:lang w:eastAsia="fr-FR"/>
        </w:rPr>
        <w:t>sans condition d’ancienneté</w:t>
      </w:r>
      <w:r w:rsidR="00833567" w:rsidRPr="008B7286">
        <w:rPr>
          <w:rFonts w:ascii="Arial" w:cs="Arial" w:eastAsia="Times New Roman" w:hAnsi="Arial"/>
          <w:color w:val="212529"/>
          <w:lang w:eastAsia="fr-FR"/>
        </w:rPr>
        <w:t>.</w:t>
      </w:r>
      <w:r w:rsidR="00833567">
        <w:rPr>
          <w:rFonts w:ascii="Arial" w:cs="Arial" w:eastAsia="Times New Roman" w:hAnsi="Arial"/>
          <w:color w:val="212529"/>
          <w:lang w:eastAsia="fr-FR"/>
        </w:rPr>
        <w:t xml:space="preserve"> </w:t>
      </w:r>
    </w:p>
    <w:p w:rsidP="00833567" w:rsidR="00B43A14" w:rsidRDefault="00833567" w:rsidRPr="00C866BC">
      <w:pPr>
        <w:pStyle w:val="Paragraphedeliste"/>
        <w:numPr>
          <w:ilvl w:val="0"/>
          <w:numId w:val="22"/>
        </w:numPr>
        <w:spacing w:after="100" w:afterAutospacing="1" w:line="240" w:lineRule="auto"/>
        <w:jc w:val="both"/>
        <w:rPr>
          <w:rFonts w:ascii="Arial" w:cs="Arial" w:eastAsia="Times New Roman" w:hAnsi="Arial"/>
          <w:b/>
          <w:color w:val="212529"/>
          <w:lang w:eastAsia="fr-FR"/>
        </w:rPr>
      </w:pPr>
      <w:r w:rsidRPr="00C866BC">
        <w:rPr>
          <w:rFonts w:ascii="Arial" w:cs="Arial" w:eastAsia="Times New Roman" w:hAnsi="Arial"/>
          <w:b/>
          <w:color w:val="212529"/>
          <w:lang w:eastAsia="fr-FR"/>
        </w:rPr>
        <w:t>Revalorisation de la prime d’ancienneté pour l’ensemble des catégories socio-professionnelles (Ouvriers, Employés, TAM, Cadres) :</w:t>
      </w:r>
    </w:p>
    <w:p w:rsidP="00C866BC" w:rsidR="00C866BC" w:rsidRDefault="00C866BC" w:rsidRPr="00C866BC">
      <w:p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 w:rsidRPr="00C866BC">
        <w:rPr>
          <w:rFonts w:ascii="Arial" w:cs="Arial" w:eastAsia="Times New Roman" w:hAnsi="Arial"/>
          <w:color w:val="212529"/>
          <w:lang w:eastAsia="fr-FR"/>
        </w:rPr>
        <w:t xml:space="preserve">Pour rappel, la prime d’ancienneté </w:t>
      </w:r>
      <w:r w:rsidR="00A66FAE">
        <w:rPr>
          <w:rFonts w:ascii="Arial" w:cs="Arial" w:eastAsia="Times New Roman" w:hAnsi="Arial"/>
          <w:color w:val="212529"/>
          <w:lang w:eastAsia="fr-FR"/>
        </w:rPr>
        <w:t>est</w:t>
      </w:r>
      <w:r w:rsidRPr="00C866BC">
        <w:rPr>
          <w:rFonts w:ascii="Arial" w:cs="Arial" w:eastAsia="Times New Roman" w:hAnsi="Arial"/>
          <w:color w:val="212529"/>
          <w:lang w:eastAsia="fr-FR"/>
        </w:rPr>
        <w:t xml:space="preserve"> fixée de la manière suivante :</w:t>
      </w:r>
    </w:p>
    <w:p w:rsidP="00C866BC" w:rsidR="00C866BC" w:rsidRDefault="00C866BC" w:rsidRPr="00C866BC">
      <w:pPr>
        <w:pStyle w:val="Paragraphedeliste"/>
        <w:numPr>
          <w:ilvl w:val="0"/>
          <w:numId w:val="24"/>
        </w:numPr>
        <w:spacing w:after="0" w:line="240" w:lineRule="auto"/>
        <w:ind w:left="709"/>
        <w:jc w:val="both"/>
        <w:rPr>
          <w:rFonts w:ascii="Arial" w:cs="Arial" w:eastAsia="Times New Roman" w:hAnsi="Arial"/>
          <w:color w:val="212529"/>
          <w:lang w:eastAsia="fr-FR"/>
        </w:rPr>
      </w:pPr>
      <w:r w:rsidRPr="00C866BC">
        <w:rPr>
          <w:rFonts w:ascii="Arial" w:cs="Arial" w:eastAsia="Times New Roman" w:hAnsi="Arial"/>
          <w:color w:val="212529"/>
          <w:lang w:eastAsia="fr-FR"/>
        </w:rPr>
        <w:t>Ancienneté ≥ 1 an - &lt; 5 ans :</w:t>
      </w:r>
      <w:r w:rsidRPr="00C866BC">
        <w:rPr>
          <w:rFonts w:ascii="Arial" w:cs="Arial" w:eastAsia="Times New Roman" w:hAnsi="Arial"/>
          <w:color w:val="212529"/>
          <w:lang w:eastAsia="fr-FR"/>
        </w:rPr>
        <w:tab/>
      </w:r>
      <w:r w:rsidRPr="00C866BC">
        <w:rPr>
          <w:rFonts w:ascii="Arial" w:cs="Arial" w:eastAsia="Times New Roman" w:hAnsi="Arial"/>
          <w:color w:val="212529"/>
          <w:lang w:eastAsia="fr-FR"/>
        </w:rPr>
        <w:tab/>
        <w:t>26.50€ brut par mois</w:t>
      </w:r>
    </w:p>
    <w:p w:rsidP="00C866BC" w:rsidR="00C866BC" w:rsidRDefault="00C866BC" w:rsidRPr="00C866BC">
      <w:pPr>
        <w:pStyle w:val="Paragraphedeliste"/>
        <w:numPr>
          <w:ilvl w:val="0"/>
          <w:numId w:val="24"/>
        </w:numPr>
        <w:spacing w:after="0" w:line="240" w:lineRule="auto"/>
        <w:ind w:left="709"/>
        <w:jc w:val="both"/>
        <w:rPr>
          <w:rFonts w:ascii="Arial" w:cs="Arial" w:eastAsia="Times New Roman" w:hAnsi="Arial"/>
          <w:color w:val="212529"/>
          <w:lang w:eastAsia="fr-FR"/>
        </w:rPr>
      </w:pPr>
      <w:r w:rsidRPr="00C866BC">
        <w:rPr>
          <w:rFonts w:ascii="Arial" w:cs="Arial" w:eastAsia="Times New Roman" w:hAnsi="Arial"/>
          <w:color w:val="212529"/>
          <w:lang w:eastAsia="fr-FR"/>
        </w:rPr>
        <w:t>Ancienneté ≥ 5 ans - &lt; 10 ans :</w:t>
      </w:r>
      <w:r w:rsidRPr="00C866BC">
        <w:rPr>
          <w:rFonts w:ascii="Arial" w:cs="Arial" w:eastAsia="Times New Roman" w:hAnsi="Arial"/>
          <w:color w:val="212529"/>
          <w:lang w:eastAsia="fr-FR"/>
        </w:rPr>
        <w:tab/>
        <w:t>31€ brut par mois</w:t>
      </w:r>
    </w:p>
    <w:p w:rsidP="00C866BC" w:rsidR="00C866BC" w:rsidRDefault="00C866BC" w:rsidRPr="00C866BC">
      <w:pPr>
        <w:pStyle w:val="Paragraphedeliste"/>
        <w:numPr>
          <w:ilvl w:val="0"/>
          <w:numId w:val="24"/>
        </w:numPr>
        <w:spacing w:after="0" w:line="240" w:lineRule="auto"/>
        <w:ind w:left="709"/>
        <w:jc w:val="both"/>
        <w:rPr>
          <w:rFonts w:ascii="Arial" w:cs="Arial" w:eastAsia="Times New Roman" w:hAnsi="Arial"/>
          <w:color w:val="212529"/>
          <w:lang w:eastAsia="fr-FR"/>
        </w:rPr>
      </w:pPr>
      <w:r w:rsidRPr="00C866BC">
        <w:rPr>
          <w:rFonts w:ascii="Arial" w:cs="Arial" w:eastAsia="Times New Roman" w:hAnsi="Arial"/>
          <w:color w:val="212529"/>
          <w:lang w:eastAsia="fr-FR"/>
        </w:rPr>
        <w:t>Ancienneté ≥ 10 ans - &lt; 15 ans :</w:t>
      </w:r>
      <w:r w:rsidRPr="00C866BC">
        <w:rPr>
          <w:rFonts w:ascii="Arial" w:cs="Arial" w:eastAsia="Times New Roman" w:hAnsi="Arial"/>
          <w:color w:val="212529"/>
          <w:lang w:eastAsia="fr-FR"/>
        </w:rPr>
        <w:tab/>
        <w:t>44€ brut par mois</w:t>
      </w:r>
    </w:p>
    <w:p w:rsidP="00C866BC" w:rsidR="00C866BC" w:rsidRDefault="00C866BC" w:rsidRPr="00C866BC">
      <w:pPr>
        <w:pStyle w:val="Paragraphedeliste"/>
        <w:numPr>
          <w:ilvl w:val="0"/>
          <w:numId w:val="24"/>
        </w:numPr>
        <w:spacing w:after="0" w:line="240" w:lineRule="auto"/>
        <w:ind w:left="709"/>
        <w:jc w:val="both"/>
        <w:rPr>
          <w:rFonts w:ascii="Arial" w:cs="Arial" w:eastAsia="Times New Roman" w:hAnsi="Arial"/>
          <w:color w:val="212529"/>
          <w:lang w:eastAsia="fr-FR"/>
        </w:rPr>
      </w:pPr>
      <w:r w:rsidRPr="00C866BC">
        <w:rPr>
          <w:rFonts w:ascii="Arial" w:cs="Arial" w:eastAsia="Times New Roman" w:hAnsi="Arial"/>
          <w:color w:val="212529"/>
          <w:lang w:eastAsia="fr-FR"/>
        </w:rPr>
        <w:t>Ancienneté ≥ 15 ans - &lt; 20 ans :</w:t>
      </w:r>
      <w:r w:rsidRPr="00C866BC">
        <w:rPr>
          <w:rFonts w:ascii="Arial" w:cs="Arial" w:eastAsia="Times New Roman" w:hAnsi="Arial"/>
          <w:color w:val="212529"/>
          <w:lang w:eastAsia="fr-FR"/>
        </w:rPr>
        <w:tab/>
        <w:t>51€ brut par mois</w:t>
      </w:r>
    </w:p>
    <w:p w:rsidP="00C866BC" w:rsidR="00C866BC" w:rsidRDefault="00C866BC" w:rsidRPr="00C866BC">
      <w:pPr>
        <w:pStyle w:val="Paragraphedeliste"/>
        <w:numPr>
          <w:ilvl w:val="0"/>
          <w:numId w:val="24"/>
        </w:numPr>
        <w:spacing w:after="0" w:line="240" w:lineRule="auto"/>
        <w:ind w:left="709"/>
        <w:jc w:val="both"/>
        <w:rPr>
          <w:rFonts w:ascii="Arial" w:cs="Arial" w:eastAsia="Times New Roman" w:hAnsi="Arial"/>
          <w:color w:val="212529"/>
          <w:sz w:val="20"/>
          <w:lang w:eastAsia="fr-FR"/>
        </w:rPr>
      </w:pPr>
      <w:r w:rsidRPr="00C866BC">
        <w:rPr>
          <w:rFonts w:ascii="Arial" w:cs="Arial" w:eastAsia="Times New Roman" w:hAnsi="Arial"/>
          <w:color w:val="212529"/>
          <w:lang w:eastAsia="fr-FR"/>
        </w:rPr>
        <w:t>Ancienneté ≥ 20 ans :</w:t>
      </w:r>
      <w:r w:rsidRPr="00C866BC">
        <w:rPr>
          <w:rFonts w:ascii="Arial" w:cs="Arial" w:eastAsia="Times New Roman" w:hAnsi="Arial"/>
          <w:color w:val="212529"/>
          <w:lang w:eastAsia="fr-FR"/>
        </w:rPr>
        <w:tab/>
      </w:r>
      <w:r w:rsidRPr="00C866BC">
        <w:rPr>
          <w:rFonts w:ascii="Arial" w:cs="Arial" w:eastAsia="Times New Roman" w:hAnsi="Arial"/>
          <w:color w:val="212529"/>
          <w:lang w:eastAsia="fr-FR"/>
        </w:rPr>
        <w:tab/>
        <w:t>58€ brut par mois</w:t>
      </w:r>
    </w:p>
    <w:p w:rsidP="00C866BC" w:rsidR="00C866BC" w:rsidRDefault="00C866BC" w:rsidRPr="00C866BC">
      <w:pPr>
        <w:pStyle w:val="Paragraphedeliste"/>
        <w:spacing w:after="0" w:line="240" w:lineRule="auto"/>
        <w:ind w:left="1080"/>
        <w:jc w:val="both"/>
        <w:rPr>
          <w:rFonts w:ascii="Arial" w:cs="Arial" w:eastAsia="Times New Roman" w:hAnsi="Arial"/>
          <w:color w:val="212529"/>
          <w:sz w:val="20"/>
          <w:lang w:eastAsia="fr-FR"/>
        </w:rPr>
      </w:pPr>
    </w:p>
    <w:p w:rsidP="00833567" w:rsidR="00C866BC" w:rsidRDefault="00C866BC">
      <w:p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 w:rsidRPr="00C866BC">
        <w:rPr>
          <w:rFonts w:ascii="Arial" w:cs="Arial" w:eastAsia="Times New Roman" w:hAnsi="Arial"/>
          <w:b/>
          <w:color w:val="212529"/>
          <w:lang w:eastAsia="fr-FR"/>
        </w:rPr>
        <w:t>A compter du 1</w:t>
      </w:r>
      <w:r w:rsidRPr="00C866BC">
        <w:rPr>
          <w:rFonts w:ascii="Arial" w:cs="Arial" w:eastAsia="Times New Roman" w:hAnsi="Arial"/>
          <w:b/>
          <w:color w:val="212529"/>
          <w:vertAlign w:val="superscript"/>
          <w:lang w:eastAsia="fr-FR"/>
        </w:rPr>
        <w:t>er</w:t>
      </w:r>
      <w:r w:rsidRPr="00C866BC">
        <w:rPr>
          <w:rFonts w:ascii="Arial" w:cs="Arial" w:eastAsia="Times New Roman" w:hAnsi="Arial"/>
          <w:b/>
          <w:color w:val="212529"/>
          <w:lang w:eastAsia="fr-FR"/>
        </w:rPr>
        <w:t xml:space="preserve"> novembre 2022</w:t>
      </w:r>
      <w:r>
        <w:rPr>
          <w:rFonts w:ascii="Arial" w:cs="Arial" w:eastAsia="Times New Roman" w:hAnsi="Arial"/>
          <w:color w:val="212529"/>
          <w:lang w:eastAsia="fr-FR"/>
        </w:rPr>
        <w:t xml:space="preserve">, il est convenu la création d’une tranche d’ancienneté </w:t>
      </w:r>
      <w:r w:rsidR="00A66FAE">
        <w:rPr>
          <w:rFonts w:ascii="Arial" w:cs="Arial" w:eastAsia="Times New Roman" w:hAnsi="Arial"/>
          <w:color w:val="212529"/>
          <w:lang w:eastAsia="fr-FR"/>
        </w:rPr>
        <w:t>pour les salariés ayant moins d’1 an d’ancienneté</w:t>
      </w:r>
      <w:r>
        <w:rPr>
          <w:rFonts w:ascii="Arial" w:cs="Arial" w:eastAsia="Times New Roman" w:hAnsi="Arial"/>
          <w:color w:val="212529"/>
          <w:lang w:eastAsia="fr-FR"/>
        </w:rPr>
        <w:t xml:space="preserve"> au sein de l’entreprise (date d’embauche en CDD ou CDI) ainsi qu’une revalorisation des montants attribués sur les autres tranches d’ancienneté.</w:t>
      </w:r>
    </w:p>
    <w:p w:rsidP="00C866BC" w:rsidR="00C866BC" w:rsidRDefault="00C866BC">
      <w:pPr>
        <w:pStyle w:val="Paragraphedeliste"/>
        <w:numPr>
          <w:ilvl w:val="0"/>
          <w:numId w:val="23"/>
        </w:num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 w:rsidRPr="00A66FAE">
        <w:rPr>
          <w:rFonts w:ascii="Arial" w:cs="Arial" w:eastAsia="Times New Roman" w:hAnsi="Arial"/>
          <w:b/>
          <w:color w:val="212529"/>
          <w:lang w:eastAsia="fr-FR"/>
        </w:rPr>
        <w:t>Ancienneté &lt; 1 an :</w:t>
      </w:r>
      <w:r>
        <w:rPr>
          <w:rFonts w:ascii="Arial" w:cs="Arial" w:eastAsia="Times New Roman" w:hAnsi="Arial"/>
          <w:color w:val="212529"/>
          <w:lang w:eastAsia="fr-FR"/>
        </w:rPr>
        <w:tab/>
      </w:r>
      <w:r>
        <w:rPr>
          <w:rFonts w:ascii="Arial" w:cs="Arial" w:eastAsia="Times New Roman" w:hAnsi="Arial"/>
          <w:color w:val="212529"/>
          <w:lang w:eastAsia="fr-FR"/>
        </w:rPr>
        <w:tab/>
      </w:r>
      <w:r>
        <w:rPr>
          <w:rFonts w:ascii="Arial" w:cs="Arial" w:eastAsia="Times New Roman" w:hAnsi="Arial"/>
          <w:color w:val="212529"/>
          <w:lang w:eastAsia="fr-FR"/>
        </w:rPr>
        <w:tab/>
      </w:r>
      <w:r w:rsidRPr="00C866BC">
        <w:rPr>
          <w:rFonts w:ascii="Arial" w:cs="Arial" w:eastAsia="Times New Roman" w:hAnsi="Arial"/>
          <w:b/>
          <w:color w:val="212529"/>
          <w:lang w:eastAsia="fr-FR"/>
        </w:rPr>
        <w:t>30€</w:t>
      </w:r>
      <w:r>
        <w:rPr>
          <w:rFonts w:ascii="Arial" w:cs="Arial" w:eastAsia="Times New Roman" w:hAnsi="Arial"/>
          <w:color w:val="212529"/>
          <w:lang w:eastAsia="fr-FR"/>
        </w:rPr>
        <w:t xml:space="preserve"> brut par mois.</w:t>
      </w:r>
    </w:p>
    <w:p w:rsidP="00C866BC" w:rsidR="00C866BC" w:rsidRDefault="00C866BC">
      <w:pPr>
        <w:pStyle w:val="Paragraphedeliste"/>
        <w:numPr>
          <w:ilvl w:val="0"/>
          <w:numId w:val="23"/>
        </w:num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>
        <w:rPr>
          <w:rFonts w:ascii="Arial" w:cs="Arial" w:eastAsia="Times New Roman" w:hAnsi="Arial"/>
          <w:color w:val="212529"/>
          <w:lang w:eastAsia="fr-FR"/>
        </w:rPr>
        <w:t>Ancienneté ≥ 1 an - &lt; 5 ans :</w:t>
      </w:r>
      <w:r>
        <w:rPr>
          <w:rFonts w:ascii="Arial" w:cs="Arial" w:eastAsia="Times New Roman" w:hAnsi="Arial"/>
          <w:color w:val="212529"/>
          <w:lang w:eastAsia="fr-FR"/>
        </w:rPr>
        <w:tab/>
      </w:r>
      <w:r>
        <w:rPr>
          <w:rFonts w:ascii="Arial" w:cs="Arial" w:eastAsia="Times New Roman" w:hAnsi="Arial"/>
          <w:color w:val="212529"/>
          <w:lang w:eastAsia="fr-FR"/>
        </w:rPr>
        <w:tab/>
      </w:r>
      <w:r w:rsidRPr="00C866BC">
        <w:rPr>
          <w:rFonts w:ascii="Arial" w:cs="Arial" w:eastAsia="Times New Roman" w:hAnsi="Arial"/>
          <w:b/>
          <w:color w:val="212529"/>
          <w:lang w:eastAsia="fr-FR"/>
        </w:rPr>
        <w:t>66.50€</w:t>
      </w:r>
      <w:r>
        <w:rPr>
          <w:rFonts w:ascii="Arial" w:cs="Arial" w:eastAsia="Times New Roman" w:hAnsi="Arial"/>
          <w:color w:val="212529"/>
          <w:lang w:eastAsia="fr-FR"/>
        </w:rPr>
        <w:t xml:space="preserve"> brut par mois.</w:t>
      </w:r>
    </w:p>
    <w:p w:rsidP="00C866BC" w:rsidR="00C866BC" w:rsidRDefault="00C866BC">
      <w:pPr>
        <w:pStyle w:val="Paragraphedeliste"/>
        <w:numPr>
          <w:ilvl w:val="0"/>
          <w:numId w:val="23"/>
        </w:num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>
        <w:rPr>
          <w:rFonts w:ascii="Arial" w:cs="Arial" w:eastAsia="Times New Roman" w:hAnsi="Arial"/>
          <w:color w:val="212529"/>
          <w:lang w:eastAsia="fr-FR"/>
        </w:rPr>
        <w:t>Ancienneté ≥ 5 ans - &lt; 10 ans :</w:t>
      </w:r>
      <w:r>
        <w:rPr>
          <w:rFonts w:ascii="Arial" w:cs="Arial" w:eastAsia="Times New Roman" w:hAnsi="Arial"/>
          <w:color w:val="212529"/>
          <w:lang w:eastAsia="fr-FR"/>
        </w:rPr>
        <w:tab/>
      </w:r>
      <w:r w:rsidRPr="00C866BC">
        <w:rPr>
          <w:rFonts w:ascii="Arial" w:cs="Arial" w:eastAsia="Times New Roman" w:hAnsi="Arial"/>
          <w:b/>
          <w:color w:val="212529"/>
          <w:lang w:eastAsia="fr-FR"/>
        </w:rPr>
        <w:t>71€</w:t>
      </w:r>
      <w:r>
        <w:rPr>
          <w:rFonts w:ascii="Arial" w:cs="Arial" w:eastAsia="Times New Roman" w:hAnsi="Arial"/>
          <w:color w:val="212529"/>
          <w:lang w:eastAsia="fr-FR"/>
        </w:rPr>
        <w:t xml:space="preserve"> brut par mois.</w:t>
      </w:r>
    </w:p>
    <w:p w:rsidP="00C866BC" w:rsidR="00C866BC" w:rsidRDefault="00C866BC">
      <w:pPr>
        <w:pStyle w:val="Paragraphedeliste"/>
        <w:numPr>
          <w:ilvl w:val="0"/>
          <w:numId w:val="23"/>
        </w:num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>
        <w:rPr>
          <w:rFonts w:ascii="Arial" w:cs="Arial" w:eastAsia="Times New Roman" w:hAnsi="Arial"/>
          <w:color w:val="212529"/>
          <w:lang w:eastAsia="fr-FR"/>
        </w:rPr>
        <w:t xml:space="preserve">Ancienneté ≥ 10 ans - &lt; 15 ans : </w:t>
      </w:r>
      <w:r>
        <w:rPr>
          <w:rFonts w:ascii="Arial" w:cs="Arial" w:eastAsia="Times New Roman" w:hAnsi="Arial"/>
          <w:color w:val="212529"/>
          <w:lang w:eastAsia="fr-FR"/>
        </w:rPr>
        <w:tab/>
      </w:r>
      <w:r w:rsidRPr="00C866BC">
        <w:rPr>
          <w:rFonts w:ascii="Arial" w:cs="Arial" w:eastAsia="Times New Roman" w:hAnsi="Arial"/>
          <w:b/>
          <w:color w:val="212529"/>
          <w:lang w:eastAsia="fr-FR"/>
        </w:rPr>
        <w:t>84€</w:t>
      </w:r>
      <w:r>
        <w:rPr>
          <w:rFonts w:ascii="Arial" w:cs="Arial" w:eastAsia="Times New Roman" w:hAnsi="Arial"/>
          <w:color w:val="212529"/>
          <w:lang w:eastAsia="fr-FR"/>
        </w:rPr>
        <w:t xml:space="preserve"> brut par mois.</w:t>
      </w:r>
    </w:p>
    <w:p w:rsidP="00C866BC" w:rsidR="00C866BC" w:rsidRDefault="00C866BC">
      <w:pPr>
        <w:pStyle w:val="Paragraphedeliste"/>
        <w:numPr>
          <w:ilvl w:val="0"/>
          <w:numId w:val="23"/>
        </w:num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>
        <w:rPr>
          <w:rFonts w:ascii="Arial" w:cs="Arial" w:eastAsia="Times New Roman" w:hAnsi="Arial"/>
          <w:color w:val="212529"/>
          <w:lang w:eastAsia="fr-FR"/>
        </w:rPr>
        <w:t xml:space="preserve">Ancienneté ≥ 15 ans - &lt; 20 ans : </w:t>
      </w:r>
      <w:r>
        <w:rPr>
          <w:rFonts w:ascii="Arial" w:cs="Arial" w:eastAsia="Times New Roman" w:hAnsi="Arial"/>
          <w:color w:val="212529"/>
          <w:lang w:eastAsia="fr-FR"/>
        </w:rPr>
        <w:tab/>
      </w:r>
      <w:r w:rsidRPr="00C866BC">
        <w:rPr>
          <w:rFonts w:ascii="Arial" w:cs="Arial" w:eastAsia="Times New Roman" w:hAnsi="Arial"/>
          <w:b/>
          <w:color w:val="212529"/>
          <w:lang w:eastAsia="fr-FR"/>
        </w:rPr>
        <w:t>91€</w:t>
      </w:r>
      <w:r>
        <w:rPr>
          <w:rFonts w:ascii="Arial" w:cs="Arial" w:eastAsia="Times New Roman" w:hAnsi="Arial"/>
          <w:color w:val="212529"/>
          <w:lang w:eastAsia="fr-FR"/>
        </w:rPr>
        <w:t xml:space="preserve"> brut par mois.</w:t>
      </w:r>
    </w:p>
    <w:p w:rsidP="00C866BC" w:rsidR="00C866BC" w:rsidRDefault="00C866BC" w:rsidRPr="00C866BC">
      <w:pPr>
        <w:pStyle w:val="Paragraphedeliste"/>
        <w:numPr>
          <w:ilvl w:val="0"/>
          <w:numId w:val="23"/>
        </w:num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>
        <w:rPr>
          <w:rFonts w:ascii="Arial" w:cs="Arial" w:eastAsia="Times New Roman" w:hAnsi="Arial"/>
          <w:color w:val="212529"/>
          <w:lang w:eastAsia="fr-FR"/>
        </w:rPr>
        <w:t xml:space="preserve">Ancienneté ≥ 20 ans : </w:t>
      </w:r>
      <w:r>
        <w:rPr>
          <w:rFonts w:ascii="Arial" w:cs="Arial" w:eastAsia="Times New Roman" w:hAnsi="Arial"/>
          <w:color w:val="212529"/>
          <w:lang w:eastAsia="fr-FR"/>
        </w:rPr>
        <w:tab/>
      </w:r>
      <w:r>
        <w:rPr>
          <w:rFonts w:ascii="Arial" w:cs="Arial" w:eastAsia="Times New Roman" w:hAnsi="Arial"/>
          <w:color w:val="212529"/>
          <w:lang w:eastAsia="fr-FR"/>
        </w:rPr>
        <w:tab/>
      </w:r>
      <w:r w:rsidRPr="00C866BC">
        <w:rPr>
          <w:rFonts w:ascii="Arial" w:cs="Arial" w:eastAsia="Times New Roman" w:hAnsi="Arial"/>
          <w:b/>
          <w:color w:val="212529"/>
          <w:lang w:eastAsia="fr-FR"/>
        </w:rPr>
        <w:t>98€</w:t>
      </w:r>
      <w:r>
        <w:rPr>
          <w:rFonts w:ascii="Arial" w:cs="Arial" w:eastAsia="Times New Roman" w:hAnsi="Arial"/>
          <w:color w:val="212529"/>
          <w:lang w:eastAsia="fr-FR"/>
        </w:rPr>
        <w:t xml:space="preserve"> brut par mois.</w:t>
      </w:r>
    </w:p>
    <w:p w:rsidP="00B43A14" w:rsidR="00B43A14" w:rsidRDefault="00B43A14" w:rsidRPr="00A15140">
      <w:p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 w:rsidRPr="00B43A14">
        <w:rPr>
          <w:rFonts w:ascii="Arial" w:cs="Arial" w:eastAsia="Times New Roman" w:hAnsi="Arial"/>
          <w:b/>
          <w:bCs/>
          <w:color w:val="212529"/>
          <w:lang w:eastAsia="fr-FR"/>
        </w:rPr>
        <w:t>ARTICLE II – AUTRES POINTS DE LA NEGOCIATION</w:t>
      </w:r>
    </w:p>
    <w:p w:rsidP="00B43A14" w:rsidR="00B43A14" w:rsidRDefault="00B43A14" w:rsidRPr="00A15140">
      <w:pPr>
        <w:spacing w:after="100" w:afterAutospacing="1" w:line="240" w:lineRule="auto"/>
        <w:jc w:val="both"/>
        <w:outlineLvl w:val="5"/>
        <w:rPr>
          <w:rFonts w:ascii="Arial" w:cs="Arial" w:eastAsia="Times New Roman" w:hAnsi="Arial"/>
          <w:color w:val="212529"/>
          <w:lang w:eastAsia="fr-FR"/>
        </w:rPr>
      </w:pPr>
      <w:r w:rsidRPr="00A15140">
        <w:rPr>
          <w:rFonts w:ascii="Arial" w:cs="Arial" w:eastAsia="Times New Roman" w:hAnsi="Arial"/>
          <w:color w:val="212529"/>
          <w:lang w:eastAsia="fr-FR"/>
        </w:rPr>
        <w:t xml:space="preserve">L’ensemble des thèmes de la négociation annuelle obligatoire sur la rémunération, le temps de travail et le partage de la valeur ajoutée seront traités lors de ladite négociation </w:t>
      </w:r>
      <w:r w:rsidR="00A66FAE">
        <w:rPr>
          <w:rFonts w:ascii="Arial" w:cs="Arial" w:eastAsia="Times New Roman" w:hAnsi="Arial"/>
          <w:color w:val="212529"/>
          <w:lang w:eastAsia="fr-FR"/>
        </w:rPr>
        <w:t>en 2023</w:t>
      </w:r>
      <w:r w:rsidRPr="00A15140">
        <w:rPr>
          <w:rFonts w:ascii="Arial" w:cs="Arial" w:eastAsia="Times New Roman" w:hAnsi="Arial"/>
          <w:color w:val="212529"/>
          <w:lang w:eastAsia="fr-FR"/>
        </w:rPr>
        <w:t>.</w:t>
      </w:r>
    </w:p>
    <w:p w:rsidP="00B43A14" w:rsidR="00B43A14" w:rsidRDefault="00B43A14" w:rsidRPr="00A15140">
      <w:p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 w:rsidRPr="00B43A14">
        <w:rPr>
          <w:rFonts w:ascii="Arial" w:cs="Arial" w:eastAsia="Times New Roman" w:hAnsi="Arial"/>
          <w:b/>
          <w:bCs/>
          <w:color w:val="212529"/>
          <w:lang w:eastAsia="fr-FR"/>
        </w:rPr>
        <w:t>ARTICLE III – DUREE DE L’ACCORD</w:t>
      </w:r>
    </w:p>
    <w:p w:rsidP="00B43A14" w:rsidR="00B43A14" w:rsidRDefault="00B43A14" w:rsidRPr="00A15140">
      <w:p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 w:rsidRPr="00A15140">
        <w:rPr>
          <w:rFonts w:ascii="Arial" w:cs="Arial" w:eastAsia="Times New Roman" w:hAnsi="Arial"/>
          <w:color w:val="212529"/>
          <w:lang w:eastAsia="fr-FR"/>
        </w:rPr>
        <w:t>Le présent accord est conclu d</w:t>
      </w:r>
      <w:r w:rsidR="00BC443E">
        <w:rPr>
          <w:rFonts w:ascii="Arial" w:cs="Arial" w:eastAsia="Times New Roman" w:hAnsi="Arial"/>
          <w:color w:val="212529"/>
          <w:lang w:eastAsia="fr-FR"/>
        </w:rPr>
        <w:t>ans le cadre de la négociation annuelle</w:t>
      </w:r>
      <w:r w:rsidRPr="00A15140">
        <w:rPr>
          <w:rFonts w:ascii="Arial" w:cs="Arial" w:eastAsia="Times New Roman" w:hAnsi="Arial"/>
          <w:color w:val="212529"/>
          <w:lang w:eastAsia="fr-FR"/>
        </w:rPr>
        <w:t xml:space="preserve"> obligatoire sur la rémunération, le temps de travail et le partage de la valeur ajoutée </w:t>
      </w:r>
      <w:r w:rsidR="00BF0F16">
        <w:rPr>
          <w:rFonts w:ascii="Arial" w:cs="Arial" w:eastAsia="Times New Roman" w:hAnsi="Arial"/>
          <w:color w:val="212529"/>
          <w:lang w:eastAsia="fr-FR"/>
        </w:rPr>
        <w:t>au titre de l’année 2023</w:t>
      </w:r>
      <w:r w:rsidRPr="00A15140">
        <w:rPr>
          <w:rFonts w:ascii="Arial" w:cs="Arial" w:eastAsia="Times New Roman" w:hAnsi="Arial"/>
          <w:color w:val="212529"/>
          <w:lang w:eastAsia="fr-FR"/>
        </w:rPr>
        <w:t>.</w:t>
      </w:r>
    </w:p>
    <w:p w:rsidP="00B43A14" w:rsidR="008B7286" w:rsidRDefault="008B7286">
      <w:p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>
        <w:rPr>
          <w:rFonts w:ascii="Arial" w:cs="Arial" w:eastAsia="Times New Roman" w:hAnsi="Arial"/>
          <w:color w:val="212529"/>
          <w:lang w:eastAsia="fr-FR"/>
        </w:rPr>
        <w:lastRenderedPageBreak/>
        <w:t xml:space="preserve">S’agissant </w:t>
      </w:r>
      <w:r w:rsidR="00BF0F16">
        <w:rPr>
          <w:rFonts w:ascii="Arial" w:cs="Arial" w:eastAsia="Times New Roman" w:hAnsi="Arial"/>
          <w:color w:val="212529"/>
          <w:lang w:eastAsia="fr-FR"/>
        </w:rPr>
        <w:t>spécifiquement de la thématique des salaires effectifs, son traitement anticipé au 01/11/2022 conduit à appliquer le présent accord jusqu</w:t>
      </w:r>
      <w:r w:rsidR="00F229A1">
        <w:rPr>
          <w:rFonts w:ascii="Arial" w:cs="Arial" w:eastAsia="Times New Roman" w:hAnsi="Arial"/>
          <w:color w:val="212529"/>
          <w:lang w:eastAsia="fr-FR"/>
        </w:rPr>
        <w:t>’aux NAO</w:t>
      </w:r>
      <w:r w:rsidR="00BF0F16">
        <w:rPr>
          <w:rFonts w:ascii="Arial" w:cs="Arial" w:eastAsia="Times New Roman" w:hAnsi="Arial"/>
          <w:color w:val="212529"/>
          <w:lang w:eastAsia="fr-FR"/>
        </w:rPr>
        <w:t xml:space="preserve"> 2024, à l’exception d’</w:t>
      </w:r>
      <w:r w:rsidR="00F229A1">
        <w:rPr>
          <w:rFonts w:ascii="Arial" w:cs="Arial" w:eastAsia="Times New Roman" w:hAnsi="Arial"/>
          <w:color w:val="212529"/>
          <w:lang w:eastAsia="fr-FR"/>
        </w:rPr>
        <w:t xml:space="preserve">une inflation constatée </w:t>
      </w:r>
      <w:r w:rsidR="00F57695">
        <w:rPr>
          <w:rFonts w:ascii="Arial" w:cs="Arial" w:eastAsia="Times New Roman" w:hAnsi="Arial"/>
          <w:color w:val="212529"/>
          <w:lang w:eastAsia="fr-FR"/>
        </w:rPr>
        <w:t>au moment des discussions engagées au titre des NAO 2023</w:t>
      </w:r>
      <w:r w:rsidR="00F229A1">
        <w:rPr>
          <w:rFonts w:ascii="Arial" w:cs="Arial" w:eastAsia="Times New Roman" w:hAnsi="Arial"/>
          <w:color w:val="212529"/>
          <w:lang w:eastAsia="fr-FR"/>
        </w:rPr>
        <w:t xml:space="preserve"> qui serait supérieure à 4%, auquel cas cette thématique sera intégrée dans </w:t>
      </w:r>
      <w:r w:rsidR="00F57695">
        <w:rPr>
          <w:rFonts w:ascii="Arial" w:cs="Arial" w:eastAsia="Times New Roman" w:hAnsi="Arial"/>
          <w:color w:val="212529"/>
          <w:lang w:eastAsia="fr-FR"/>
        </w:rPr>
        <w:t>ladite négociation sur le delta excédant 4%</w:t>
      </w:r>
      <w:r w:rsidR="00F229A1">
        <w:rPr>
          <w:rFonts w:ascii="Arial" w:cs="Arial" w:eastAsia="Times New Roman" w:hAnsi="Arial"/>
          <w:color w:val="212529"/>
          <w:lang w:eastAsia="fr-FR"/>
        </w:rPr>
        <w:t xml:space="preserve">. </w:t>
      </w:r>
    </w:p>
    <w:p w:rsidP="00B43A14" w:rsidR="00B43A14" w:rsidRDefault="00945221" w:rsidRPr="00A15140">
      <w:p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>
        <w:rPr>
          <w:rFonts w:ascii="Arial" w:cs="Arial" w:eastAsia="Times New Roman" w:hAnsi="Arial"/>
          <w:color w:val="212529"/>
          <w:lang w:eastAsia="fr-FR"/>
        </w:rPr>
        <w:t>Le présent accord n’est pas tacitement reconductible.</w:t>
      </w:r>
    </w:p>
    <w:p w:rsidP="00B43A14" w:rsidR="00B43A14" w:rsidRDefault="00B43A14" w:rsidRPr="00A15140">
      <w:p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 w:rsidRPr="00B43A14">
        <w:rPr>
          <w:rFonts w:ascii="Arial" w:cs="Arial" w:eastAsia="Times New Roman" w:hAnsi="Arial"/>
          <w:b/>
          <w:bCs/>
          <w:color w:val="212529"/>
          <w:lang w:eastAsia="fr-FR"/>
        </w:rPr>
        <w:t>ARTICLE IV – PUBLICITE ET DEPOT</w:t>
      </w:r>
    </w:p>
    <w:p w:rsidP="00B43A14" w:rsidR="00B43A14" w:rsidRDefault="00B43A14" w:rsidRPr="00A15140">
      <w:p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 w:rsidRPr="00A15140">
        <w:rPr>
          <w:rFonts w:ascii="Arial" w:cs="Arial" w:eastAsia="Times New Roman" w:hAnsi="Arial"/>
          <w:color w:val="212529"/>
          <w:lang w:eastAsia="fr-FR"/>
        </w:rPr>
        <w:t>Le présent accord sera notifié, par lettre remise en main propre ou Lettre Recommandée avec A.R., à l'ensemble des organisations syndicales représentatives dans l'entreprise.</w:t>
      </w:r>
    </w:p>
    <w:p w:rsidP="00B43A14" w:rsidR="00B43A14" w:rsidRDefault="00B43A14" w:rsidRPr="00A15140">
      <w:pPr>
        <w:spacing w:after="100" w:afterAutospacing="1" w:line="240" w:lineRule="auto"/>
        <w:jc w:val="both"/>
        <w:rPr>
          <w:rFonts w:ascii="Arial" w:cs="Arial" w:eastAsia="Times New Roman" w:hAnsi="Arial"/>
          <w:color w:val="212529"/>
          <w:lang w:eastAsia="fr-FR"/>
        </w:rPr>
      </w:pPr>
      <w:r w:rsidRPr="00A15140">
        <w:rPr>
          <w:rFonts w:ascii="Arial" w:cs="Arial" w:eastAsia="Times New Roman" w:hAnsi="Arial"/>
          <w:color w:val="212529"/>
          <w:lang w:eastAsia="fr-FR"/>
        </w:rPr>
        <w:t>Le présent accord sera porté à la connaissance du personnel par voie d’affichage.</w:t>
      </w:r>
    </w:p>
    <w:p w:rsidP="00A66FAE" w:rsidR="00AD0C2D" w:rsidRDefault="00B43A14">
      <w:pPr>
        <w:spacing w:after="100" w:afterAutospacing="1" w:line="240" w:lineRule="auto"/>
        <w:jc w:val="both"/>
        <w:rPr>
          <w:rFonts w:ascii="Arial" w:cs="Arial" w:hAnsi="Arial"/>
        </w:rPr>
      </w:pPr>
      <w:r w:rsidRPr="00A15140">
        <w:rPr>
          <w:rFonts w:ascii="Arial" w:cs="Arial" w:eastAsia="Times New Roman" w:hAnsi="Arial"/>
          <w:color w:val="212529"/>
          <w:lang w:eastAsia="fr-FR"/>
        </w:rPr>
        <w:t>Conformément aux dispositions de l’article D. 2231-4 et D. 2231-7 du Code du travail, le présent accord sera déposé sur la plateforme nationale « Télé</w:t>
      </w:r>
      <w:r w:rsidR="006757D8">
        <w:rPr>
          <w:rFonts w:ascii="Arial" w:cs="Arial" w:eastAsia="Times New Roman" w:hAnsi="Arial"/>
          <w:color w:val="212529"/>
          <w:lang w:eastAsia="fr-FR"/>
        </w:rPr>
        <w:t>-</w:t>
      </w:r>
      <w:bookmarkStart w:id="0" w:name="_GoBack"/>
      <w:bookmarkEnd w:id="0"/>
      <w:r w:rsidRPr="00A15140">
        <w:rPr>
          <w:rFonts w:ascii="Arial" w:cs="Arial" w:eastAsia="Times New Roman" w:hAnsi="Arial"/>
          <w:color w:val="212529"/>
          <w:lang w:eastAsia="fr-FR"/>
        </w:rPr>
        <w:t xml:space="preserve">Accords » et en un exemplaire au secrétariat-greffe du Conseil de Prud'hommes </w:t>
      </w:r>
      <w:r w:rsidR="00A66FAE">
        <w:rPr>
          <w:rFonts w:ascii="Arial" w:cs="Arial" w:eastAsia="Times New Roman" w:hAnsi="Arial"/>
          <w:color w:val="212529"/>
          <w:lang w:eastAsia="fr-FR"/>
        </w:rPr>
        <w:t>d’Orléans (45).</w:t>
      </w:r>
    </w:p>
    <w:p w:rsidP="00AD1F36" w:rsidR="00AD0C2D" w:rsidRDefault="00AD0C2D">
      <w:pPr>
        <w:spacing w:after="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Saran, le </w:t>
      </w:r>
      <w:r w:rsidR="00A66FAE">
        <w:rPr>
          <w:rFonts w:ascii="Arial" w:cs="Arial" w:hAnsi="Arial"/>
        </w:rPr>
        <w:t>18/10</w:t>
      </w:r>
      <w:r w:rsidR="00965C91">
        <w:rPr>
          <w:rFonts w:ascii="Arial" w:cs="Arial" w:hAnsi="Arial"/>
        </w:rPr>
        <w:t>/2022</w:t>
      </w:r>
    </w:p>
    <w:p w:rsidP="00AD1F36" w:rsidR="00AD0C2D" w:rsidRDefault="00AD0C2D">
      <w:pPr>
        <w:spacing w:after="0"/>
        <w:jc w:val="both"/>
        <w:rPr>
          <w:rFonts w:ascii="Arial" w:cs="Arial" w:hAnsi="Arial"/>
        </w:rPr>
      </w:pPr>
    </w:p>
    <w:p w:rsidP="00AD1F36" w:rsidR="00AD0C2D" w:rsidRDefault="00AD0C2D">
      <w:pPr>
        <w:spacing w:after="0"/>
        <w:jc w:val="both"/>
        <w:rPr>
          <w:rFonts w:ascii="Arial" w:cs="Arial" w:hAnsi="Arial"/>
        </w:rPr>
      </w:pPr>
      <w:r>
        <w:rPr>
          <w:rFonts w:ascii="Arial" w:cs="Arial" w:hAnsi="Arial"/>
        </w:rPr>
        <w:t>Fait en 5 exemplaires originaux,</w:t>
      </w:r>
    </w:p>
    <w:p w:rsidP="00AD1F36" w:rsidR="00AD0C2D" w:rsidRDefault="00AD0C2D">
      <w:pPr>
        <w:spacing w:after="0"/>
        <w:jc w:val="both"/>
        <w:rPr>
          <w:rFonts w:ascii="Arial" w:cs="Arial" w:hAnsi="Arial"/>
        </w:rPr>
      </w:pPr>
    </w:p>
    <w:p w:rsidP="00AD1F36" w:rsidR="00AD0C2D" w:rsidRDefault="00AD0C2D" w:rsidRPr="00AD0C2D">
      <w:pPr>
        <w:spacing w:after="0"/>
        <w:jc w:val="both"/>
        <w:rPr>
          <w:rFonts w:ascii="Arial" w:cs="Arial" w:hAnsi="Arial"/>
          <w:b/>
          <w:u w:val="single"/>
        </w:rPr>
      </w:pPr>
      <w:r w:rsidRPr="00AD0C2D">
        <w:rPr>
          <w:rFonts w:ascii="Arial" w:cs="Arial" w:hAnsi="Arial"/>
          <w:b/>
          <w:u w:val="single"/>
        </w:rPr>
        <w:t>Pour la Direction</w:t>
      </w:r>
    </w:p>
    <w:p w:rsidP="00AD1F36" w:rsidR="00AD0C2D" w:rsidRDefault="006757D8">
      <w:pPr>
        <w:spacing w:after="0"/>
        <w:jc w:val="both"/>
        <w:rPr>
          <w:rFonts w:ascii="Arial" w:cs="Arial" w:hAnsi="Arial"/>
        </w:rPr>
      </w:pPr>
      <w:r>
        <w:rPr>
          <w:rFonts w:ascii="Arial" w:cs="Arial" w:hAnsi="Arial"/>
        </w:rPr>
        <w:t>Mr. xxxxxxxxxxxxx</w:t>
      </w:r>
    </w:p>
    <w:p w:rsidP="00AD1F36" w:rsidR="00AD0C2D" w:rsidRDefault="00AD0C2D">
      <w:pPr>
        <w:spacing w:after="0"/>
        <w:jc w:val="both"/>
        <w:rPr>
          <w:rFonts w:ascii="Arial" w:cs="Arial" w:hAnsi="Arial"/>
        </w:rPr>
      </w:pPr>
    </w:p>
    <w:p w:rsidP="00AD1F36" w:rsidR="00AD0C2D" w:rsidRDefault="00AD0C2D">
      <w:pPr>
        <w:spacing w:after="0"/>
        <w:jc w:val="both"/>
        <w:rPr>
          <w:rFonts w:ascii="Arial" w:cs="Arial" w:hAnsi="Arial"/>
        </w:rPr>
      </w:pPr>
    </w:p>
    <w:p w:rsidP="00AD1F36" w:rsidR="00AD0C2D" w:rsidRDefault="006757D8">
      <w:pPr>
        <w:spacing w:after="0"/>
        <w:jc w:val="both"/>
        <w:rPr>
          <w:rFonts w:ascii="Arial" w:cs="Arial" w:hAnsi="Arial"/>
        </w:rPr>
      </w:pPr>
      <w:r>
        <w:rPr>
          <w:rFonts w:ascii="Arial" w:cs="Arial" w:hAnsi="Arial"/>
        </w:rPr>
        <w:t>Mme xxxxxxxxxxxxx</w:t>
      </w:r>
    </w:p>
    <w:p w:rsidP="00AD1F36" w:rsidR="00AD0C2D" w:rsidRDefault="00AD0C2D">
      <w:pPr>
        <w:spacing w:after="0"/>
        <w:jc w:val="both"/>
        <w:rPr>
          <w:rFonts w:ascii="Arial" w:cs="Arial" w:hAnsi="Arial"/>
        </w:rPr>
      </w:pPr>
    </w:p>
    <w:p w:rsidP="00AD1F36" w:rsidR="00AD0C2D" w:rsidRDefault="00AD0C2D">
      <w:pPr>
        <w:spacing w:after="0"/>
        <w:jc w:val="both"/>
        <w:rPr>
          <w:rFonts w:ascii="Arial" w:cs="Arial" w:hAnsi="Arial"/>
        </w:rPr>
      </w:pPr>
    </w:p>
    <w:p w:rsidP="00AD1F36" w:rsidR="00AD0C2D" w:rsidRDefault="00AD0C2D" w:rsidRPr="00AD0C2D">
      <w:pPr>
        <w:spacing w:after="0"/>
        <w:jc w:val="both"/>
        <w:rPr>
          <w:rFonts w:ascii="Arial" w:cs="Arial" w:hAnsi="Arial"/>
          <w:b/>
          <w:u w:val="single"/>
        </w:rPr>
      </w:pPr>
      <w:r w:rsidRPr="00AD0C2D">
        <w:rPr>
          <w:rFonts w:ascii="Arial" w:cs="Arial" w:hAnsi="Arial"/>
          <w:b/>
          <w:u w:val="single"/>
        </w:rPr>
        <w:t>Pour la CGT</w:t>
      </w:r>
    </w:p>
    <w:p w:rsidP="00AD1F36" w:rsidR="00AD0C2D" w:rsidRDefault="006757D8">
      <w:pPr>
        <w:spacing w:after="0"/>
        <w:jc w:val="both"/>
        <w:rPr>
          <w:rFonts w:ascii="Arial" w:cs="Arial" w:hAnsi="Arial"/>
        </w:rPr>
      </w:pPr>
      <w:r>
        <w:rPr>
          <w:rFonts w:ascii="Arial" w:cs="Arial" w:hAnsi="Arial"/>
        </w:rPr>
        <w:t>Mme xxxxxxxxxxx</w:t>
      </w:r>
    </w:p>
    <w:p w:rsidP="00AD1F36" w:rsidR="00AD0C2D" w:rsidRDefault="00AD0C2D">
      <w:pPr>
        <w:spacing w:after="0"/>
        <w:jc w:val="both"/>
        <w:rPr>
          <w:rFonts w:ascii="Arial" w:cs="Arial" w:hAnsi="Arial"/>
        </w:rPr>
      </w:pPr>
    </w:p>
    <w:p w:rsidP="00AD1F36" w:rsidR="00970B39" w:rsidRDefault="00970B39">
      <w:pPr>
        <w:spacing w:after="0"/>
        <w:jc w:val="both"/>
        <w:rPr>
          <w:rFonts w:ascii="Arial" w:cs="Arial" w:hAnsi="Arial"/>
        </w:rPr>
      </w:pPr>
    </w:p>
    <w:p w:rsidP="00AD1F36" w:rsidR="00970B39" w:rsidRDefault="00970B39" w:rsidRPr="00970B39">
      <w:pPr>
        <w:spacing w:after="0"/>
        <w:jc w:val="both"/>
        <w:rPr>
          <w:rFonts w:ascii="Arial" w:cs="Arial" w:hAnsi="Arial"/>
          <w:b/>
          <w:u w:val="single"/>
        </w:rPr>
      </w:pPr>
      <w:r w:rsidRPr="00970B39">
        <w:rPr>
          <w:rFonts w:ascii="Arial" w:cs="Arial" w:hAnsi="Arial"/>
          <w:b/>
          <w:u w:val="single"/>
        </w:rPr>
        <w:t>Pour FO</w:t>
      </w:r>
    </w:p>
    <w:p w:rsidP="00AD1F36" w:rsidR="00970B39" w:rsidRDefault="006757D8">
      <w:pPr>
        <w:spacing w:after="0"/>
        <w:jc w:val="both"/>
        <w:rPr>
          <w:rFonts w:ascii="Arial" w:cs="Arial" w:hAnsi="Arial"/>
        </w:rPr>
      </w:pPr>
      <w:r>
        <w:rPr>
          <w:rFonts w:ascii="Arial" w:cs="Arial" w:hAnsi="Arial"/>
        </w:rPr>
        <w:t>Mr. xxxxxxx</w:t>
      </w:r>
    </w:p>
    <w:p w:rsidP="00AD1F36" w:rsidR="002E099C" w:rsidRDefault="002E099C">
      <w:pPr>
        <w:spacing w:after="0"/>
        <w:jc w:val="both"/>
        <w:rPr>
          <w:rFonts w:ascii="Arial" w:cs="Arial" w:hAnsi="Arial"/>
        </w:rPr>
      </w:pPr>
    </w:p>
    <w:sectPr w:rsidR="002E099C">
      <w:headerReference r:id="rId8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918" w:rsidRDefault="007C0918" w:rsidP="00E80D06">
      <w:pPr>
        <w:spacing w:after="0" w:line="240" w:lineRule="auto"/>
      </w:pPr>
      <w:r>
        <w:separator/>
      </w:r>
    </w:p>
  </w:endnote>
  <w:endnote w:type="continuationSeparator" w:id="0">
    <w:p w:rsidR="007C0918" w:rsidRDefault="007C0918" w:rsidP="00E8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E80D06" w:rsidR="007C0918" w:rsidRDefault="007C0918">
      <w:pPr>
        <w:spacing w:after="0" w:line="240" w:lineRule="auto"/>
      </w:pPr>
      <w:r>
        <w:separator/>
      </w:r>
    </w:p>
  </w:footnote>
  <w:footnote w:id="0" w:type="continuationSeparator">
    <w:p w:rsidP="00E80D06" w:rsidR="007C0918" w:rsidRDefault="007C0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tbl>
    <w:tblPr>
      <w:tblW w:type="dxa" w:w="10348"/>
      <w:tblInd w:type="dxa" w:w="-572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ook w:firstColumn="1" w:firstRow="1" w:lastColumn="0" w:lastRow="0" w:noHBand="0" w:noVBand="1" w:val="04A0"/>
    </w:tblPr>
    <w:tblGrid>
      <w:gridCol w:w="2091"/>
      <w:gridCol w:w="2376"/>
      <w:gridCol w:w="2600"/>
      <w:gridCol w:w="1913"/>
      <w:gridCol w:w="1368"/>
    </w:tblGrid>
    <w:tr w:rsidR="00300531" w:rsidRPr="00300531" w:rsidTr="00E16747">
      <w:trPr>
        <w:trHeight w:val="581"/>
      </w:trPr>
      <w:tc>
        <w:tcPr>
          <w:tcW w:type="dxa" w:w="2091"/>
          <w:vMerge w:val="restart"/>
          <w:vAlign w:val="center"/>
        </w:tcPr>
        <w:p w:rsidP="00300531" w:rsidR="00300531" w:rsidRDefault="00300531" w:rsidRPr="00300531">
          <w:pPr>
            <w:tabs>
              <w:tab w:pos="4536" w:val="center"/>
              <w:tab w:pos="9072" w:val="right"/>
            </w:tabs>
            <w:spacing w:after="0" w:line="240" w:lineRule="auto"/>
            <w:ind w:left="-108" w:right="-87"/>
            <w:jc w:val="center"/>
            <w:rPr>
              <w:rFonts w:ascii="Calibri" w:cs="Times New Roman" w:eastAsia="Times New Roman" w:hAnsi="Calibri"/>
              <w:sz w:val="20"/>
              <w:szCs w:val="20"/>
              <w:lang w:eastAsia="fr-FR"/>
            </w:rPr>
          </w:pPr>
          <w:r>
            <w:rPr>
              <w:rFonts w:ascii="Calibri" w:cs="Times New Roman" w:eastAsia="Times New Roman" w:hAnsi="Calibri"/>
              <w:noProof/>
              <w:sz w:val="20"/>
              <w:szCs w:val="20"/>
              <w:lang w:eastAsia="fr-FR"/>
            </w:rPr>
            <w:drawing>
              <wp:inline distB="0" distL="0" distR="0" distT="0" wp14:anchorId="575DB7DB" wp14:editId="41632307">
                <wp:extent cx="1259205" cy="698500"/>
                <wp:effectExtent b="6350" l="0" r="0" t="0"/>
                <wp:docPr descr="Deret Logistique"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descr="Deret Logistique" id="0" name="Picture 1"/>
                        <pic:cNvPicPr>
                          <a:picLocks noChangeArrowheads="1"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205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376"/>
          <w:vAlign w:val="center"/>
        </w:tcPr>
        <w:p w:rsidP="00300531" w:rsidR="00300531" w:rsidRDefault="00300531" w:rsidRPr="00300531">
          <w:pPr>
            <w:tabs>
              <w:tab w:pos="4536" w:val="center"/>
              <w:tab w:pos="9072" w:val="right"/>
            </w:tabs>
            <w:spacing w:after="0" w:line="240" w:lineRule="auto"/>
            <w:ind w:right="-87"/>
            <w:jc w:val="center"/>
            <w:rPr>
              <w:rFonts w:ascii="Calibri" w:cs="Times New Roman" w:eastAsia="Times New Roman" w:hAnsi="Calibri"/>
              <w:b/>
              <w:lang w:eastAsia="fr-FR"/>
            </w:rPr>
          </w:pPr>
          <w:r>
            <w:rPr>
              <w:rFonts w:ascii="Calibri" w:cs="Times New Roman" w:eastAsia="Times New Roman" w:hAnsi="Calibri"/>
              <w:b/>
              <w:lang w:eastAsia="fr-FR"/>
            </w:rPr>
            <w:t>DOCUMENTS DIVERS</w:t>
          </w:r>
        </w:p>
      </w:tc>
      <w:tc>
        <w:tcPr>
          <w:tcW w:type="dxa" w:w="2600"/>
          <w:vAlign w:val="center"/>
        </w:tcPr>
        <w:p w:rsidP="00300531" w:rsidR="00A410A9" w:rsidRDefault="00A410A9">
          <w:pPr>
            <w:tabs>
              <w:tab w:pos="4536" w:val="center"/>
              <w:tab w:pos="9072" w:val="right"/>
            </w:tabs>
            <w:spacing w:after="0" w:line="240" w:lineRule="auto"/>
            <w:ind w:left="-131" w:right="-87"/>
            <w:jc w:val="center"/>
            <w:rPr>
              <w:rFonts w:ascii="Calibri" w:cs="Times New Roman" w:eastAsia="Times New Roman" w:hAnsi="Calibri"/>
              <w:b/>
              <w:color w:val="FF0000"/>
              <w:sz w:val="28"/>
              <w:szCs w:val="28"/>
              <w:lang w:eastAsia="fr-FR"/>
            </w:rPr>
          </w:pPr>
          <w:r>
            <w:rPr>
              <w:rFonts w:ascii="Calibri" w:cs="Times New Roman" w:eastAsia="Times New Roman" w:hAnsi="Calibri"/>
              <w:b/>
              <w:color w:val="FF0000"/>
              <w:sz w:val="28"/>
              <w:szCs w:val="28"/>
              <w:lang w:eastAsia="fr-FR"/>
            </w:rPr>
            <w:t>NAO</w:t>
          </w:r>
          <w:r w:rsidR="00C76860">
            <w:rPr>
              <w:rFonts w:ascii="Calibri" w:cs="Times New Roman" w:eastAsia="Times New Roman" w:hAnsi="Calibri"/>
              <w:b/>
              <w:color w:val="FF0000"/>
              <w:sz w:val="28"/>
              <w:szCs w:val="28"/>
              <w:lang w:eastAsia="fr-FR"/>
            </w:rPr>
            <w:t xml:space="preserve"> ANTICIPEES</w:t>
          </w:r>
        </w:p>
        <w:p w:rsidP="00300531" w:rsidR="00300531" w:rsidRDefault="00C76860" w:rsidRPr="00300531">
          <w:pPr>
            <w:tabs>
              <w:tab w:pos="4536" w:val="center"/>
              <w:tab w:pos="9072" w:val="right"/>
            </w:tabs>
            <w:spacing w:after="0" w:line="240" w:lineRule="auto"/>
            <w:ind w:left="-131" w:right="-87"/>
            <w:jc w:val="center"/>
            <w:rPr>
              <w:rFonts w:ascii="Calibri" w:cs="Times New Roman" w:eastAsia="Times New Roman" w:hAnsi="Calibri"/>
              <w:b/>
              <w:color w:val="FF0000"/>
              <w:sz w:val="28"/>
              <w:szCs w:val="28"/>
              <w:lang w:eastAsia="fr-FR"/>
            </w:rPr>
          </w:pPr>
          <w:r>
            <w:rPr>
              <w:rFonts w:ascii="Calibri" w:cs="Times New Roman" w:eastAsia="Times New Roman" w:hAnsi="Calibri"/>
              <w:b/>
              <w:color w:val="FF0000"/>
              <w:sz w:val="28"/>
              <w:szCs w:val="28"/>
              <w:lang w:eastAsia="fr-FR"/>
            </w:rPr>
            <w:t>Protocole d’Accord 2023</w:t>
          </w:r>
        </w:p>
      </w:tc>
      <w:tc>
        <w:tcPr>
          <w:tcW w:type="dxa" w:w="1913"/>
          <w:vAlign w:val="center"/>
        </w:tcPr>
        <w:p w:rsidP="00300531" w:rsidR="00300531" w:rsidRDefault="00300531" w:rsidRPr="00300531">
          <w:pPr>
            <w:tabs>
              <w:tab w:pos="4536" w:val="center"/>
              <w:tab w:pos="9072" w:val="right"/>
            </w:tabs>
            <w:spacing w:after="0" w:line="240" w:lineRule="auto"/>
            <w:ind w:right="-87"/>
            <w:jc w:val="center"/>
            <w:rPr>
              <w:rFonts w:ascii="Calibri" w:cs="Times New Roman" w:eastAsia="Times New Roman" w:hAnsi="Calibri"/>
              <w:b/>
              <w:lang w:eastAsia="fr-FR"/>
            </w:rPr>
          </w:pPr>
          <w:r w:rsidRPr="00300531">
            <w:rPr>
              <w:rFonts w:ascii="Calibri" w:cs="Times New Roman" w:eastAsia="Times New Roman" w:hAnsi="Calibri"/>
              <w:b/>
              <w:lang w:eastAsia="fr-FR"/>
            </w:rPr>
            <w:t>Identification</w:t>
          </w:r>
        </w:p>
      </w:tc>
      <w:tc>
        <w:tcPr>
          <w:tcW w:type="dxa" w:w="1368"/>
          <w:vAlign w:val="center"/>
        </w:tcPr>
        <w:p w:rsidP="00C76860" w:rsidR="00300531" w:rsidRDefault="00833567" w:rsidRPr="00300531">
          <w:pPr>
            <w:tabs>
              <w:tab w:pos="4536" w:val="center"/>
              <w:tab w:pos="9072" w:val="right"/>
            </w:tabs>
            <w:spacing w:after="0" w:line="240" w:lineRule="auto"/>
            <w:ind w:left="-98" w:right="-87"/>
            <w:jc w:val="center"/>
            <w:rPr>
              <w:rFonts w:ascii="Calibri" w:cs="Times New Roman" w:eastAsia="Times New Roman" w:hAnsi="Calibri"/>
              <w:lang w:eastAsia="fr-FR"/>
            </w:rPr>
          </w:pPr>
          <w:r>
            <w:rPr>
              <w:rFonts w:ascii="Calibri" w:cs="Times New Roman" w:eastAsia="Times New Roman" w:hAnsi="Calibri"/>
              <w:lang w:eastAsia="fr-FR"/>
            </w:rPr>
            <w:t>DOC-DIR-3706</w:t>
          </w:r>
        </w:p>
      </w:tc>
    </w:tr>
    <w:tr w:rsidR="00300531" w:rsidRPr="00300531" w:rsidTr="00E16747">
      <w:trPr>
        <w:trHeight w:val="404"/>
      </w:trPr>
      <w:tc>
        <w:tcPr>
          <w:tcW w:type="dxa" w:w="2091"/>
          <w:vMerge/>
        </w:tcPr>
        <w:p w:rsidP="00300531" w:rsidR="00300531" w:rsidRDefault="00300531" w:rsidRPr="00300531">
          <w:pPr>
            <w:tabs>
              <w:tab w:pos="4536" w:val="center"/>
              <w:tab w:pos="9072" w:val="right"/>
            </w:tabs>
            <w:spacing w:after="0" w:line="240" w:lineRule="auto"/>
            <w:ind w:right="-87"/>
            <w:jc w:val="both"/>
            <w:rPr>
              <w:rFonts w:ascii="Calibri" w:cs="Times New Roman" w:eastAsia="Times New Roman" w:hAnsi="Calibri"/>
              <w:sz w:val="20"/>
              <w:szCs w:val="20"/>
              <w:lang w:eastAsia="fr-FR"/>
            </w:rPr>
          </w:pPr>
        </w:p>
      </w:tc>
      <w:tc>
        <w:tcPr>
          <w:tcW w:type="dxa" w:w="2376"/>
          <w:vMerge w:val="restart"/>
          <w:vAlign w:val="center"/>
        </w:tcPr>
        <w:p w:rsidP="00300531" w:rsidR="00300531" w:rsidRDefault="00300531" w:rsidRPr="00300531">
          <w:pPr>
            <w:tabs>
              <w:tab w:pos="4536" w:val="center"/>
              <w:tab w:pos="9072" w:val="right"/>
            </w:tabs>
            <w:spacing w:after="0" w:line="240" w:lineRule="auto"/>
            <w:ind w:right="-87"/>
            <w:jc w:val="center"/>
            <w:rPr>
              <w:rFonts w:ascii="Calibri" w:cs="Times New Roman" w:eastAsia="Times New Roman" w:hAnsi="Calibri"/>
              <w:b/>
              <w:lang w:eastAsia="fr-FR"/>
            </w:rPr>
          </w:pPr>
          <w:r w:rsidRPr="00300531">
            <w:rPr>
              <w:rFonts w:ascii="Calibri" w:cs="Times New Roman" w:eastAsia="Times New Roman" w:hAnsi="Calibri"/>
              <w:b/>
              <w:lang w:eastAsia="fr-FR"/>
            </w:rPr>
            <w:t>DOSSIER</w:t>
          </w:r>
          <w:r>
            <w:rPr>
              <w:rFonts w:ascii="Calibri" w:cs="Times New Roman" w:eastAsia="Times New Roman" w:hAnsi="Calibri"/>
              <w:b/>
              <w:lang w:eastAsia="fr-FR"/>
            </w:rPr>
            <w:t>S</w:t>
          </w:r>
          <w:r w:rsidRPr="00300531">
            <w:rPr>
              <w:rFonts w:ascii="Calibri" w:cs="Times New Roman" w:eastAsia="Times New Roman" w:hAnsi="Calibri"/>
              <w:b/>
              <w:lang w:eastAsia="fr-FR"/>
            </w:rPr>
            <w:t xml:space="preserve"> / SERVICE</w:t>
          </w:r>
          <w:r>
            <w:rPr>
              <w:rFonts w:ascii="Calibri" w:cs="Times New Roman" w:eastAsia="Times New Roman" w:hAnsi="Calibri"/>
              <w:b/>
              <w:lang w:eastAsia="fr-FR"/>
            </w:rPr>
            <w:t>S</w:t>
          </w:r>
        </w:p>
      </w:tc>
      <w:tc>
        <w:tcPr>
          <w:tcW w:type="dxa" w:w="2600"/>
          <w:vMerge w:val="restart"/>
          <w:vAlign w:val="center"/>
        </w:tcPr>
        <w:p w:rsidP="00300531" w:rsidR="00300531" w:rsidRDefault="00300531" w:rsidRPr="00300531">
          <w:pPr>
            <w:tabs>
              <w:tab w:pos="4536" w:val="center"/>
              <w:tab w:pos="9072" w:val="right"/>
            </w:tabs>
            <w:spacing w:after="0" w:line="240" w:lineRule="auto"/>
            <w:ind w:right="-87"/>
            <w:jc w:val="center"/>
            <w:rPr>
              <w:rFonts w:ascii="Calibri" w:cs="Times New Roman" w:eastAsia="Times New Roman" w:hAnsi="Calibri"/>
              <w:lang w:eastAsia="fr-FR"/>
            </w:rPr>
          </w:pPr>
          <w:r>
            <w:rPr>
              <w:rFonts w:ascii="Calibri" w:cs="Times New Roman" w:eastAsia="Times New Roman" w:hAnsi="Calibri"/>
              <w:lang w:eastAsia="fr-FR"/>
            </w:rPr>
            <w:t>DERET LOGISTIQUE</w:t>
          </w:r>
        </w:p>
      </w:tc>
      <w:tc>
        <w:tcPr>
          <w:tcW w:type="dxa" w:w="1913"/>
          <w:vAlign w:val="center"/>
        </w:tcPr>
        <w:p w:rsidP="00300531" w:rsidR="00300531" w:rsidRDefault="00300531" w:rsidRPr="00300531">
          <w:pPr>
            <w:tabs>
              <w:tab w:pos="4536" w:val="center"/>
              <w:tab w:pos="9072" w:val="right"/>
            </w:tabs>
            <w:spacing w:after="0" w:line="240" w:lineRule="auto"/>
            <w:ind w:right="-87"/>
            <w:jc w:val="center"/>
            <w:rPr>
              <w:rFonts w:ascii="Calibri" w:cs="Times New Roman" w:eastAsia="Times New Roman" w:hAnsi="Calibri"/>
              <w:b/>
              <w:lang w:eastAsia="fr-FR"/>
            </w:rPr>
          </w:pPr>
          <w:r w:rsidRPr="00300531">
            <w:rPr>
              <w:rFonts w:ascii="Calibri" w:cs="Times New Roman" w:eastAsia="Times New Roman" w:hAnsi="Calibri"/>
              <w:b/>
              <w:lang w:eastAsia="fr-FR"/>
            </w:rPr>
            <w:t>Indice</w:t>
          </w:r>
        </w:p>
      </w:tc>
      <w:tc>
        <w:tcPr>
          <w:tcW w:type="dxa" w:w="1368"/>
          <w:vAlign w:val="center"/>
        </w:tcPr>
        <w:p w:rsidP="00300531" w:rsidR="00300531" w:rsidRDefault="00300531" w:rsidRPr="00300531">
          <w:pPr>
            <w:tabs>
              <w:tab w:pos="4536" w:val="center"/>
              <w:tab w:pos="9072" w:val="right"/>
            </w:tabs>
            <w:spacing w:after="0" w:line="240" w:lineRule="auto"/>
            <w:ind w:left="-98" w:right="-87"/>
            <w:jc w:val="center"/>
            <w:rPr>
              <w:rFonts w:ascii="Calibri" w:cs="Times New Roman" w:eastAsia="Times New Roman" w:hAnsi="Calibri"/>
              <w:lang w:eastAsia="fr-FR"/>
            </w:rPr>
          </w:pPr>
          <w:r w:rsidRPr="00300531">
            <w:rPr>
              <w:rFonts w:ascii="Calibri" w:cs="Times New Roman" w:eastAsia="Times New Roman" w:hAnsi="Calibri"/>
              <w:lang w:eastAsia="fr-FR"/>
            </w:rPr>
            <w:t>A</w:t>
          </w:r>
        </w:p>
      </w:tc>
    </w:tr>
    <w:tr w:rsidR="00300531" w:rsidRPr="00300531" w:rsidTr="00E16747">
      <w:trPr>
        <w:trHeight w:val="404"/>
      </w:trPr>
      <w:tc>
        <w:tcPr>
          <w:tcW w:type="dxa" w:w="2091"/>
          <w:vMerge/>
        </w:tcPr>
        <w:p w:rsidP="00300531" w:rsidR="00300531" w:rsidRDefault="00300531" w:rsidRPr="00300531">
          <w:pPr>
            <w:tabs>
              <w:tab w:pos="4536" w:val="center"/>
              <w:tab w:pos="9072" w:val="right"/>
            </w:tabs>
            <w:spacing w:after="0" w:line="240" w:lineRule="auto"/>
            <w:ind w:right="-87"/>
            <w:jc w:val="both"/>
            <w:rPr>
              <w:rFonts w:ascii="Calibri" w:cs="Times New Roman" w:eastAsia="Times New Roman" w:hAnsi="Calibri"/>
              <w:sz w:val="20"/>
              <w:szCs w:val="20"/>
              <w:lang w:eastAsia="fr-FR"/>
            </w:rPr>
          </w:pPr>
        </w:p>
      </w:tc>
      <w:tc>
        <w:tcPr>
          <w:tcW w:type="dxa" w:w="2376"/>
          <w:vMerge/>
          <w:vAlign w:val="center"/>
        </w:tcPr>
        <w:p w:rsidP="00300531" w:rsidR="00300531" w:rsidRDefault="00300531" w:rsidRPr="00300531">
          <w:pPr>
            <w:tabs>
              <w:tab w:pos="4536" w:val="center"/>
              <w:tab w:pos="9072" w:val="right"/>
            </w:tabs>
            <w:spacing w:after="0" w:line="240" w:lineRule="auto"/>
            <w:ind w:right="-87"/>
            <w:jc w:val="center"/>
            <w:rPr>
              <w:rFonts w:ascii="Calibri" w:cs="Times New Roman" w:eastAsia="Times New Roman" w:hAnsi="Calibri"/>
              <w:b/>
              <w:lang w:eastAsia="fr-FR"/>
            </w:rPr>
          </w:pPr>
        </w:p>
      </w:tc>
      <w:tc>
        <w:tcPr>
          <w:tcW w:type="dxa" w:w="2600"/>
          <w:vMerge/>
          <w:vAlign w:val="center"/>
        </w:tcPr>
        <w:p w:rsidP="00300531" w:rsidR="00300531" w:rsidRDefault="00300531" w:rsidRPr="00300531">
          <w:pPr>
            <w:tabs>
              <w:tab w:pos="4536" w:val="center"/>
              <w:tab w:pos="9072" w:val="right"/>
            </w:tabs>
            <w:spacing w:after="0" w:line="240" w:lineRule="auto"/>
            <w:ind w:right="-87"/>
            <w:jc w:val="center"/>
            <w:rPr>
              <w:rFonts w:ascii="Calibri" w:cs="Times New Roman" w:eastAsia="Times New Roman" w:hAnsi="Calibri"/>
              <w:sz w:val="24"/>
              <w:szCs w:val="24"/>
              <w:lang w:eastAsia="fr-FR"/>
            </w:rPr>
          </w:pPr>
        </w:p>
      </w:tc>
      <w:tc>
        <w:tcPr>
          <w:tcW w:type="dxa" w:w="1913"/>
          <w:vAlign w:val="center"/>
        </w:tcPr>
        <w:p w:rsidP="00300531" w:rsidR="00300531" w:rsidRDefault="00300531" w:rsidRPr="00300531">
          <w:pPr>
            <w:tabs>
              <w:tab w:pos="4536" w:val="center"/>
              <w:tab w:pos="9072" w:val="right"/>
            </w:tabs>
            <w:spacing w:after="0" w:line="240" w:lineRule="auto"/>
            <w:ind w:right="-87"/>
            <w:jc w:val="center"/>
            <w:rPr>
              <w:rFonts w:ascii="Calibri" w:cs="Times New Roman" w:eastAsia="Times New Roman" w:hAnsi="Calibri"/>
              <w:b/>
              <w:lang w:eastAsia="fr-FR"/>
            </w:rPr>
          </w:pPr>
          <w:r w:rsidRPr="00300531">
            <w:rPr>
              <w:rFonts w:ascii="Calibri" w:cs="Times New Roman" w:eastAsia="Times New Roman" w:hAnsi="Calibri"/>
              <w:b/>
              <w:lang w:eastAsia="fr-FR"/>
            </w:rPr>
            <w:t>Date d’application</w:t>
          </w:r>
        </w:p>
      </w:tc>
      <w:tc>
        <w:tcPr>
          <w:tcW w:type="dxa" w:w="1368"/>
          <w:vAlign w:val="center"/>
        </w:tcPr>
        <w:p w:rsidP="00300531" w:rsidR="00300531" w:rsidRDefault="00300531" w:rsidRPr="00300531">
          <w:pPr>
            <w:tabs>
              <w:tab w:pos="4536" w:val="center"/>
              <w:tab w:pos="9072" w:val="right"/>
            </w:tabs>
            <w:spacing w:after="0" w:line="240" w:lineRule="auto"/>
            <w:ind w:left="-98" w:right="-87"/>
            <w:jc w:val="center"/>
            <w:rPr>
              <w:rFonts w:ascii="Calibri" w:cs="Times New Roman" w:eastAsia="Times New Roman" w:hAnsi="Calibri"/>
              <w:lang w:eastAsia="fr-FR"/>
            </w:rPr>
          </w:pPr>
          <w:r w:rsidRPr="00300531">
            <w:rPr>
              <w:rFonts w:ascii="Calibri" w:cs="Times New Roman" w:eastAsia="Times New Roman" w:hAnsi="Calibri"/>
              <w:lang w:eastAsia="fr-FR"/>
            </w:rPr>
            <w:t>Page</w:t>
          </w:r>
        </w:p>
      </w:tc>
    </w:tr>
    <w:tr w:rsidR="00300531" w:rsidRPr="00300531" w:rsidTr="00E16747">
      <w:trPr>
        <w:trHeight w:val="297"/>
      </w:trPr>
      <w:tc>
        <w:tcPr>
          <w:tcW w:type="dxa" w:w="2091"/>
          <w:vMerge/>
        </w:tcPr>
        <w:p w:rsidP="00300531" w:rsidR="00300531" w:rsidRDefault="00300531" w:rsidRPr="00300531">
          <w:pPr>
            <w:tabs>
              <w:tab w:pos="4536" w:val="center"/>
              <w:tab w:pos="9072" w:val="right"/>
            </w:tabs>
            <w:spacing w:after="0" w:line="240" w:lineRule="auto"/>
            <w:ind w:right="-87"/>
            <w:jc w:val="both"/>
            <w:rPr>
              <w:rFonts w:ascii="Calibri" w:cs="Times New Roman" w:eastAsia="Times New Roman" w:hAnsi="Calibri"/>
              <w:sz w:val="20"/>
              <w:szCs w:val="20"/>
              <w:lang w:eastAsia="fr-FR"/>
            </w:rPr>
          </w:pPr>
        </w:p>
      </w:tc>
      <w:tc>
        <w:tcPr>
          <w:tcW w:type="dxa" w:w="2376"/>
          <w:vMerge/>
          <w:vAlign w:val="center"/>
        </w:tcPr>
        <w:p w:rsidP="00300531" w:rsidR="00300531" w:rsidRDefault="00300531" w:rsidRPr="00300531">
          <w:pPr>
            <w:tabs>
              <w:tab w:pos="4536" w:val="center"/>
              <w:tab w:pos="9072" w:val="right"/>
            </w:tabs>
            <w:spacing w:after="0" w:line="240" w:lineRule="auto"/>
            <w:ind w:right="-87"/>
            <w:jc w:val="center"/>
            <w:rPr>
              <w:rFonts w:ascii="Calibri" w:cs="Times New Roman" w:eastAsia="Times New Roman" w:hAnsi="Calibri"/>
              <w:sz w:val="20"/>
              <w:szCs w:val="20"/>
              <w:lang w:eastAsia="fr-FR"/>
            </w:rPr>
          </w:pPr>
        </w:p>
      </w:tc>
      <w:tc>
        <w:tcPr>
          <w:tcW w:type="dxa" w:w="2600"/>
          <w:vMerge/>
          <w:vAlign w:val="center"/>
        </w:tcPr>
        <w:p w:rsidP="00300531" w:rsidR="00300531" w:rsidRDefault="00300531" w:rsidRPr="00300531">
          <w:pPr>
            <w:tabs>
              <w:tab w:pos="4536" w:val="center"/>
              <w:tab w:pos="9072" w:val="right"/>
            </w:tabs>
            <w:spacing w:after="0" w:line="240" w:lineRule="auto"/>
            <w:ind w:right="-87"/>
            <w:jc w:val="center"/>
            <w:rPr>
              <w:rFonts w:ascii="Calibri" w:cs="Times New Roman" w:eastAsia="Times New Roman" w:hAnsi="Calibri"/>
              <w:sz w:val="20"/>
              <w:szCs w:val="20"/>
              <w:lang w:eastAsia="fr-FR"/>
            </w:rPr>
          </w:pPr>
        </w:p>
      </w:tc>
      <w:tc>
        <w:tcPr>
          <w:tcW w:type="dxa" w:w="1913"/>
          <w:vAlign w:val="center"/>
        </w:tcPr>
        <w:p w:rsidP="00300531" w:rsidR="00300531" w:rsidRDefault="00833567" w:rsidRPr="00300531">
          <w:pPr>
            <w:tabs>
              <w:tab w:pos="4536" w:val="center"/>
              <w:tab w:pos="9072" w:val="right"/>
            </w:tabs>
            <w:spacing w:after="0" w:line="240" w:lineRule="auto"/>
            <w:ind w:right="-87"/>
            <w:jc w:val="center"/>
            <w:rPr>
              <w:rFonts w:ascii="Calibri" w:cs="Times New Roman" w:eastAsia="Times New Roman" w:hAnsi="Calibri"/>
              <w:sz w:val="20"/>
              <w:szCs w:val="20"/>
              <w:lang w:eastAsia="fr-FR"/>
            </w:rPr>
          </w:pPr>
          <w:r>
            <w:rPr>
              <w:rFonts w:ascii="Calibri" w:cs="Times New Roman" w:eastAsia="Times New Roman" w:hAnsi="Calibri"/>
              <w:sz w:val="20"/>
              <w:szCs w:val="20"/>
              <w:lang w:eastAsia="fr-FR"/>
            </w:rPr>
            <w:t>18/10/2022</w:t>
          </w:r>
        </w:p>
      </w:tc>
      <w:tc>
        <w:tcPr>
          <w:tcW w:type="dxa" w:w="1368"/>
          <w:vAlign w:val="center"/>
        </w:tcPr>
        <w:p w:rsidP="00300531" w:rsidR="00300531" w:rsidRDefault="00300531" w:rsidRPr="00300531">
          <w:pPr>
            <w:tabs>
              <w:tab w:pos="4536" w:val="center"/>
              <w:tab w:pos="9072" w:val="right"/>
            </w:tabs>
            <w:spacing w:after="0" w:line="240" w:lineRule="auto"/>
            <w:ind w:left="-98" w:right="-87"/>
            <w:jc w:val="center"/>
            <w:rPr>
              <w:rFonts w:ascii="Calibri" w:cs="Times New Roman" w:eastAsia="Times New Roman" w:hAnsi="Calibri"/>
              <w:lang w:eastAsia="fr-FR"/>
            </w:rPr>
          </w:pPr>
          <w:r w:rsidRPr="00300531">
            <w:rPr>
              <w:rFonts w:ascii="Calibri" w:cs="Times New Roman" w:eastAsia="Times New Roman" w:hAnsi="Calibri"/>
              <w:lang w:eastAsia="fr-FR"/>
            </w:rPr>
            <w:fldChar w:fldCharType="begin"/>
          </w:r>
          <w:r w:rsidRPr="00300531">
            <w:rPr>
              <w:rFonts w:ascii="Calibri" w:cs="Times New Roman" w:eastAsia="Times New Roman" w:hAnsi="Calibri"/>
              <w:lang w:eastAsia="fr-FR"/>
            </w:rPr>
            <w:instrText xml:space="preserve"> PAGE   \* MERGEFORMAT </w:instrText>
          </w:r>
          <w:r w:rsidRPr="00300531">
            <w:rPr>
              <w:rFonts w:ascii="Calibri" w:cs="Times New Roman" w:eastAsia="Times New Roman" w:hAnsi="Calibri"/>
              <w:lang w:eastAsia="fr-FR"/>
            </w:rPr>
            <w:fldChar w:fldCharType="separate"/>
          </w:r>
          <w:r w:rsidR="006757D8">
            <w:rPr>
              <w:rFonts w:ascii="Calibri" w:cs="Times New Roman" w:eastAsia="Times New Roman" w:hAnsi="Calibri"/>
              <w:noProof/>
              <w:lang w:eastAsia="fr-FR"/>
            </w:rPr>
            <w:t>2</w:t>
          </w:r>
          <w:r w:rsidRPr="00300531">
            <w:rPr>
              <w:rFonts w:ascii="Calibri" w:cs="Times New Roman" w:eastAsia="Times New Roman" w:hAnsi="Calibri"/>
              <w:lang w:eastAsia="fr-FR"/>
            </w:rPr>
            <w:fldChar w:fldCharType="end"/>
          </w:r>
          <w:r w:rsidRPr="00300531">
            <w:rPr>
              <w:rFonts w:ascii="Calibri" w:cs="Times New Roman" w:eastAsia="Times New Roman" w:hAnsi="Calibri"/>
              <w:lang w:eastAsia="fr-FR"/>
            </w:rPr>
            <w:t>/</w:t>
          </w:r>
          <w:r w:rsidRPr="00300531">
            <w:rPr>
              <w:rFonts w:ascii="Calibri" w:cs="Times New Roman" w:eastAsia="Times New Roman" w:hAnsi="Calibri"/>
              <w:lang w:eastAsia="fr-FR"/>
            </w:rPr>
            <w:fldChar w:fldCharType="begin"/>
          </w:r>
          <w:r w:rsidRPr="00300531">
            <w:rPr>
              <w:rFonts w:ascii="Calibri" w:cs="Times New Roman" w:eastAsia="Times New Roman" w:hAnsi="Calibri"/>
              <w:lang w:eastAsia="fr-FR"/>
            </w:rPr>
            <w:instrText xml:space="preserve"> NUMPAGES  \* Arabic  \* MERGEFORMAT </w:instrText>
          </w:r>
          <w:r w:rsidRPr="00300531">
            <w:rPr>
              <w:rFonts w:ascii="Calibri" w:cs="Times New Roman" w:eastAsia="Times New Roman" w:hAnsi="Calibri"/>
              <w:lang w:eastAsia="fr-FR"/>
            </w:rPr>
            <w:fldChar w:fldCharType="separate"/>
          </w:r>
          <w:r w:rsidR="006757D8">
            <w:rPr>
              <w:rFonts w:ascii="Calibri" w:cs="Times New Roman" w:eastAsia="Times New Roman" w:hAnsi="Calibri"/>
              <w:noProof/>
              <w:lang w:eastAsia="fr-FR"/>
            </w:rPr>
            <w:t>3</w:t>
          </w:r>
          <w:r w:rsidRPr="00300531">
            <w:rPr>
              <w:rFonts w:ascii="Calibri" w:cs="Times New Roman" w:eastAsia="Times New Roman" w:hAnsi="Calibri"/>
              <w:lang w:eastAsia="fr-FR"/>
            </w:rPr>
            <w:fldChar w:fldCharType="end"/>
          </w:r>
        </w:p>
      </w:tc>
    </w:tr>
  </w:tbl>
  <w:p w:rsidR="00E80D06" w:rsidRDefault="00E80D06">
    <w:pPr>
      <w:pStyle w:val="En-tte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7D66AA"/>
    <w:multiLevelType w:val="multilevel"/>
    <w:tmpl w:val="CEFA063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">
    <w:nsid w:val="0AF517A0"/>
    <w:multiLevelType w:val="multilevel"/>
    <w:tmpl w:val="2CFE5D4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">
    <w:nsid w:val="15BA47E6"/>
    <w:multiLevelType w:val="hybridMultilevel"/>
    <w:tmpl w:val="6380A576"/>
    <w:lvl w:ilvl="0" w:tplc="650ACA9C">
      <w:start w:val="1"/>
      <w:numFmt w:val="decimal"/>
      <w:lvlText w:val="%1."/>
      <w:lvlJc w:val="left"/>
      <w:pPr>
        <w:ind w:hanging="360" w:left="90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620"/>
      </w:pPr>
    </w:lvl>
    <w:lvl w:ilvl="2" w:tentative="1" w:tplc="040C001B">
      <w:start w:val="1"/>
      <w:numFmt w:val="lowerRoman"/>
      <w:lvlText w:val="%3."/>
      <w:lvlJc w:val="right"/>
      <w:pPr>
        <w:ind w:hanging="180" w:left="2340"/>
      </w:pPr>
    </w:lvl>
    <w:lvl w:ilvl="3" w:tentative="1" w:tplc="040C000F">
      <w:start w:val="1"/>
      <w:numFmt w:val="decimal"/>
      <w:lvlText w:val="%4."/>
      <w:lvlJc w:val="left"/>
      <w:pPr>
        <w:ind w:hanging="360" w:left="3060"/>
      </w:pPr>
    </w:lvl>
    <w:lvl w:ilvl="4" w:tentative="1" w:tplc="040C0019">
      <w:start w:val="1"/>
      <w:numFmt w:val="lowerLetter"/>
      <w:lvlText w:val="%5."/>
      <w:lvlJc w:val="left"/>
      <w:pPr>
        <w:ind w:hanging="360" w:left="3780"/>
      </w:pPr>
    </w:lvl>
    <w:lvl w:ilvl="5" w:tentative="1" w:tplc="040C001B">
      <w:start w:val="1"/>
      <w:numFmt w:val="lowerRoman"/>
      <w:lvlText w:val="%6."/>
      <w:lvlJc w:val="right"/>
      <w:pPr>
        <w:ind w:hanging="180" w:left="4500"/>
      </w:pPr>
    </w:lvl>
    <w:lvl w:ilvl="6" w:tentative="1" w:tplc="040C000F">
      <w:start w:val="1"/>
      <w:numFmt w:val="decimal"/>
      <w:lvlText w:val="%7."/>
      <w:lvlJc w:val="left"/>
      <w:pPr>
        <w:ind w:hanging="360" w:left="5220"/>
      </w:pPr>
    </w:lvl>
    <w:lvl w:ilvl="7" w:tentative="1" w:tplc="040C0019">
      <w:start w:val="1"/>
      <w:numFmt w:val="lowerLetter"/>
      <w:lvlText w:val="%8."/>
      <w:lvlJc w:val="left"/>
      <w:pPr>
        <w:ind w:hanging="360" w:left="5940"/>
      </w:pPr>
    </w:lvl>
    <w:lvl w:ilvl="8" w:tentative="1" w:tplc="040C001B">
      <w:start w:val="1"/>
      <w:numFmt w:val="lowerRoman"/>
      <w:lvlText w:val="%9."/>
      <w:lvlJc w:val="right"/>
      <w:pPr>
        <w:ind w:hanging="180" w:left="6660"/>
      </w:pPr>
    </w:lvl>
  </w:abstractNum>
  <w:abstractNum w15:restartNumberingAfterBreak="0" w:abstractNumId="3">
    <w:nsid w:val="1B48535F"/>
    <w:multiLevelType w:val="hybridMultilevel"/>
    <w:tmpl w:val="CF605262"/>
    <w:lvl w:ilvl="0" w:tplc="C158DEE0">
      <w:start w:val="2"/>
      <w:numFmt w:val="bullet"/>
      <w:lvlText w:val=""/>
      <w:lvlJc w:val="left"/>
      <w:pPr>
        <w:ind w:hanging="360" w:left="1080"/>
      </w:pPr>
      <w:rPr>
        <w:rFonts w:ascii="Symbol" w:cs="Arial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42D16E5"/>
    <w:multiLevelType w:val="multilevel"/>
    <w:tmpl w:val="166A63D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5">
    <w:nsid w:val="2F17422D"/>
    <w:multiLevelType w:val="multilevel"/>
    <w:tmpl w:val="F46A13D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6">
    <w:nsid w:val="2F760549"/>
    <w:multiLevelType w:val="hybridMultilevel"/>
    <w:tmpl w:val="6AFCDA90"/>
    <w:lvl w:ilvl="0" w:tplc="7CC877B2">
      <w:numFmt w:val="bullet"/>
      <w:lvlText w:val=""/>
      <w:lvlJc w:val="left"/>
      <w:pPr>
        <w:ind w:hanging="360" w:left="720"/>
      </w:pPr>
      <w:rPr>
        <w:rFonts w:ascii="Wingdings" w:cs="Arial" w:eastAsiaTheme="minorHAns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3F162B7"/>
    <w:multiLevelType w:val="hybridMultilevel"/>
    <w:tmpl w:val="63AAEF40"/>
    <w:lvl w:ilvl="0" w:tplc="10002EA8">
      <w:start w:val="1"/>
      <w:numFmt w:val="decimal"/>
      <w:lvlText w:val="%1."/>
      <w:lvlJc w:val="left"/>
      <w:pPr>
        <w:ind w:hanging="360" w:left="720"/>
      </w:pPr>
      <w:rPr>
        <w:rFonts w:hint="default"/>
        <w:b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38F97731"/>
    <w:multiLevelType w:val="multilevel"/>
    <w:tmpl w:val="E918D3F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9">
    <w:nsid w:val="3C362109"/>
    <w:multiLevelType w:val="multilevel"/>
    <w:tmpl w:val="3ED0463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0">
    <w:nsid w:val="44B21A9F"/>
    <w:multiLevelType w:val="hybridMultilevel"/>
    <w:tmpl w:val="C652B55C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45063A70"/>
    <w:multiLevelType w:val="hybridMultilevel"/>
    <w:tmpl w:val="E3329862"/>
    <w:lvl w:ilvl="0" w:tplc="3CB65CC2">
      <w:start w:val="1"/>
      <w:numFmt w:val="bullet"/>
      <w:lvlText w:val=""/>
      <w:lvlJc w:val="left"/>
      <w:pPr>
        <w:ind w:hanging="360" w:left="720"/>
      </w:pPr>
      <w:rPr>
        <w:rFonts w:ascii="Symbol" w:cs="Arial" w:eastAsiaTheme="minorHAnsi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6643456"/>
    <w:multiLevelType w:val="multilevel"/>
    <w:tmpl w:val="E8C2EFC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3">
    <w:nsid w:val="528330AC"/>
    <w:multiLevelType w:val="hybridMultilevel"/>
    <w:tmpl w:val="7D547294"/>
    <w:lvl w:ilvl="0" w:tplc="985CAA30">
      <w:start w:val="2"/>
      <w:numFmt w:val="bullet"/>
      <w:lvlText w:val=""/>
      <w:lvlJc w:val="left"/>
      <w:pPr>
        <w:ind w:hanging="360" w:left="720"/>
      </w:pPr>
      <w:rPr>
        <w:rFonts w:ascii="Symbol" w:cs="Arial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60FA2A44"/>
    <w:multiLevelType w:val="multilevel"/>
    <w:tmpl w:val="7886521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5">
    <w:nsid w:val="61FC44A7"/>
    <w:multiLevelType w:val="hybridMultilevel"/>
    <w:tmpl w:val="6F4E9FB2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64027CE0"/>
    <w:multiLevelType w:val="multilevel"/>
    <w:tmpl w:val="C324F2A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7">
    <w:nsid w:val="65AB20BA"/>
    <w:multiLevelType w:val="multilevel"/>
    <w:tmpl w:val="7F16F4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8">
    <w:nsid w:val="681D6424"/>
    <w:multiLevelType w:val="hybridMultilevel"/>
    <w:tmpl w:val="93E2A8E8"/>
    <w:lvl w:ilvl="0" w:tplc="9412E4C8">
      <w:start w:val="10"/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6B59068B"/>
    <w:multiLevelType w:val="hybridMultilevel"/>
    <w:tmpl w:val="2FF8CDEE"/>
    <w:lvl w:ilvl="0" w:tplc="67DCD9E2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6DF81913"/>
    <w:multiLevelType w:val="hybridMultilevel"/>
    <w:tmpl w:val="A35EE5A4"/>
    <w:lvl w:ilvl="0" w:tplc="3D987E4C">
      <w:numFmt w:val="bullet"/>
      <w:lvlText w:val=""/>
      <w:lvlJc w:val="left"/>
      <w:pPr>
        <w:ind w:hanging="360" w:left="720"/>
      </w:pPr>
      <w:rPr>
        <w:rFonts w:ascii="Symbol" w:cs="Arial" w:eastAsiaTheme="minorHAnsi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709C6DA8"/>
    <w:multiLevelType w:val="hybridMultilevel"/>
    <w:tmpl w:val="16E6B6B0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2">
    <w:nsid w:val="7C6B7549"/>
    <w:multiLevelType w:val="multilevel"/>
    <w:tmpl w:val="76E0F29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3">
    <w:nsid w:val="7E8B74B3"/>
    <w:multiLevelType w:val="multilevel"/>
    <w:tmpl w:val="AFDACF90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6"/>
  </w:num>
  <w:num w:numId="5">
    <w:abstractNumId w:val="12"/>
    <w:lvlOverride w:ilvl="0">
      <w:startOverride w:val="1"/>
    </w:lvlOverride>
  </w:num>
  <w:num w:numId="6">
    <w:abstractNumId w:val="14"/>
    <w:lvlOverride w:ilvl="0">
      <w:startOverride w:val="2"/>
    </w:lvlOverride>
  </w:num>
  <w:num w:numId="7">
    <w:abstractNumId w:val="17"/>
    <w:lvlOverride w:ilvl="0">
      <w:startOverride w:val="3"/>
    </w:lvlOverride>
  </w:num>
  <w:num w:numId="8">
    <w:abstractNumId w:val="22"/>
    <w:lvlOverride w:ilvl="0">
      <w:startOverride w:val="4"/>
    </w:lvlOverride>
  </w:num>
  <w:num w:numId="9">
    <w:abstractNumId w:val="5"/>
    <w:lvlOverride w:ilvl="0">
      <w:startOverride w:val="5"/>
    </w:lvlOverride>
  </w:num>
  <w:num w:numId="10">
    <w:abstractNumId w:val="1"/>
    <w:lvlOverride w:ilvl="0">
      <w:startOverride w:val="6"/>
    </w:lvlOverride>
  </w:num>
  <w:num w:numId="11">
    <w:abstractNumId w:val="0"/>
    <w:lvlOverride w:ilvl="0">
      <w:startOverride w:val="7"/>
    </w:lvlOverride>
  </w:num>
  <w:num w:numId="12">
    <w:abstractNumId w:val="8"/>
    <w:lvlOverride w:ilvl="0">
      <w:startOverride w:val="8"/>
    </w:lvlOverride>
  </w:num>
  <w:num w:numId="13">
    <w:abstractNumId w:val="4"/>
    <w:lvlOverride w:ilvl="0">
      <w:startOverride w:val="9"/>
    </w:lvlOverride>
  </w:num>
  <w:num w:numId="14">
    <w:abstractNumId w:val="16"/>
    <w:lvlOverride w:ilvl="0">
      <w:startOverride w:val="10"/>
    </w:lvlOverride>
  </w:num>
  <w:num w:numId="15">
    <w:abstractNumId w:val="9"/>
    <w:lvlOverride w:ilvl="0">
      <w:startOverride w:val="11"/>
    </w:lvlOverride>
  </w:num>
  <w:num w:numId="16">
    <w:abstractNumId w:val="18"/>
  </w:num>
  <w:num w:numId="17">
    <w:abstractNumId w:val="10"/>
  </w:num>
  <w:num w:numId="18">
    <w:abstractNumId w:val="2"/>
  </w:num>
  <w:num w:numId="19">
    <w:abstractNumId w:val="15"/>
  </w:num>
  <w:num w:numId="20">
    <w:abstractNumId w:val="11"/>
  </w:num>
  <w:num w:numId="21">
    <w:abstractNumId w:val="20"/>
  </w:num>
  <w:num w:numId="22">
    <w:abstractNumId w:val="7"/>
  </w:num>
  <w:num w:numId="23">
    <w:abstractNumId w:val="13"/>
  </w:num>
  <w:num w:numId="24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46"/>
    <w:rsid w:val="0001179A"/>
    <w:rsid w:val="00026C0D"/>
    <w:rsid w:val="000400C9"/>
    <w:rsid w:val="0004271B"/>
    <w:rsid w:val="00096DA0"/>
    <w:rsid w:val="00105EAF"/>
    <w:rsid w:val="00142B3B"/>
    <w:rsid w:val="00164AB8"/>
    <w:rsid w:val="001B240B"/>
    <w:rsid w:val="001D6DC1"/>
    <w:rsid w:val="001E6615"/>
    <w:rsid w:val="00200E6F"/>
    <w:rsid w:val="00206E4F"/>
    <w:rsid w:val="00220268"/>
    <w:rsid w:val="0022185A"/>
    <w:rsid w:val="00261752"/>
    <w:rsid w:val="00272D93"/>
    <w:rsid w:val="002E099C"/>
    <w:rsid w:val="002E6B82"/>
    <w:rsid w:val="002F6D77"/>
    <w:rsid w:val="00300531"/>
    <w:rsid w:val="00325FEE"/>
    <w:rsid w:val="00337F71"/>
    <w:rsid w:val="003409A8"/>
    <w:rsid w:val="00341A85"/>
    <w:rsid w:val="00395DD7"/>
    <w:rsid w:val="003A1AC3"/>
    <w:rsid w:val="003B4178"/>
    <w:rsid w:val="003B7566"/>
    <w:rsid w:val="003C7F27"/>
    <w:rsid w:val="004121D2"/>
    <w:rsid w:val="00421A8C"/>
    <w:rsid w:val="00423E4B"/>
    <w:rsid w:val="004416FD"/>
    <w:rsid w:val="004632AC"/>
    <w:rsid w:val="0048741D"/>
    <w:rsid w:val="004B321F"/>
    <w:rsid w:val="004C1FCD"/>
    <w:rsid w:val="004D0ECF"/>
    <w:rsid w:val="004E616A"/>
    <w:rsid w:val="004F2991"/>
    <w:rsid w:val="00505DE8"/>
    <w:rsid w:val="005202B4"/>
    <w:rsid w:val="00523FAC"/>
    <w:rsid w:val="0052514A"/>
    <w:rsid w:val="005260EA"/>
    <w:rsid w:val="00526154"/>
    <w:rsid w:val="005339EC"/>
    <w:rsid w:val="00536B28"/>
    <w:rsid w:val="005549B6"/>
    <w:rsid w:val="005603EE"/>
    <w:rsid w:val="005822F9"/>
    <w:rsid w:val="005B3A3C"/>
    <w:rsid w:val="005B4352"/>
    <w:rsid w:val="005C4A8D"/>
    <w:rsid w:val="005D5896"/>
    <w:rsid w:val="005D62F3"/>
    <w:rsid w:val="005E1B83"/>
    <w:rsid w:val="005E6005"/>
    <w:rsid w:val="005F41FB"/>
    <w:rsid w:val="00611CB8"/>
    <w:rsid w:val="00620B23"/>
    <w:rsid w:val="00630308"/>
    <w:rsid w:val="0063115F"/>
    <w:rsid w:val="00634E1C"/>
    <w:rsid w:val="006628B8"/>
    <w:rsid w:val="006757D8"/>
    <w:rsid w:val="00680DC5"/>
    <w:rsid w:val="006869C1"/>
    <w:rsid w:val="006A085E"/>
    <w:rsid w:val="006B1AC5"/>
    <w:rsid w:val="006D1C94"/>
    <w:rsid w:val="006E3B69"/>
    <w:rsid w:val="006F3466"/>
    <w:rsid w:val="007846EF"/>
    <w:rsid w:val="00795DF5"/>
    <w:rsid w:val="007C0918"/>
    <w:rsid w:val="007C1810"/>
    <w:rsid w:val="007F73FB"/>
    <w:rsid w:val="0083165E"/>
    <w:rsid w:val="00833567"/>
    <w:rsid w:val="00864F79"/>
    <w:rsid w:val="00866771"/>
    <w:rsid w:val="0088110B"/>
    <w:rsid w:val="00883883"/>
    <w:rsid w:val="008A1BA5"/>
    <w:rsid w:val="008B11AA"/>
    <w:rsid w:val="008B7286"/>
    <w:rsid w:val="00901365"/>
    <w:rsid w:val="00907D7B"/>
    <w:rsid w:val="009100F3"/>
    <w:rsid w:val="009167FF"/>
    <w:rsid w:val="00945221"/>
    <w:rsid w:val="0094778D"/>
    <w:rsid w:val="00965C91"/>
    <w:rsid w:val="00970B39"/>
    <w:rsid w:val="009966A7"/>
    <w:rsid w:val="009A3546"/>
    <w:rsid w:val="009B072E"/>
    <w:rsid w:val="009D087F"/>
    <w:rsid w:val="009D6433"/>
    <w:rsid w:val="00A01AAA"/>
    <w:rsid w:val="00A410A9"/>
    <w:rsid w:val="00A51A05"/>
    <w:rsid w:val="00A53F8A"/>
    <w:rsid w:val="00A61057"/>
    <w:rsid w:val="00A66FAE"/>
    <w:rsid w:val="00A71E6D"/>
    <w:rsid w:val="00A87147"/>
    <w:rsid w:val="00A91104"/>
    <w:rsid w:val="00A91852"/>
    <w:rsid w:val="00AD0C2D"/>
    <w:rsid w:val="00AD1F36"/>
    <w:rsid w:val="00B43A14"/>
    <w:rsid w:val="00B97F86"/>
    <w:rsid w:val="00BC443E"/>
    <w:rsid w:val="00BD3882"/>
    <w:rsid w:val="00BD4AAE"/>
    <w:rsid w:val="00BE2D29"/>
    <w:rsid w:val="00BF0F16"/>
    <w:rsid w:val="00BF4920"/>
    <w:rsid w:val="00C31FF4"/>
    <w:rsid w:val="00C614A1"/>
    <w:rsid w:val="00C76860"/>
    <w:rsid w:val="00C866BC"/>
    <w:rsid w:val="00C87B46"/>
    <w:rsid w:val="00CB14DC"/>
    <w:rsid w:val="00CC2396"/>
    <w:rsid w:val="00CE6131"/>
    <w:rsid w:val="00CF7BBD"/>
    <w:rsid w:val="00D0312A"/>
    <w:rsid w:val="00D13C4B"/>
    <w:rsid w:val="00D75658"/>
    <w:rsid w:val="00D764FE"/>
    <w:rsid w:val="00E03C97"/>
    <w:rsid w:val="00E16747"/>
    <w:rsid w:val="00E30E88"/>
    <w:rsid w:val="00E463ED"/>
    <w:rsid w:val="00E504D7"/>
    <w:rsid w:val="00E6594F"/>
    <w:rsid w:val="00E66D2D"/>
    <w:rsid w:val="00E80D06"/>
    <w:rsid w:val="00ED64B8"/>
    <w:rsid w:val="00EE6E15"/>
    <w:rsid w:val="00EE723E"/>
    <w:rsid w:val="00F010E5"/>
    <w:rsid w:val="00F2146E"/>
    <w:rsid w:val="00F229A1"/>
    <w:rsid w:val="00F47C44"/>
    <w:rsid w:val="00F57695"/>
    <w:rsid w:val="00F93175"/>
    <w:rsid w:val="00FA493E"/>
    <w:rsid w:val="00FB2D2E"/>
    <w:rsid w:val="00FD387B"/>
    <w:rsid w:val="00F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4:docId w14:val="487DC0D8"/>
  <w15:docId w15:val="{50BEA08B-F7D6-4DB4-80A2-41707353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80D0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80D06"/>
  </w:style>
  <w:style w:styleId="Pieddepage" w:type="paragraph">
    <w:name w:val="footer"/>
    <w:basedOn w:val="Normal"/>
    <w:link w:val="PieddepageCar"/>
    <w:uiPriority w:val="99"/>
    <w:unhideWhenUsed/>
    <w:rsid w:val="00E80D0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80D06"/>
  </w:style>
  <w:style w:styleId="Paragraphedeliste" w:type="paragraph">
    <w:name w:val="List Paragraph"/>
    <w:basedOn w:val="Normal"/>
    <w:uiPriority w:val="34"/>
    <w:qFormat/>
    <w:rsid w:val="00A91852"/>
    <w:pPr>
      <w:ind w:left="720"/>
      <w:contextualSpacing/>
    </w:pPr>
  </w:style>
  <w:style w:styleId="Marquedecommentaire" w:type="character">
    <w:name w:val="annotation reference"/>
    <w:basedOn w:val="Policepardfaut"/>
    <w:uiPriority w:val="99"/>
    <w:semiHidden/>
    <w:unhideWhenUsed/>
    <w:rsid w:val="00AD1F36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AD1F36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AD1F36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AD1F36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AD1F36"/>
    <w:rPr>
      <w:b/>
      <w:bCs/>
      <w:sz w:val="20"/>
      <w:szCs w:val="20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AD1F3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AD1F36"/>
    <w:rPr>
      <w:rFonts w:ascii="Tahoma" w:cs="Tahoma" w:hAnsi="Tahoma"/>
      <w:sz w:val="16"/>
      <w:szCs w:val="16"/>
    </w:rPr>
  </w:style>
  <w:style w:styleId="NormalWeb" w:type="paragraph">
    <w:name w:val="Normal (Web)"/>
    <w:basedOn w:val="Normal"/>
    <w:uiPriority w:val="99"/>
    <w:semiHidden/>
    <w:unhideWhenUsed/>
    <w:rsid w:val="00272D9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5D2BC-0F11-45A8-9253-74B147BE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733</Words>
  <Characters>4035</Characters>
  <Application>Microsoft Office Word</Application>
  <DocSecurity>4</DocSecurity>
  <Lines>33</Lines>
  <Paragraphs>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DERET Logistique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2023-02-10T09:39:00Z</dcterms:created>
  <cp:lastPrinted>2022-10-18T14:06:00Z</cp:lastPrinted>
  <dcterms:modified xsi:type="dcterms:W3CDTF">2023-02-10T09:39:00Z</dcterms:modified>
  <cp:revision>2</cp:revision>
</cp:coreProperties>
</file>