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6C3B1CC" w14:textId="7EE57571" w:rsidP="00692381" w:rsidR="00692381" w:rsidRDefault="00692381" w:rsidRPr="00995B3F">
      <w:pPr>
        <w:pStyle w:val="Titre"/>
        <w:pBdr>
          <w:top w:color="auto" w:space="1" w:sz="4" w:val="single"/>
          <w:left w:color="auto" w:space="4" w:sz="4" w:val="single"/>
          <w:bottom w:color="auto" w:space="1" w:sz="4" w:val="single"/>
          <w:right w:color="auto" w:space="4" w:sz="4" w:val="single"/>
        </w:pBdr>
        <w:shd w:color="auto" w:fill="D9E2F3" w:themeFill="accent1" w:themeFillTint="33" w:val="clear"/>
        <w:jc w:val="center"/>
        <w:rPr>
          <w:rFonts w:asciiTheme="minorHAnsi" w:cstheme="minorHAnsi" w:hAnsiTheme="minorHAnsi"/>
          <w:b/>
          <w:bCs/>
          <w:sz w:val="50"/>
          <w:szCs w:val="50"/>
        </w:rPr>
      </w:pPr>
      <w:r w:rsidRPr="00995B3F">
        <w:rPr>
          <w:rFonts w:asciiTheme="minorHAnsi" w:cstheme="minorHAnsi" w:hAnsiTheme="minorHAnsi"/>
          <w:b/>
          <w:bCs/>
          <w:sz w:val="50"/>
          <w:szCs w:val="50"/>
        </w:rPr>
        <w:t xml:space="preserve">ACCORD </w:t>
      </w:r>
      <w:r>
        <w:rPr>
          <w:rFonts w:asciiTheme="minorHAnsi" w:cstheme="minorHAnsi" w:hAnsiTheme="minorHAnsi"/>
          <w:b/>
          <w:bCs/>
          <w:sz w:val="50"/>
          <w:szCs w:val="50"/>
        </w:rPr>
        <w:t>NAO</w:t>
      </w:r>
    </w:p>
    <w:p w14:paraId="4F5DCB4D" w14:textId="77777777" w:rsidP="00692381" w:rsidR="00692381" w:rsidRDefault="00692381"/>
    <w:p w14:paraId="5C4D219D" w14:textId="77777777" w:rsidP="00692381" w:rsidR="00692381" w:rsidRDefault="00692381">
      <w:r>
        <w:t xml:space="preserve">Le présent accord est conclu </w:t>
      </w:r>
      <w:r w:rsidRPr="00472739">
        <w:rPr>
          <w:b/>
          <w:bCs/>
          <w:u w:val="single"/>
        </w:rPr>
        <w:t>entre</w:t>
      </w:r>
      <w:r w:rsidRPr="00995B3F">
        <w:rPr>
          <w:b/>
          <w:bCs/>
        </w:rPr>
        <w:t> </w:t>
      </w:r>
      <w:r>
        <w:t xml:space="preserve">: </w:t>
      </w:r>
    </w:p>
    <w:p w14:paraId="160F594E" w14:textId="37257303" w:rsidP="00692381" w:rsidR="00692381" w:rsidRDefault="00767E39">
      <w:pPr>
        <w:jc w:val="both"/>
        <w:rPr>
          <w:b/>
          <w:bCs/>
        </w:rPr>
      </w:pPr>
      <w:proofErr w:type="gramStart"/>
      <w:r>
        <w:rPr>
          <w:b/>
          <w:bCs/>
        </w:rPr>
        <w:t>….</w:t>
      </w:r>
      <w:proofErr w:type="gramEnd"/>
      <w:r>
        <w:rPr>
          <w:b/>
          <w:bCs/>
        </w:rPr>
        <w:t xml:space="preserve"> </w:t>
      </w:r>
      <w:r w:rsidR="00692381" w:rsidRPr="00995B3F">
        <w:rPr>
          <w:b/>
          <w:bCs/>
        </w:rPr>
        <w:t xml:space="preserve">, inscrite au RCS de </w:t>
      </w:r>
      <w:r w:rsidR="00692381">
        <w:rPr>
          <w:b/>
          <w:bCs/>
        </w:rPr>
        <w:t>Lille</w:t>
      </w:r>
      <w:r w:rsidR="00692381" w:rsidRPr="00995B3F">
        <w:rPr>
          <w:b/>
          <w:bCs/>
        </w:rPr>
        <w:t xml:space="preserve"> </w:t>
      </w:r>
      <w:r w:rsidR="00692381">
        <w:rPr>
          <w:b/>
          <w:bCs/>
        </w:rPr>
        <w:t xml:space="preserve">Métropole </w:t>
      </w:r>
      <w:r w:rsidR="00692381" w:rsidRPr="00995B3F">
        <w:rPr>
          <w:b/>
          <w:bCs/>
        </w:rPr>
        <w:t>sous le</w:t>
      </w:r>
      <w:r w:rsidR="00692381">
        <w:rPr>
          <w:b/>
          <w:bCs/>
        </w:rPr>
        <w:t xml:space="preserve"> numéro </w:t>
      </w:r>
      <w:r>
        <w:rPr>
          <w:b/>
          <w:bCs/>
        </w:rPr>
        <w:t>…</w:t>
      </w:r>
      <w:r w:rsidR="00692381" w:rsidRPr="00995B3F">
        <w:rPr>
          <w:b/>
          <w:bCs/>
        </w:rPr>
        <w:t>, dont le siège social est situé</w:t>
      </w:r>
      <w:r w:rsidR="00692381">
        <w:rPr>
          <w:b/>
          <w:bCs/>
        </w:rPr>
        <w:t xml:space="preserve"> </w:t>
      </w:r>
      <w:r>
        <w:rPr>
          <w:b/>
          <w:bCs/>
        </w:rPr>
        <w:t xml:space="preserve">… </w:t>
      </w:r>
      <w:r w:rsidR="00692381" w:rsidRPr="00995B3F">
        <w:rPr>
          <w:b/>
          <w:bCs/>
        </w:rPr>
        <w:t xml:space="preserve"> représentée par Monsieur </w:t>
      </w:r>
      <w:r>
        <w:rPr>
          <w:b/>
          <w:bCs/>
        </w:rPr>
        <w:t xml:space="preserve">… </w:t>
      </w:r>
      <w:r w:rsidR="00692381" w:rsidRPr="00995B3F">
        <w:rPr>
          <w:b/>
          <w:bCs/>
        </w:rPr>
        <w:t xml:space="preserve"> agissant en qualité de </w:t>
      </w:r>
      <w:r w:rsidR="00692381">
        <w:rPr>
          <w:b/>
          <w:bCs/>
        </w:rPr>
        <w:t>Responsable d’exploitation</w:t>
      </w:r>
      <w:r w:rsidR="00692381" w:rsidRPr="00995B3F">
        <w:rPr>
          <w:b/>
          <w:bCs/>
        </w:rPr>
        <w:t xml:space="preserve"> de Site Logistique et Transport, </w:t>
      </w:r>
    </w:p>
    <w:p w14:paraId="65E1D3EF" w14:textId="77777777" w:rsidP="00692381" w:rsidR="00692381" w:rsidRDefault="00692381" w:rsidRPr="00B676F0">
      <w:pPr>
        <w:jc w:val="both"/>
      </w:pPr>
      <w:r w:rsidRPr="00B676F0">
        <w:t>Ci-dessous désigné par « La société »</w:t>
      </w:r>
    </w:p>
    <w:p w14:paraId="238C666C" w14:textId="77777777" w:rsidP="00692381" w:rsidR="00692381" w:rsidRDefault="00692381">
      <w:pPr>
        <w:jc w:val="both"/>
      </w:pPr>
    </w:p>
    <w:p w14:paraId="5C41F49B" w14:textId="77777777" w:rsidP="00692381" w:rsidR="00692381" w:rsidRDefault="00692381">
      <w:pPr>
        <w:jc w:val="both"/>
      </w:pPr>
      <w:r>
        <w:t xml:space="preserve">D’une part, </w:t>
      </w:r>
    </w:p>
    <w:p w14:paraId="6951C110" w14:textId="77777777" w:rsidP="00692381" w:rsidR="00692381" w:rsidRDefault="00692381">
      <w:pPr>
        <w:jc w:val="both"/>
      </w:pPr>
      <w:r w:rsidRPr="00995B3F">
        <w:rPr>
          <w:b/>
          <w:bCs/>
          <w:u w:val="single"/>
        </w:rPr>
        <w:t>ET </w:t>
      </w:r>
      <w:r>
        <w:t xml:space="preserve">: </w:t>
      </w:r>
    </w:p>
    <w:p w14:paraId="00686C17" w14:textId="5A83E501" w:rsidP="00692381" w:rsidR="00692381" w:rsidRDefault="00692381">
      <w:pPr>
        <w:jc w:val="both"/>
        <w:rPr>
          <w:b/>
          <w:bCs/>
        </w:rPr>
      </w:pPr>
      <w:r>
        <w:rPr>
          <w:b/>
          <w:bCs/>
        </w:rPr>
        <w:t>Le Comité économique et social de la société</w:t>
      </w:r>
      <w:proofErr w:type="gramStart"/>
      <w:r>
        <w:rPr>
          <w:b/>
          <w:bCs/>
        </w:rPr>
        <w:t xml:space="preserve"> </w:t>
      </w:r>
      <w:r w:rsidR="00767E39">
        <w:rPr>
          <w:b/>
          <w:bCs/>
        </w:rPr>
        <w:t>….</w:t>
      </w:r>
      <w:proofErr w:type="gramEnd"/>
      <w:r w:rsidR="00767E39">
        <w:rPr>
          <w:b/>
          <w:bCs/>
        </w:rPr>
        <w:t xml:space="preserve"> </w:t>
      </w:r>
      <w:r>
        <w:rPr>
          <w:b/>
          <w:bCs/>
        </w:rPr>
        <w:t>,</w:t>
      </w:r>
    </w:p>
    <w:p w14:paraId="410769B3" w14:textId="77777777" w:rsidP="00692381" w:rsidR="00692381" w:rsidRDefault="00692381">
      <w:pPr>
        <w:jc w:val="both"/>
        <w:rPr>
          <w:b/>
          <w:bCs/>
        </w:rPr>
      </w:pPr>
    </w:p>
    <w:p w14:paraId="546ECC79" w14:textId="77777777" w:rsidP="00692381" w:rsidR="00692381" w:rsidRDefault="00692381" w:rsidRPr="00B676F0">
      <w:pPr>
        <w:jc w:val="both"/>
      </w:pPr>
      <w:r w:rsidRPr="00B676F0">
        <w:t>Ci-dessous désigné par « Le</w:t>
      </w:r>
      <w:r>
        <w:t>s membres du Comité Social et Economique</w:t>
      </w:r>
      <w:r w:rsidRPr="00B676F0">
        <w:t> ».</w:t>
      </w:r>
    </w:p>
    <w:p w14:paraId="39A71B05" w14:textId="77777777" w:rsidP="00692381" w:rsidR="00692381" w:rsidRDefault="00692381" w:rsidRPr="00995B3F">
      <w:pPr>
        <w:jc w:val="both"/>
        <w:rPr>
          <w:b/>
          <w:bCs/>
        </w:rPr>
      </w:pPr>
    </w:p>
    <w:p w14:paraId="5AC45938" w14:textId="77777777" w:rsidP="00692381" w:rsidR="00692381" w:rsidRDefault="00692381">
      <w:pPr>
        <w:jc w:val="both"/>
      </w:pPr>
      <w:r>
        <w:t xml:space="preserve">D’autre part, </w:t>
      </w:r>
    </w:p>
    <w:p w14:paraId="399FA158" w14:textId="77777777" w:rsidP="00692381" w:rsidR="00692381" w:rsidRDefault="00692381">
      <w:pPr>
        <w:jc w:val="both"/>
      </w:pPr>
    </w:p>
    <w:p w14:paraId="3BFD8B4E" w14:textId="77777777" w:rsidP="00692381" w:rsidR="00692381" w:rsidRDefault="00692381" w:rsidRPr="00BD5DE1">
      <w:pPr>
        <w:pStyle w:val="Sous-titre"/>
        <w:rPr>
          <w:u w:val="single"/>
        </w:rPr>
      </w:pPr>
      <w:r w:rsidRPr="00BD5DE1">
        <w:rPr>
          <w:u w:val="single"/>
        </w:rPr>
        <w:t>Préambule</w:t>
      </w:r>
    </w:p>
    <w:p w14:paraId="08D5FD1D" w14:textId="77777777" w:rsidP="00692381" w:rsidR="00692381" w:rsidRDefault="00692381">
      <w:pPr>
        <w:jc w:val="both"/>
      </w:pPr>
      <w:r>
        <w:t xml:space="preserve">La Négociation Annuelle Obligatoire a été menée par la </w:t>
      </w:r>
      <w:r w:rsidRPr="009A2B91">
        <w:t>société et les membres du</w:t>
      </w:r>
      <w:r>
        <w:t xml:space="preserve"> Conseil Economique et Social (CSE) pendant toute la durée des négociations.</w:t>
      </w:r>
    </w:p>
    <w:p w14:paraId="29F261D0" w14:textId="3A137AAA" w:rsidP="00DC0DC6" w:rsidR="00692381" w:rsidRDefault="00692381" w:rsidRPr="008219F8">
      <w:pPr>
        <w:jc w:val="both"/>
        <w:rPr>
          <w:b/>
          <w:bCs/>
        </w:rPr>
      </w:pPr>
      <w:r>
        <w:t xml:space="preserve">La négociation s’est déroulée </w:t>
      </w:r>
      <w:r w:rsidR="00DC0DC6" w:rsidRPr="008219F8">
        <w:t xml:space="preserve">le </w:t>
      </w:r>
      <w:r w:rsidRPr="008219F8">
        <w:t>1</w:t>
      </w:r>
      <w:r w:rsidR="00DC0DC6" w:rsidRPr="008219F8">
        <w:t>0</w:t>
      </w:r>
      <w:r w:rsidRPr="008219F8">
        <w:t xml:space="preserve"> janvier 202</w:t>
      </w:r>
      <w:r w:rsidR="00DC250F" w:rsidRPr="008219F8">
        <w:t>3</w:t>
      </w:r>
      <w:r w:rsidR="00DC0DC6" w:rsidRPr="008219F8">
        <w:t>.</w:t>
      </w:r>
      <w:r w:rsidR="00DC0DC6" w:rsidRPr="008219F8">
        <w:rPr>
          <w:b/>
          <w:bCs/>
        </w:rPr>
        <w:t xml:space="preserve"> </w:t>
      </w:r>
    </w:p>
    <w:p w14:paraId="72E2EFBE" w14:textId="77777777" w:rsidP="00692381" w:rsidR="008219F8" w:rsidRDefault="00692381">
      <w:pPr>
        <w:jc w:val="both"/>
      </w:pPr>
      <w:r>
        <w:t>Les</w:t>
      </w:r>
      <w:r w:rsidR="008219F8">
        <w:t xml:space="preserve"> négociations ont notamment porté sur les éléments de la rémunération et certains avantages qu’une entreprise peut accorder aux salariés. </w:t>
      </w:r>
    </w:p>
    <w:p w14:paraId="7C4A1305" w14:textId="65D7D50E" w:rsidP="00692381" w:rsidR="00240E57" w:rsidRDefault="008219F8">
      <w:pPr>
        <w:jc w:val="both"/>
      </w:pPr>
      <w:r>
        <w:t>Les</w:t>
      </w:r>
      <w:r w:rsidR="00692381">
        <w:t xml:space="preserve"> membres du Comité Social et Economique </w:t>
      </w:r>
      <w:r>
        <w:t xml:space="preserve">ont proposé </w:t>
      </w:r>
      <w:r w:rsidR="00692381">
        <w:t xml:space="preserve">une augmentation générale de salaire de </w:t>
      </w:r>
      <w:r w:rsidR="00E97316">
        <w:t>12</w:t>
      </w:r>
      <w:r w:rsidR="00692381">
        <w:t>%, pour tous</w:t>
      </w:r>
      <w:r>
        <w:t xml:space="preserve"> les salariés,</w:t>
      </w:r>
      <w:r w:rsidR="00E97316">
        <w:t xml:space="preserve"> ainsi qu’une </w:t>
      </w:r>
      <w:r w:rsidR="00D87AD9">
        <w:t>augmentation</w:t>
      </w:r>
      <w:r>
        <w:t xml:space="preserve"> </w:t>
      </w:r>
      <w:r w:rsidR="00E97316">
        <w:t>des salaires</w:t>
      </w:r>
      <w:r w:rsidR="00500113">
        <w:t xml:space="preserve"> sur les postes d’Agent logistiques et Coordinateur en fonction de leur ancienneté</w:t>
      </w:r>
      <w:r w:rsidR="00E97316">
        <w:t>.</w:t>
      </w:r>
      <w:r w:rsidR="00692381">
        <w:t xml:space="preserve"> </w:t>
      </w:r>
      <w:r w:rsidR="00E97316">
        <w:t xml:space="preserve">Il </w:t>
      </w:r>
      <w:r w:rsidR="0006573B">
        <w:t>a</w:t>
      </w:r>
      <w:r w:rsidR="00E97316">
        <w:t xml:space="preserve"> également</w:t>
      </w:r>
      <w:r w:rsidR="0006573B">
        <w:t xml:space="preserve"> été</w:t>
      </w:r>
      <w:r w:rsidR="00E97316">
        <w:t xml:space="preserve"> souhait</w:t>
      </w:r>
      <w:r w:rsidR="0068436E">
        <w:t>é</w:t>
      </w:r>
      <w:r w:rsidR="00C23765">
        <w:t xml:space="preserve"> </w:t>
      </w:r>
      <w:r w:rsidR="0006573B">
        <w:t>de r</w:t>
      </w:r>
      <w:r w:rsidR="00526FDF">
        <w:t>ecevoir un 13</w:t>
      </w:r>
      <w:r w:rsidR="00526FDF" w:rsidRPr="00526FDF">
        <w:rPr>
          <w:vertAlign w:val="superscript"/>
        </w:rPr>
        <w:t>ème</w:t>
      </w:r>
      <w:r w:rsidR="00526FDF">
        <w:t xml:space="preserve"> mois de salaire pour l’ensemble des salariés. De plus, les membres du Comité Economique et Social ont effectué des demandes quant à certaines primes, comme bénéficier de la Prime de Partage de la Valeur </w:t>
      </w:r>
      <w:r w:rsidR="00B20364">
        <w:t>ainsi que</w:t>
      </w:r>
      <w:r w:rsidR="00526FDF">
        <w:t xml:space="preserve"> revoir le calcul de la Prime de Performance afin de l’étendre aux équipes sur la production générale du site et d’augmenter le montant de cette prime pour les salariés en bénéficiant déjà</w:t>
      </w:r>
      <w:r w:rsidR="00913203">
        <w:t>, l’objectif est</w:t>
      </w:r>
      <w:r w:rsidR="00913203" w:rsidRPr="00913203">
        <w:t xml:space="preserve"> verser à chaque salarié une prime liée à la performance de l'entreprise</w:t>
      </w:r>
      <w:r w:rsidR="00913203">
        <w:t>, l’</w:t>
      </w:r>
      <w:r w:rsidR="00913203" w:rsidRPr="00913203">
        <w:t>intéressement</w:t>
      </w:r>
      <w:r w:rsidR="00913203">
        <w:t xml:space="preserve">, </w:t>
      </w:r>
      <w:r w:rsidR="00913203" w:rsidRPr="00913203">
        <w:t>ou représentant une quote-part de ses bénéfices</w:t>
      </w:r>
      <w:r w:rsidR="00913203">
        <w:t xml:space="preserve">, la </w:t>
      </w:r>
      <w:r w:rsidR="00913203" w:rsidRPr="00913203">
        <w:t>participation</w:t>
      </w:r>
      <w:r w:rsidR="00526FDF">
        <w:t xml:space="preserve">.  Il a également été demandé de </w:t>
      </w:r>
      <w:r w:rsidR="00692381">
        <w:t xml:space="preserve">discuter </w:t>
      </w:r>
      <w:r w:rsidR="005970B2">
        <w:t>sur la possibilité de mettre en place une participation aux frais kilométrique de la part de</w:t>
      </w:r>
      <w:r w:rsidR="00767E39">
        <w:t> …</w:t>
      </w:r>
      <w:r w:rsidR="00240E57">
        <w:t xml:space="preserve">. Une dernière proposition a été faite de la part des membres, quant à l’attribution d’un chèque culture et d’un chèque cadeau en fin d’année pour chaque salarié </w:t>
      </w:r>
      <w:r w:rsidR="00FD42CE">
        <w:t xml:space="preserve">et </w:t>
      </w:r>
      <w:r w:rsidR="00240E57">
        <w:t>d’étendre</w:t>
      </w:r>
      <w:r w:rsidR="00EA5C1F">
        <w:t xml:space="preserve"> l’utilisation de</w:t>
      </w:r>
      <w:r w:rsidR="00240E57">
        <w:t xml:space="preserve"> la carte «</w:t>
      </w:r>
      <w:r w:rsidR="008C1487">
        <w:t> …</w:t>
      </w:r>
      <w:r w:rsidR="00240E57">
        <w:t> »</w:t>
      </w:r>
      <w:r w:rsidR="0025028B">
        <w:t xml:space="preserve"> pour qu’elle soit</w:t>
      </w:r>
      <w:r w:rsidR="00240E57">
        <w:t xml:space="preserve"> valable sur le magasin</w:t>
      </w:r>
      <w:r w:rsidR="0025028B">
        <w:t xml:space="preserve"> et non </w:t>
      </w:r>
      <w:r w:rsidR="00240E57">
        <w:t xml:space="preserve">uniquement sur le site web. </w:t>
      </w:r>
    </w:p>
    <w:p w14:paraId="36F8107A" w14:textId="6BA52A9E" w:rsidP="00692381" w:rsidR="00692381" w:rsidRDefault="00692381" w:rsidRPr="0078120A">
      <w:pPr>
        <w:jc w:val="both"/>
      </w:pPr>
      <w:r>
        <w:t>Les Parties sont conscientes que la rémunération est un facteur de motivation au quotidien, elles ont donc décidé de travailler en commun sur une évolution positive des salaires de base</w:t>
      </w:r>
      <w:r w:rsidR="0026618E">
        <w:t xml:space="preserve"> des salariés</w:t>
      </w:r>
      <w:r>
        <w:t xml:space="preserve"> </w:t>
      </w:r>
      <w:r w:rsidR="00983FCD">
        <w:t xml:space="preserve">pour favoriser leur </w:t>
      </w:r>
      <w:r>
        <w:t xml:space="preserve">ascension professionnelle, avec </w:t>
      </w:r>
      <w:r w:rsidR="0078120A">
        <w:t xml:space="preserve">l’octroi d’avantages. </w:t>
      </w:r>
    </w:p>
    <w:p w14:paraId="5286EF1B" w14:textId="684CD70B" w:rsidP="00692381" w:rsidR="00692381" w:rsidRDefault="00692381">
      <w:pPr>
        <w:jc w:val="both"/>
      </w:pPr>
      <w:r w:rsidRPr="00DC0DC6">
        <w:t xml:space="preserve">Le </w:t>
      </w:r>
      <w:r w:rsidR="00875B4E">
        <w:t>2</w:t>
      </w:r>
      <w:r w:rsidR="00DC0DC6" w:rsidRPr="00DC0DC6">
        <w:t>0</w:t>
      </w:r>
      <w:r w:rsidR="00A42EBA" w:rsidRPr="00DC0DC6">
        <w:t xml:space="preserve"> janvier</w:t>
      </w:r>
      <w:r w:rsidRPr="00DC0DC6">
        <w:t xml:space="preserve"> 202</w:t>
      </w:r>
      <w:r w:rsidR="00DC250F" w:rsidRPr="00DC0DC6">
        <w:t>3</w:t>
      </w:r>
      <w:r w:rsidRPr="00DC0DC6">
        <w:t xml:space="preserve"> les</w:t>
      </w:r>
      <w:r w:rsidRPr="00CB2DF4">
        <w:t xml:space="preserve"> </w:t>
      </w:r>
      <w:r>
        <w:t xml:space="preserve">Parties se sont mis d’accord sur les points suivants : </w:t>
      </w:r>
    </w:p>
    <w:p w14:paraId="66E2B309" w14:textId="77777777" w:rsidP="00692381" w:rsidR="00875B4E" w:rsidRDefault="00875B4E">
      <w:pPr>
        <w:jc w:val="both"/>
      </w:pPr>
    </w:p>
    <w:p w14:paraId="307749C7" w14:textId="291C708C" w:rsidP="002D5793" w:rsidR="00692381" w:rsidRDefault="00692381" w:rsidRPr="002D5793">
      <w:pPr>
        <w:jc w:val="both"/>
        <w:rPr>
          <w:b/>
          <w:bCs/>
          <w:u w:val="single"/>
        </w:rPr>
      </w:pPr>
      <w:r w:rsidRPr="007F277F">
        <w:rPr>
          <w:b/>
          <w:bCs/>
          <w:u w:val="single"/>
        </w:rPr>
        <w:t xml:space="preserve">Les </w:t>
      </w:r>
      <w:r>
        <w:rPr>
          <w:b/>
          <w:bCs/>
          <w:u w:val="single"/>
        </w:rPr>
        <w:t>Parties</w:t>
      </w:r>
      <w:r w:rsidRPr="007F277F">
        <w:rPr>
          <w:b/>
          <w:bCs/>
          <w:u w:val="single"/>
        </w:rPr>
        <w:t xml:space="preserve"> ont convenu ce qu’il suit : </w:t>
      </w:r>
      <w:bookmarkStart w:id="0" w:name="_Toc92386315"/>
    </w:p>
    <w:p w14:paraId="6B5613FC" w14:textId="122322E6" w:rsidP="00692381" w:rsidR="00692381" w:rsidRDefault="00692381">
      <w:pPr>
        <w:pStyle w:val="Titre2"/>
      </w:pPr>
      <w:bookmarkStart w:id="1" w:name="_Hlk124931726"/>
      <w:r>
        <w:t>Article 1 :</w:t>
      </w:r>
      <w:bookmarkEnd w:id="0"/>
      <w:r w:rsidR="0078120A">
        <w:t xml:space="preserve"> </w:t>
      </w:r>
      <w:bookmarkEnd w:id="1"/>
      <w:r w:rsidR="00500113">
        <w:t>Evolution salariale spéciale</w:t>
      </w:r>
    </w:p>
    <w:p w14:paraId="29929FD8" w14:textId="3FD61E1F" w:rsidP="00692381" w:rsidR="00692381" w:rsidRDefault="00692381">
      <w:pPr>
        <w:pStyle w:val="TM3"/>
      </w:pPr>
    </w:p>
    <w:p w14:paraId="4E4004F1" w14:textId="24157A4A" w:rsidP="00C660EB" w:rsidR="00482D1A" w:rsidRDefault="00482D1A">
      <w:r>
        <w:t>Les Parties conviennent d’une augmentatio</w:t>
      </w:r>
      <w:r w:rsidR="00725D36">
        <w:t>n</w:t>
      </w:r>
      <w:r>
        <w:t xml:space="preserve"> des salaires</w:t>
      </w:r>
      <w:r w:rsidR="00725D36">
        <w:t xml:space="preserve"> sur les poste</w:t>
      </w:r>
      <w:r w:rsidR="008C1487">
        <w:t>s</w:t>
      </w:r>
      <w:r w:rsidR="00725D36">
        <w:t xml:space="preserve"> d’Agent logistique et de Coordinateur, cette évolution salariale varie selon l’ancienneté du salarié</w:t>
      </w:r>
      <w:r>
        <w:t xml:space="preserve"> : </w:t>
      </w:r>
    </w:p>
    <w:p w14:paraId="2611EAEB" w14:textId="21EB96F3" w:rsidP="00482D1A" w:rsidR="00482D1A" w:rsidRDefault="00482D1A">
      <w:pPr>
        <w:pStyle w:val="Paragraphedeliste"/>
        <w:numPr>
          <w:ilvl w:val="0"/>
          <w:numId w:val="6"/>
        </w:numPr>
        <w:spacing w:after="0" w:line="240" w:lineRule="auto"/>
        <w:jc w:val="both"/>
      </w:pPr>
      <w:r>
        <w:t>Augmentation générale</w:t>
      </w:r>
      <w:r w:rsidRPr="00C705C6">
        <w:t xml:space="preserve"> pour le</w:t>
      </w:r>
      <w:r>
        <w:t xml:space="preserve"> poste d’Agent logistique niveau 1 disposant </w:t>
      </w:r>
      <w:r w:rsidRPr="00532863">
        <w:t xml:space="preserve">d’une </w:t>
      </w:r>
      <w:r w:rsidRPr="00DA5B79">
        <w:rPr>
          <w:u w:val="single"/>
        </w:rPr>
        <w:t>ancienneté d</w:t>
      </w:r>
      <w:r>
        <w:rPr>
          <w:u w:val="single"/>
        </w:rPr>
        <w:t>e</w:t>
      </w:r>
      <w:r w:rsidRPr="00DA5B79">
        <w:rPr>
          <w:u w:val="single"/>
        </w:rPr>
        <w:t xml:space="preserve"> moins </w:t>
      </w:r>
      <w:r>
        <w:rPr>
          <w:u w:val="single"/>
        </w:rPr>
        <w:t xml:space="preserve">de 1 </w:t>
      </w:r>
      <w:r w:rsidRPr="00DA5B79">
        <w:rPr>
          <w:u w:val="single"/>
        </w:rPr>
        <w:t>an</w:t>
      </w:r>
      <w:r>
        <w:t xml:space="preserve"> au 1</w:t>
      </w:r>
      <w:r w:rsidRPr="00DA5B79">
        <w:rPr>
          <w:vertAlign w:val="superscript"/>
        </w:rPr>
        <w:t>er</w:t>
      </w:r>
      <w:r>
        <w:t xml:space="preserve"> janvier 2022.</w:t>
      </w:r>
    </w:p>
    <w:p w14:paraId="660A9CCD" w14:textId="77777777" w:rsidP="00482D1A" w:rsidR="00482D1A" w:rsidRDefault="00482D1A">
      <w:pPr>
        <w:pStyle w:val="Paragraphedeliste"/>
        <w:spacing w:after="0" w:line="240" w:lineRule="auto"/>
        <w:ind w:left="1068"/>
        <w:jc w:val="both"/>
      </w:pPr>
    </w:p>
    <w:p w14:paraId="47A1F901" w14:textId="54177D72" w:rsidP="00482D1A" w:rsidR="00482D1A" w:rsidRDefault="00482D1A">
      <w:pPr>
        <w:pStyle w:val="Paragraphedeliste"/>
        <w:numPr>
          <w:ilvl w:val="0"/>
          <w:numId w:val="6"/>
        </w:numPr>
        <w:spacing w:after="0" w:line="240" w:lineRule="auto"/>
        <w:jc w:val="both"/>
      </w:pPr>
      <w:r>
        <w:t xml:space="preserve">Augmentation générale pour </w:t>
      </w:r>
      <w:r w:rsidRPr="00C705C6">
        <w:t>le</w:t>
      </w:r>
      <w:r>
        <w:t xml:space="preserve"> poste d’Agent logistique niveau 2 disposant </w:t>
      </w:r>
      <w:r w:rsidRPr="00532863">
        <w:t xml:space="preserve">d’une </w:t>
      </w:r>
      <w:r w:rsidRPr="00DA5B79">
        <w:rPr>
          <w:u w:val="single"/>
        </w:rPr>
        <w:t>ancienneté d</w:t>
      </w:r>
      <w:r>
        <w:rPr>
          <w:u w:val="single"/>
        </w:rPr>
        <w:t>’au</w:t>
      </w:r>
      <w:r w:rsidRPr="00DA5B79">
        <w:rPr>
          <w:u w:val="single"/>
        </w:rPr>
        <w:t xml:space="preserve"> moins </w:t>
      </w:r>
      <w:r>
        <w:rPr>
          <w:u w:val="single"/>
        </w:rPr>
        <w:t xml:space="preserve">1 </w:t>
      </w:r>
      <w:r w:rsidRPr="00DA5B79">
        <w:rPr>
          <w:u w:val="single"/>
        </w:rPr>
        <w:t>an</w:t>
      </w:r>
      <w:r>
        <w:t xml:space="preserve"> au 1</w:t>
      </w:r>
      <w:r w:rsidRPr="00DA5B79">
        <w:rPr>
          <w:vertAlign w:val="superscript"/>
        </w:rPr>
        <w:t>er</w:t>
      </w:r>
      <w:r>
        <w:t xml:space="preserve"> janvier 2022.</w:t>
      </w:r>
    </w:p>
    <w:p w14:paraId="24346598" w14:textId="77777777" w:rsidP="00482D1A" w:rsidR="00482D1A" w:rsidRDefault="00482D1A">
      <w:pPr>
        <w:spacing w:after="0" w:line="240" w:lineRule="auto"/>
        <w:jc w:val="both"/>
      </w:pPr>
    </w:p>
    <w:p w14:paraId="1477A31E" w14:textId="524F3965" w:rsidP="00482D1A" w:rsidR="00482D1A" w:rsidRDefault="00482D1A">
      <w:pPr>
        <w:pStyle w:val="Paragraphedeliste"/>
        <w:numPr>
          <w:ilvl w:val="0"/>
          <w:numId w:val="6"/>
        </w:numPr>
        <w:spacing w:after="0" w:line="240" w:lineRule="auto"/>
        <w:jc w:val="both"/>
      </w:pPr>
      <w:r>
        <w:t xml:space="preserve"> Augmentation générale pour </w:t>
      </w:r>
      <w:r w:rsidRPr="00C705C6">
        <w:t>le</w:t>
      </w:r>
      <w:r>
        <w:t xml:space="preserve"> poste d’Agent logistique niveau 3 disposant </w:t>
      </w:r>
      <w:r w:rsidRPr="00532863">
        <w:t xml:space="preserve">d’une </w:t>
      </w:r>
      <w:r w:rsidRPr="00DA5B79">
        <w:rPr>
          <w:u w:val="single"/>
        </w:rPr>
        <w:t>ancienneté d</w:t>
      </w:r>
      <w:r>
        <w:rPr>
          <w:u w:val="single"/>
        </w:rPr>
        <w:t>’au</w:t>
      </w:r>
      <w:r w:rsidRPr="00DA5B79">
        <w:rPr>
          <w:u w:val="single"/>
        </w:rPr>
        <w:t xml:space="preserve"> moins </w:t>
      </w:r>
      <w:r>
        <w:rPr>
          <w:u w:val="single"/>
        </w:rPr>
        <w:t xml:space="preserve">5 </w:t>
      </w:r>
      <w:r w:rsidRPr="00DA5B79">
        <w:rPr>
          <w:u w:val="single"/>
        </w:rPr>
        <w:t>an</w:t>
      </w:r>
      <w:r>
        <w:rPr>
          <w:u w:val="single"/>
        </w:rPr>
        <w:t>s</w:t>
      </w:r>
      <w:r>
        <w:t xml:space="preserve"> au 1</w:t>
      </w:r>
      <w:r w:rsidRPr="00DA5B79">
        <w:rPr>
          <w:vertAlign w:val="superscript"/>
        </w:rPr>
        <w:t>er</w:t>
      </w:r>
      <w:r>
        <w:t xml:space="preserve"> janvier 2022.</w:t>
      </w:r>
    </w:p>
    <w:p w14:paraId="4459BEB8" w14:textId="77777777" w:rsidP="00482D1A" w:rsidR="00482D1A" w:rsidRDefault="00482D1A">
      <w:pPr>
        <w:pStyle w:val="Paragraphedeliste"/>
        <w:spacing w:after="0" w:line="240" w:lineRule="auto"/>
        <w:ind w:left="1068"/>
        <w:jc w:val="both"/>
      </w:pPr>
    </w:p>
    <w:p w14:paraId="00736D10" w14:textId="41F66951" w:rsidP="00482D1A" w:rsidR="00482D1A" w:rsidRDefault="00482D1A">
      <w:pPr>
        <w:pStyle w:val="Paragraphedeliste"/>
        <w:numPr>
          <w:ilvl w:val="0"/>
          <w:numId w:val="6"/>
        </w:numPr>
        <w:spacing w:after="0" w:line="240" w:lineRule="auto"/>
        <w:jc w:val="both"/>
      </w:pPr>
      <w:r>
        <w:t xml:space="preserve">Augmentation générale pour </w:t>
      </w:r>
      <w:r w:rsidRPr="00C705C6">
        <w:t>le</w:t>
      </w:r>
      <w:r>
        <w:t xml:space="preserve"> poste de Coordinateur niveau 1 disposant </w:t>
      </w:r>
      <w:r w:rsidRPr="00532863">
        <w:t xml:space="preserve">d’une </w:t>
      </w:r>
      <w:r w:rsidRPr="00DA5B79">
        <w:rPr>
          <w:u w:val="single"/>
        </w:rPr>
        <w:t>ancienneté d</w:t>
      </w:r>
      <w:r>
        <w:rPr>
          <w:u w:val="single"/>
        </w:rPr>
        <w:t>e</w:t>
      </w:r>
      <w:r w:rsidRPr="00DA5B79">
        <w:rPr>
          <w:u w:val="single"/>
        </w:rPr>
        <w:t xml:space="preserve"> moins </w:t>
      </w:r>
      <w:r>
        <w:rPr>
          <w:u w:val="single"/>
        </w:rPr>
        <w:t xml:space="preserve">de 1 </w:t>
      </w:r>
      <w:r w:rsidRPr="00DA5B79">
        <w:rPr>
          <w:u w:val="single"/>
        </w:rPr>
        <w:t>an</w:t>
      </w:r>
      <w:r>
        <w:t xml:space="preserve"> au 1</w:t>
      </w:r>
      <w:r w:rsidRPr="00DA5B79">
        <w:rPr>
          <w:vertAlign w:val="superscript"/>
        </w:rPr>
        <w:t>er</w:t>
      </w:r>
      <w:r>
        <w:t xml:space="preserve"> janvier 2022.</w:t>
      </w:r>
    </w:p>
    <w:p w14:paraId="2533256A" w14:textId="77777777" w:rsidP="00482D1A" w:rsidR="00482D1A" w:rsidRDefault="00482D1A">
      <w:pPr>
        <w:spacing w:after="0" w:line="240" w:lineRule="auto"/>
        <w:jc w:val="both"/>
      </w:pPr>
    </w:p>
    <w:p w14:paraId="2CF83A4C" w14:textId="4AFCE7C0" w:rsidP="00482D1A" w:rsidR="00482D1A" w:rsidRDefault="00482D1A">
      <w:pPr>
        <w:pStyle w:val="Paragraphedeliste"/>
        <w:numPr>
          <w:ilvl w:val="0"/>
          <w:numId w:val="6"/>
        </w:numPr>
        <w:spacing w:after="0" w:line="240" w:lineRule="auto"/>
        <w:jc w:val="both"/>
      </w:pPr>
      <w:r>
        <w:t xml:space="preserve">Augmentation générale pour </w:t>
      </w:r>
      <w:r w:rsidRPr="00C705C6">
        <w:t>le</w:t>
      </w:r>
      <w:r>
        <w:t xml:space="preserve"> poste de Coordinateur niveau 2 disposant </w:t>
      </w:r>
      <w:r w:rsidRPr="00532863">
        <w:t xml:space="preserve">d’une </w:t>
      </w:r>
      <w:r w:rsidRPr="00DA5B79">
        <w:rPr>
          <w:u w:val="single"/>
        </w:rPr>
        <w:t xml:space="preserve">ancienneté </w:t>
      </w:r>
      <w:r>
        <w:rPr>
          <w:u w:val="single"/>
        </w:rPr>
        <w:t>d’au</w:t>
      </w:r>
      <w:r w:rsidRPr="00DA5B79">
        <w:rPr>
          <w:u w:val="single"/>
        </w:rPr>
        <w:t xml:space="preserve"> moins</w:t>
      </w:r>
      <w:r>
        <w:rPr>
          <w:u w:val="single"/>
        </w:rPr>
        <w:t xml:space="preserve"> 5 </w:t>
      </w:r>
      <w:r w:rsidRPr="00DA5B79">
        <w:rPr>
          <w:u w:val="single"/>
        </w:rPr>
        <w:t>an</w:t>
      </w:r>
      <w:r>
        <w:rPr>
          <w:u w:val="single"/>
        </w:rPr>
        <w:t>s</w:t>
      </w:r>
      <w:r>
        <w:t xml:space="preserve"> au 1</w:t>
      </w:r>
      <w:r w:rsidRPr="00DA5B79">
        <w:rPr>
          <w:vertAlign w:val="superscript"/>
        </w:rPr>
        <w:t>er</w:t>
      </w:r>
      <w:r>
        <w:t xml:space="preserve"> janvier 2022.</w:t>
      </w:r>
    </w:p>
    <w:p w14:paraId="6F22D45E" w14:textId="39079305" w:rsidP="00875B4E" w:rsidR="00482D1A" w:rsidRDefault="00482D1A">
      <w:pPr>
        <w:jc w:val="center"/>
      </w:pPr>
    </w:p>
    <w:tbl>
      <w:tblPr>
        <w:tblW w:type="dxa" w:w="5700"/>
        <w:tblInd w:type="dxa" w:w="2916"/>
        <w:tblCellMar>
          <w:left w:type="dxa" w:w="0"/>
          <w:right w:type="dxa" w:w="0"/>
        </w:tblCellMar>
        <w:tblLook w:firstColumn="1" w:firstRow="1" w:lastColumn="0" w:lastRow="0" w:noHBand="0" w:noVBand="1" w:val="04A0"/>
      </w:tblPr>
      <w:tblGrid>
        <w:gridCol w:w="1400"/>
        <w:gridCol w:w="1200"/>
        <w:gridCol w:w="1900"/>
        <w:gridCol w:w="1200"/>
      </w:tblGrid>
      <w:tr w14:paraId="14F72BA8" w14:textId="77777777" w:rsidR="00875B4E" w:rsidTr="00875B4E">
        <w:trPr>
          <w:trHeight w:val="300"/>
        </w:trPr>
        <w:tc>
          <w:tcPr>
            <w:tcW w:type="dxa" w:w="1400"/>
            <w:tcBorders>
              <w:top w:color="auto" w:space="0" w:sz="8" w:val="single"/>
              <w:left w:color="auto" w:space="0" w:sz="8" w:val="single"/>
              <w:bottom w:color="auto" w:space="0" w:sz="8" w:val="single"/>
              <w:right w:color="auto" w:space="0" w:sz="8" w:val="single"/>
            </w:tcBorders>
            <w:noWrap/>
            <w:tcMar>
              <w:top w:type="dxa" w:w="0"/>
              <w:left w:type="dxa" w:w="70"/>
              <w:bottom w:type="dxa" w:w="0"/>
              <w:right w:type="dxa" w:w="70"/>
            </w:tcMar>
            <w:vAlign w:val="center"/>
            <w:hideMark/>
          </w:tcPr>
          <w:p w14:paraId="1CC2C15B" w14:textId="77777777" w:rsidP="00875B4E" w:rsidR="00875B4E" w:rsidRDefault="00875B4E">
            <w:pPr>
              <w:jc w:val="center"/>
              <w:rPr>
                <w:b/>
                <w:bCs/>
                <w:color w:val="000000"/>
                <w:lang w:eastAsia="fr-FR"/>
              </w:rPr>
            </w:pPr>
            <w:r>
              <w:rPr>
                <w:b/>
                <w:bCs/>
                <w:color w:val="000000"/>
                <w:lang w:eastAsia="fr-FR"/>
              </w:rPr>
              <w:t>POSTE</w:t>
            </w:r>
          </w:p>
        </w:tc>
        <w:tc>
          <w:tcPr>
            <w:tcW w:type="dxa" w:w="1200"/>
            <w:tcBorders>
              <w:top w:color="auto" w:space="0" w:sz="8" w:val="single"/>
              <w:left w:val="nil"/>
              <w:bottom w:color="auto" w:space="0" w:sz="8" w:val="single"/>
              <w:right w:color="auto" w:space="0" w:sz="8" w:val="single"/>
            </w:tcBorders>
            <w:noWrap/>
            <w:tcMar>
              <w:top w:type="dxa" w:w="0"/>
              <w:left w:type="dxa" w:w="70"/>
              <w:bottom w:type="dxa" w:w="0"/>
              <w:right w:type="dxa" w:w="70"/>
            </w:tcMar>
            <w:vAlign w:val="center"/>
            <w:hideMark/>
          </w:tcPr>
          <w:p w14:paraId="76807BD9" w14:textId="77777777" w:rsidP="00875B4E" w:rsidR="00875B4E" w:rsidRDefault="00875B4E">
            <w:pPr>
              <w:jc w:val="center"/>
              <w:rPr>
                <w:b/>
                <w:bCs/>
                <w:color w:val="000000"/>
                <w:lang w:eastAsia="fr-FR"/>
              </w:rPr>
            </w:pPr>
            <w:r>
              <w:rPr>
                <w:b/>
                <w:bCs/>
                <w:color w:val="000000"/>
                <w:lang w:eastAsia="fr-FR"/>
              </w:rPr>
              <w:t>NIVEAU</w:t>
            </w:r>
          </w:p>
        </w:tc>
        <w:tc>
          <w:tcPr>
            <w:tcW w:type="dxa" w:w="1900"/>
            <w:tcBorders>
              <w:top w:color="auto" w:space="0" w:sz="8" w:val="single"/>
              <w:left w:val="nil"/>
              <w:bottom w:color="auto" w:space="0" w:sz="8" w:val="single"/>
              <w:right w:color="auto" w:space="0" w:sz="8" w:val="single"/>
            </w:tcBorders>
            <w:noWrap/>
            <w:tcMar>
              <w:top w:type="dxa" w:w="0"/>
              <w:left w:type="dxa" w:w="70"/>
              <w:bottom w:type="dxa" w:w="0"/>
              <w:right w:type="dxa" w:w="70"/>
            </w:tcMar>
            <w:vAlign w:val="center"/>
            <w:hideMark/>
          </w:tcPr>
          <w:p w14:paraId="3A1C3216" w14:textId="77777777" w:rsidP="00875B4E" w:rsidR="00875B4E" w:rsidRDefault="00875B4E">
            <w:pPr>
              <w:jc w:val="center"/>
              <w:rPr>
                <w:b/>
                <w:bCs/>
                <w:color w:val="000000"/>
                <w:lang w:eastAsia="fr-FR"/>
              </w:rPr>
            </w:pPr>
            <w:r>
              <w:rPr>
                <w:b/>
                <w:bCs/>
                <w:color w:val="000000"/>
                <w:lang w:eastAsia="fr-FR"/>
              </w:rPr>
              <w:t>ANCIENNETE</w:t>
            </w:r>
          </w:p>
        </w:tc>
        <w:tc>
          <w:tcPr>
            <w:tcW w:type="dxa" w:w="1200"/>
            <w:tcBorders>
              <w:top w:color="auto" w:space="0" w:sz="8" w:val="single"/>
              <w:left w:val="nil"/>
              <w:bottom w:color="auto" w:space="0" w:sz="8" w:val="single"/>
              <w:right w:color="auto" w:space="0" w:sz="8" w:val="single"/>
            </w:tcBorders>
            <w:noWrap/>
            <w:tcMar>
              <w:top w:type="dxa" w:w="0"/>
              <w:left w:type="dxa" w:w="70"/>
              <w:bottom w:type="dxa" w:w="0"/>
              <w:right w:type="dxa" w:w="70"/>
            </w:tcMar>
            <w:vAlign w:val="center"/>
            <w:hideMark/>
          </w:tcPr>
          <w:p w14:paraId="66BA5260" w14:textId="12B37849" w:rsidP="00875B4E" w:rsidR="00875B4E" w:rsidRDefault="00875B4E">
            <w:pPr>
              <w:jc w:val="center"/>
              <w:rPr>
                <w:b/>
                <w:bCs/>
                <w:color w:val="000000"/>
                <w:lang w:eastAsia="fr-FR"/>
              </w:rPr>
            </w:pPr>
            <w:r>
              <w:rPr>
                <w:b/>
                <w:bCs/>
                <w:color w:val="000000"/>
                <w:lang w:eastAsia="fr-FR"/>
              </w:rPr>
              <w:t>SALAIRE</w:t>
            </w:r>
          </w:p>
        </w:tc>
      </w:tr>
      <w:tr w14:paraId="234C694D" w14:textId="77777777" w:rsidR="00875B4E" w:rsidTr="00875B4E">
        <w:trPr>
          <w:trHeight w:val="600"/>
        </w:trPr>
        <w:tc>
          <w:tcPr>
            <w:tcW w:type="dxa" w:w="1400"/>
            <w:tcBorders>
              <w:top w:val="nil"/>
              <w:left w:color="auto" w:space="0" w:sz="8" w:val="single"/>
              <w:bottom w:color="auto" w:space="0" w:sz="8" w:val="single"/>
              <w:right w:color="auto" w:space="0" w:sz="8" w:val="single"/>
            </w:tcBorders>
            <w:tcMar>
              <w:top w:type="dxa" w:w="0"/>
              <w:left w:type="dxa" w:w="70"/>
              <w:bottom w:type="dxa" w:w="0"/>
              <w:right w:type="dxa" w:w="70"/>
            </w:tcMar>
            <w:vAlign w:val="center"/>
            <w:hideMark/>
          </w:tcPr>
          <w:p w14:paraId="69528C64" w14:textId="77777777" w:rsidP="00875B4E" w:rsidR="00875B4E" w:rsidRDefault="00875B4E">
            <w:pPr>
              <w:jc w:val="center"/>
              <w:rPr>
                <w:color w:val="000000"/>
                <w:lang w:eastAsia="fr-FR"/>
              </w:rPr>
            </w:pPr>
            <w:r>
              <w:rPr>
                <w:color w:val="000000"/>
                <w:lang w:eastAsia="fr-FR"/>
              </w:rPr>
              <w:t>Agent logistique</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1EE0D9A8" w14:textId="77777777" w:rsidP="00875B4E" w:rsidR="00875B4E" w:rsidRDefault="00875B4E">
            <w:pPr>
              <w:jc w:val="center"/>
              <w:rPr>
                <w:color w:val="000000"/>
                <w:lang w:eastAsia="fr-FR"/>
              </w:rPr>
            </w:pPr>
            <w:r>
              <w:rPr>
                <w:color w:val="000000"/>
                <w:lang w:eastAsia="fr-FR"/>
              </w:rPr>
              <w:t>1</w:t>
            </w:r>
          </w:p>
        </w:tc>
        <w:tc>
          <w:tcPr>
            <w:tcW w:type="dxa" w:w="19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330AC924" w14:textId="77777777" w:rsidP="00875B4E" w:rsidR="00875B4E" w:rsidRDefault="00875B4E">
            <w:pPr>
              <w:jc w:val="center"/>
              <w:rPr>
                <w:color w:val="000000"/>
                <w:lang w:eastAsia="fr-FR"/>
              </w:rPr>
            </w:pPr>
            <w:r>
              <w:rPr>
                <w:color w:val="000000"/>
                <w:lang w:eastAsia="fr-FR"/>
              </w:rPr>
              <w:t>0</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3FD32C04" w14:textId="77777777" w:rsidP="00875B4E" w:rsidR="00875B4E" w:rsidRDefault="00875B4E">
            <w:pPr>
              <w:jc w:val="center"/>
              <w:rPr>
                <w:color w:val="000000"/>
                <w:lang w:eastAsia="fr-FR"/>
              </w:rPr>
            </w:pPr>
            <w:r>
              <w:rPr>
                <w:color w:val="000000"/>
                <w:lang w:eastAsia="fr-FR"/>
              </w:rPr>
              <w:t>1709,28</w:t>
            </w:r>
          </w:p>
        </w:tc>
      </w:tr>
      <w:tr w14:paraId="3CDF2900" w14:textId="77777777" w:rsidR="00875B4E" w:rsidTr="00875B4E">
        <w:trPr>
          <w:trHeight w:val="600"/>
        </w:trPr>
        <w:tc>
          <w:tcPr>
            <w:tcW w:type="dxa" w:w="1400"/>
            <w:tcBorders>
              <w:top w:val="nil"/>
              <w:left w:color="auto" w:space="0" w:sz="8" w:val="single"/>
              <w:bottom w:color="auto" w:space="0" w:sz="8" w:val="single"/>
              <w:right w:color="auto" w:space="0" w:sz="8" w:val="single"/>
            </w:tcBorders>
            <w:tcMar>
              <w:top w:type="dxa" w:w="0"/>
              <w:left w:type="dxa" w:w="70"/>
              <w:bottom w:type="dxa" w:w="0"/>
              <w:right w:type="dxa" w:w="70"/>
            </w:tcMar>
            <w:vAlign w:val="center"/>
            <w:hideMark/>
          </w:tcPr>
          <w:p w14:paraId="45706C44" w14:textId="77777777" w:rsidP="00875B4E" w:rsidR="00875B4E" w:rsidRDefault="00875B4E">
            <w:pPr>
              <w:jc w:val="center"/>
              <w:rPr>
                <w:color w:val="000000"/>
                <w:lang w:eastAsia="fr-FR"/>
              </w:rPr>
            </w:pPr>
            <w:r>
              <w:rPr>
                <w:color w:val="000000"/>
                <w:lang w:eastAsia="fr-FR"/>
              </w:rPr>
              <w:t>Agent logistique</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04F63683" w14:textId="77777777" w:rsidP="00875B4E" w:rsidR="00875B4E" w:rsidRDefault="00875B4E">
            <w:pPr>
              <w:jc w:val="center"/>
              <w:rPr>
                <w:color w:val="000000"/>
                <w:lang w:eastAsia="fr-FR"/>
              </w:rPr>
            </w:pPr>
            <w:r>
              <w:rPr>
                <w:color w:val="000000"/>
                <w:lang w:eastAsia="fr-FR"/>
              </w:rPr>
              <w:t>2</w:t>
            </w:r>
          </w:p>
        </w:tc>
        <w:tc>
          <w:tcPr>
            <w:tcW w:type="dxa" w:w="19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495EFD7" w14:textId="77777777" w:rsidP="00875B4E" w:rsidR="00875B4E" w:rsidRDefault="00875B4E">
            <w:pPr>
              <w:jc w:val="center"/>
              <w:rPr>
                <w:color w:val="000000"/>
                <w:lang w:eastAsia="fr-FR"/>
              </w:rPr>
            </w:pPr>
            <w:r>
              <w:rPr>
                <w:color w:val="000000"/>
                <w:lang w:eastAsia="fr-FR"/>
              </w:rPr>
              <w:t>1</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371F0A69" w14:textId="77777777" w:rsidP="00875B4E" w:rsidR="00875B4E" w:rsidRDefault="00875B4E">
            <w:pPr>
              <w:jc w:val="center"/>
              <w:rPr>
                <w:color w:val="000000"/>
                <w:lang w:eastAsia="fr-FR"/>
              </w:rPr>
            </w:pPr>
            <w:r>
              <w:rPr>
                <w:color w:val="000000"/>
                <w:lang w:eastAsia="fr-FR"/>
              </w:rPr>
              <w:t>1720</w:t>
            </w:r>
          </w:p>
        </w:tc>
      </w:tr>
      <w:tr w14:paraId="1E839404" w14:textId="77777777" w:rsidR="00875B4E" w:rsidTr="00875B4E">
        <w:trPr>
          <w:trHeight w:val="600"/>
        </w:trPr>
        <w:tc>
          <w:tcPr>
            <w:tcW w:type="dxa" w:w="1400"/>
            <w:tcBorders>
              <w:top w:val="nil"/>
              <w:left w:color="auto" w:space="0" w:sz="8" w:val="single"/>
              <w:bottom w:color="auto" w:space="0" w:sz="8" w:val="single"/>
              <w:right w:color="auto" w:space="0" w:sz="8" w:val="single"/>
            </w:tcBorders>
            <w:tcMar>
              <w:top w:type="dxa" w:w="0"/>
              <w:left w:type="dxa" w:w="70"/>
              <w:bottom w:type="dxa" w:w="0"/>
              <w:right w:type="dxa" w:w="70"/>
            </w:tcMar>
            <w:vAlign w:val="center"/>
            <w:hideMark/>
          </w:tcPr>
          <w:p w14:paraId="5834AA15" w14:textId="77777777" w:rsidP="00875B4E" w:rsidR="00875B4E" w:rsidRDefault="00875B4E">
            <w:pPr>
              <w:jc w:val="center"/>
              <w:rPr>
                <w:color w:val="000000"/>
                <w:lang w:eastAsia="fr-FR"/>
              </w:rPr>
            </w:pPr>
            <w:r>
              <w:rPr>
                <w:color w:val="000000"/>
                <w:lang w:eastAsia="fr-FR"/>
              </w:rPr>
              <w:t>Agent logistique</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76DD399" w14:textId="77777777" w:rsidP="00875B4E" w:rsidR="00875B4E" w:rsidRDefault="00875B4E">
            <w:pPr>
              <w:jc w:val="center"/>
              <w:rPr>
                <w:color w:val="000000"/>
                <w:lang w:eastAsia="fr-FR"/>
              </w:rPr>
            </w:pPr>
            <w:r>
              <w:rPr>
                <w:color w:val="000000"/>
                <w:lang w:eastAsia="fr-FR"/>
              </w:rPr>
              <w:t>3</w:t>
            </w:r>
          </w:p>
        </w:tc>
        <w:tc>
          <w:tcPr>
            <w:tcW w:type="dxa" w:w="19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4B5B8AF8" w14:textId="77777777" w:rsidP="00875B4E" w:rsidR="00875B4E" w:rsidRDefault="00875B4E">
            <w:pPr>
              <w:jc w:val="center"/>
              <w:rPr>
                <w:color w:val="000000"/>
                <w:lang w:eastAsia="fr-FR"/>
              </w:rPr>
            </w:pPr>
            <w:r>
              <w:rPr>
                <w:color w:val="000000"/>
                <w:lang w:eastAsia="fr-FR"/>
              </w:rPr>
              <w:t>5</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11EF25A3" w14:textId="77777777" w:rsidP="00875B4E" w:rsidR="00875B4E" w:rsidRDefault="00875B4E">
            <w:pPr>
              <w:jc w:val="center"/>
              <w:rPr>
                <w:color w:val="000000"/>
                <w:lang w:eastAsia="fr-FR"/>
              </w:rPr>
            </w:pPr>
            <w:r>
              <w:rPr>
                <w:color w:val="000000"/>
                <w:lang w:eastAsia="fr-FR"/>
              </w:rPr>
              <w:t>1830</w:t>
            </w:r>
          </w:p>
        </w:tc>
      </w:tr>
      <w:tr w14:paraId="77DACBE9" w14:textId="77777777" w:rsidR="00875B4E" w:rsidTr="00875B4E">
        <w:trPr>
          <w:trHeight w:val="525"/>
        </w:trPr>
        <w:tc>
          <w:tcPr>
            <w:tcW w:type="dxa" w:w="1400"/>
            <w:tcBorders>
              <w:top w:val="nil"/>
              <w:left w:color="auto" w:space="0" w:sz="8" w:val="single"/>
              <w:bottom w:color="auto" w:space="0" w:sz="8" w:val="single"/>
              <w:right w:color="auto" w:space="0" w:sz="8" w:val="single"/>
            </w:tcBorders>
            <w:tcMar>
              <w:top w:type="dxa" w:w="0"/>
              <w:left w:type="dxa" w:w="70"/>
              <w:bottom w:type="dxa" w:w="0"/>
              <w:right w:type="dxa" w:w="70"/>
            </w:tcMar>
            <w:vAlign w:val="center"/>
            <w:hideMark/>
          </w:tcPr>
          <w:p w14:paraId="38D220F7" w14:textId="77777777" w:rsidP="00875B4E" w:rsidR="00875B4E" w:rsidRDefault="00875B4E">
            <w:pPr>
              <w:jc w:val="center"/>
              <w:rPr>
                <w:color w:val="000000"/>
                <w:lang w:eastAsia="fr-FR"/>
              </w:rPr>
            </w:pPr>
            <w:r>
              <w:rPr>
                <w:color w:val="000000"/>
                <w:lang w:eastAsia="fr-FR"/>
              </w:rPr>
              <w:t>Coordinateur</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0477074" w14:textId="77777777" w:rsidP="00875B4E" w:rsidR="00875B4E" w:rsidRDefault="00875B4E">
            <w:pPr>
              <w:jc w:val="center"/>
              <w:rPr>
                <w:color w:val="000000"/>
                <w:lang w:eastAsia="fr-FR"/>
              </w:rPr>
            </w:pPr>
            <w:r>
              <w:rPr>
                <w:color w:val="000000"/>
                <w:lang w:eastAsia="fr-FR"/>
              </w:rPr>
              <w:t>1</w:t>
            </w:r>
          </w:p>
        </w:tc>
        <w:tc>
          <w:tcPr>
            <w:tcW w:type="dxa" w:w="19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7FB21257" w14:textId="77777777" w:rsidP="00875B4E" w:rsidR="00875B4E" w:rsidRDefault="00875B4E">
            <w:pPr>
              <w:jc w:val="center"/>
              <w:rPr>
                <w:color w:val="000000"/>
                <w:lang w:eastAsia="fr-FR"/>
              </w:rPr>
            </w:pPr>
            <w:r>
              <w:rPr>
                <w:color w:val="000000"/>
                <w:lang w:eastAsia="fr-FR"/>
              </w:rPr>
              <w:t>0</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6D768BB7" w14:textId="77777777" w:rsidP="00875B4E" w:rsidR="00875B4E" w:rsidRDefault="00875B4E">
            <w:pPr>
              <w:jc w:val="center"/>
              <w:rPr>
                <w:color w:val="000000"/>
                <w:lang w:eastAsia="fr-FR"/>
              </w:rPr>
            </w:pPr>
            <w:r>
              <w:rPr>
                <w:color w:val="000000"/>
                <w:lang w:eastAsia="fr-FR"/>
              </w:rPr>
              <w:t>1850</w:t>
            </w:r>
          </w:p>
        </w:tc>
      </w:tr>
      <w:tr w14:paraId="589D0142" w14:textId="77777777" w:rsidR="00875B4E" w:rsidTr="00875B4E">
        <w:trPr>
          <w:trHeight w:val="540"/>
        </w:trPr>
        <w:tc>
          <w:tcPr>
            <w:tcW w:type="dxa" w:w="1400"/>
            <w:tcBorders>
              <w:top w:val="nil"/>
              <w:left w:color="auto" w:space="0" w:sz="8" w:val="single"/>
              <w:bottom w:color="auto" w:space="0" w:sz="8" w:val="single"/>
              <w:right w:color="auto" w:space="0" w:sz="8" w:val="single"/>
            </w:tcBorders>
            <w:tcMar>
              <w:top w:type="dxa" w:w="0"/>
              <w:left w:type="dxa" w:w="70"/>
              <w:bottom w:type="dxa" w:w="0"/>
              <w:right w:type="dxa" w:w="70"/>
            </w:tcMar>
            <w:vAlign w:val="center"/>
            <w:hideMark/>
          </w:tcPr>
          <w:p w14:paraId="1FCDA128" w14:textId="77777777" w:rsidP="00875B4E" w:rsidR="00875B4E" w:rsidRDefault="00875B4E">
            <w:pPr>
              <w:jc w:val="center"/>
              <w:rPr>
                <w:color w:val="000000"/>
                <w:lang w:eastAsia="fr-FR"/>
              </w:rPr>
            </w:pPr>
            <w:r>
              <w:rPr>
                <w:color w:val="000000"/>
                <w:lang w:eastAsia="fr-FR"/>
              </w:rPr>
              <w:t>Coordinateur</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2EAC4A95" w14:textId="77777777" w:rsidP="00875B4E" w:rsidR="00875B4E" w:rsidRDefault="00875B4E">
            <w:pPr>
              <w:jc w:val="center"/>
              <w:rPr>
                <w:color w:val="000000"/>
                <w:lang w:eastAsia="fr-FR"/>
              </w:rPr>
            </w:pPr>
            <w:r>
              <w:rPr>
                <w:color w:val="000000"/>
                <w:lang w:eastAsia="fr-FR"/>
              </w:rPr>
              <w:t>2</w:t>
            </w:r>
          </w:p>
        </w:tc>
        <w:tc>
          <w:tcPr>
            <w:tcW w:type="dxa" w:w="19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22B601CF" w14:textId="77777777" w:rsidP="00875B4E" w:rsidR="00875B4E" w:rsidRDefault="00875B4E">
            <w:pPr>
              <w:jc w:val="center"/>
              <w:rPr>
                <w:color w:val="000000"/>
                <w:lang w:eastAsia="fr-FR"/>
              </w:rPr>
            </w:pPr>
            <w:r>
              <w:rPr>
                <w:color w:val="000000"/>
                <w:lang w:eastAsia="fr-FR"/>
              </w:rPr>
              <w:t>5</w:t>
            </w:r>
          </w:p>
        </w:tc>
        <w:tc>
          <w:tcPr>
            <w:tcW w:type="dxa" w:w="1200"/>
            <w:tcBorders>
              <w:top w:val="nil"/>
              <w:left w:val="nil"/>
              <w:bottom w:color="auto" w:space="0" w:sz="8" w:val="single"/>
              <w:right w:color="auto" w:space="0" w:sz="8" w:val="single"/>
            </w:tcBorders>
            <w:noWrap/>
            <w:tcMar>
              <w:top w:type="dxa" w:w="0"/>
              <w:left w:type="dxa" w:w="70"/>
              <w:bottom w:type="dxa" w:w="0"/>
              <w:right w:type="dxa" w:w="70"/>
            </w:tcMar>
            <w:vAlign w:val="center"/>
            <w:hideMark/>
          </w:tcPr>
          <w:p w14:paraId="3B702735" w14:textId="77777777" w:rsidP="00875B4E" w:rsidR="00875B4E" w:rsidRDefault="00875B4E">
            <w:pPr>
              <w:jc w:val="center"/>
              <w:rPr>
                <w:color w:val="000000"/>
                <w:lang w:eastAsia="fr-FR"/>
              </w:rPr>
            </w:pPr>
            <w:r>
              <w:rPr>
                <w:color w:val="000000"/>
                <w:lang w:eastAsia="fr-FR"/>
              </w:rPr>
              <w:t>1900</w:t>
            </w:r>
          </w:p>
        </w:tc>
      </w:tr>
    </w:tbl>
    <w:p w14:paraId="5720B4BE" w14:textId="77777777" w:rsidP="00C660EB" w:rsidR="00875B4E" w:rsidRDefault="00875B4E"/>
    <w:p w14:paraId="790AF6F5" w14:textId="6FD2FBD4" w:rsidP="00692381" w:rsidR="00692381" w:rsidRDefault="0078120A">
      <w:pPr>
        <w:pStyle w:val="Titre2"/>
      </w:pPr>
      <w:r>
        <w:t>Article 2 :</w:t>
      </w:r>
      <w:r w:rsidR="00692381" w:rsidRPr="00AE69C0">
        <w:t xml:space="preserve"> </w:t>
      </w:r>
      <w:r w:rsidR="00692381">
        <w:t xml:space="preserve">Evolution salariale </w:t>
      </w:r>
      <w:r w:rsidR="00500113">
        <w:t>générale</w:t>
      </w:r>
    </w:p>
    <w:p w14:paraId="34B11EDF" w14:textId="3DAE3848" w:rsidP="00692381" w:rsidR="00692381" w:rsidRDefault="00692381"/>
    <w:p w14:paraId="5FB1F4A7" w14:textId="1D2281A2" w:rsidP="00692381" w:rsidR="0078120A" w:rsidRDefault="0078120A" w:rsidRPr="006915C2">
      <w:r>
        <w:t>Il a été décid</w:t>
      </w:r>
      <w:r w:rsidR="002D5793">
        <w:t>é</w:t>
      </w:r>
      <w:r>
        <w:t xml:space="preserve"> d’attribuer un 13</w:t>
      </w:r>
      <w:r w:rsidR="00B37C13" w:rsidRPr="00B37C13">
        <w:rPr>
          <w:vertAlign w:val="superscript"/>
        </w:rPr>
        <w:t>ème</w:t>
      </w:r>
      <w:r w:rsidR="00B37C13">
        <w:t xml:space="preserve"> </w:t>
      </w:r>
      <w:r>
        <w:t xml:space="preserve">mois </w:t>
      </w:r>
      <w:r w:rsidR="00B37C13">
        <w:t xml:space="preserve">de salaire </w:t>
      </w:r>
      <w:r>
        <w:t>progressif</w:t>
      </w:r>
      <w:r w:rsidR="006B1486">
        <w:t xml:space="preserve">, </w:t>
      </w:r>
      <w:r w:rsidR="002D5793">
        <w:t xml:space="preserve">dont le mode de calcul </w:t>
      </w:r>
      <w:r w:rsidR="00B37C13">
        <w:t xml:space="preserve">repose sur l’ancienneté du salarié au sein de l’entreprise, le mode de calcul </w:t>
      </w:r>
      <w:r w:rsidR="002D5793">
        <w:t xml:space="preserve">est établi comme suit : </w:t>
      </w:r>
    </w:p>
    <w:p w14:paraId="00C654D3" w14:textId="3EE64E15" w:rsidP="0078120A" w:rsidR="0078120A" w:rsidRDefault="0078120A">
      <w:pPr>
        <w:numPr>
          <w:ilvl w:val="0"/>
          <w:numId w:val="5"/>
        </w:numPr>
        <w:spacing w:after="0" w:line="240" w:lineRule="atLeast"/>
        <w:jc w:val="both"/>
        <w:rPr>
          <w:rFonts w:eastAsia="Times New Roman"/>
        </w:rPr>
      </w:pPr>
      <w:r>
        <w:rPr>
          <w:rFonts w:eastAsia="Times New Roman"/>
        </w:rPr>
        <w:t xml:space="preserve">¼ mois </w:t>
      </w:r>
      <w:r w:rsidR="00F70F93">
        <w:rPr>
          <w:rFonts w:eastAsia="Times New Roman"/>
        </w:rPr>
        <w:t xml:space="preserve">de salaire </w:t>
      </w:r>
      <w:r w:rsidR="00E5164A">
        <w:rPr>
          <w:rFonts w:eastAsia="Times New Roman"/>
        </w:rPr>
        <w:t xml:space="preserve">au bout de </w:t>
      </w:r>
      <w:r>
        <w:rPr>
          <w:rFonts w:eastAsia="Times New Roman"/>
        </w:rPr>
        <w:t>la 1</w:t>
      </w:r>
      <w:r>
        <w:rPr>
          <w:rFonts w:eastAsia="Times New Roman"/>
          <w:vertAlign w:val="superscript"/>
        </w:rPr>
        <w:t>ère</w:t>
      </w:r>
      <w:r>
        <w:rPr>
          <w:rFonts w:eastAsia="Times New Roman"/>
        </w:rPr>
        <w:t xml:space="preserve"> année </w:t>
      </w:r>
      <w:r w:rsidR="00E5164A">
        <w:rPr>
          <w:rFonts w:eastAsia="Times New Roman"/>
        </w:rPr>
        <w:t xml:space="preserve">d’ancienneté ; </w:t>
      </w:r>
    </w:p>
    <w:p w14:paraId="53B0D2F1" w14:textId="2C99DECC" w:rsidP="0078120A" w:rsidR="0078120A" w:rsidRDefault="0078120A">
      <w:pPr>
        <w:numPr>
          <w:ilvl w:val="0"/>
          <w:numId w:val="5"/>
        </w:numPr>
        <w:spacing w:after="0" w:line="240" w:lineRule="atLeast"/>
        <w:jc w:val="both"/>
        <w:rPr>
          <w:rFonts w:eastAsia="Times New Roman"/>
        </w:rPr>
      </w:pPr>
      <w:r>
        <w:rPr>
          <w:rFonts w:eastAsia="Times New Roman"/>
        </w:rPr>
        <w:t>½ mois</w:t>
      </w:r>
      <w:r w:rsidR="00E5164A">
        <w:rPr>
          <w:rFonts w:eastAsia="Times New Roman"/>
        </w:rPr>
        <w:t xml:space="preserve"> de salaire au bout de</w:t>
      </w:r>
      <w:r>
        <w:rPr>
          <w:rFonts w:eastAsia="Times New Roman"/>
        </w:rPr>
        <w:t xml:space="preserve"> la 2ème année </w:t>
      </w:r>
      <w:r w:rsidR="00E5164A">
        <w:rPr>
          <w:rFonts w:eastAsia="Times New Roman"/>
        </w:rPr>
        <w:t>d’ancienneté ;</w:t>
      </w:r>
    </w:p>
    <w:p w14:paraId="41995728" w14:textId="08763503" w:rsidP="0078120A" w:rsidR="0078120A" w:rsidRDefault="0078120A">
      <w:pPr>
        <w:numPr>
          <w:ilvl w:val="0"/>
          <w:numId w:val="5"/>
        </w:numPr>
        <w:spacing w:after="0" w:line="240" w:lineRule="atLeast"/>
        <w:jc w:val="both"/>
        <w:rPr>
          <w:rFonts w:eastAsia="Times New Roman"/>
        </w:rPr>
      </w:pPr>
      <w:r>
        <w:rPr>
          <w:rFonts w:eastAsia="Times New Roman"/>
        </w:rPr>
        <w:t>¾ mois</w:t>
      </w:r>
      <w:r w:rsidR="00E5164A">
        <w:rPr>
          <w:rFonts w:eastAsia="Times New Roman"/>
        </w:rPr>
        <w:t xml:space="preserve"> de salarie au bout de </w:t>
      </w:r>
      <w:r>
        <w:rPr>
          <w:rFonts w:eastAsia="Times New Roman"/>
        </w:rPr>
        <w:t>la 3</w:t>
      </w:r>
      <w:r>
        <w:rPr>
          <w:rFonts w:eastAsia="Times New Roman"/>
          <w:vertAlign w:val="superscript"/>
        </w:rPr>
        <w:t>ème</w:t>
      </w:r>
      <w:r>
        <w:rPr>
          <w:rFonts w:eastAsia="Times New Roman"/>
        </w:rPr>
        <w:t xml:space="preserve"> année</w:t>
      </w:r>
      <w:r w:rsidR="00E5164A">
        <w:rPr>
          <w:rFonts w:eastAsia="Times New Roman"/>
        </w:rPr>
        <w:t xml:space="preserve"> d’ancienneté ;</w:t>
      </w:r>
    </w:p>
    <w:p w14:paraId="7D055506" w14:textId="008F90B9" w:rsidP="001B3175" w:rsidR="002D5793" w:rsidRDefault="0078120A">
      <w:pPr>
        <w:numPr>
          <w:ilvl w:val="0"/>
          <w:numId w:val="5"/>
        </w:numPr>
        <w:spacing w:after="0" w:line="240" w:lineRule="atLeast"/>
        <w:jc w:val="both"/>
        <w:rPr>
          <w:rFonts w:eastAsia="Times New Roman"/>
        </w:rPr>
      </w:pPr>
      <w:r>
        <w:rPr>
          <w:rFonts w:eastAsia="Times New Roman"/>
        </w:rPr>
        <w:t>100 % du 13</w:t>
      </w:r>
      <w:r>
        <w:rPr>
          <w:rFonts w:eastAsia="Times New Roman"/>
          <w:vertAlign w:val="superscript"/>
        </w:rPr>
        <w:t>ème</w:t>
      </w:r>
      <w:r>
        <w:rPr>
          <w:rFonts w:eastAsia="Times New Roman"/>
        </w:rPr>
        <w:t xml:space="preserve"> mois au bout de </w:t>
      </w:r>
      <w:r w:rsidR="001B3175">
        <w:rPr>
          <w:rFonts w:eastAsia="Times New Roman"/>
        </w:rPr>
        <w:t xml:space="preserve">la </w:t>
      </w:r>
      <w:r>
        <w:rPr>
          <w:rFonts w:eastAsia="Times New Roman"/>
        </w:rPr>
        <w:t>4</w:t>
      </w:r>
      <w:r w:rsidR="001B3175" w:rsidRPr="001B3175">
        <w:rPr>
          <w:rFonts w:eastAsia="Times New Roman"/>
          <w:vertAlign w:val="superscript"/>
        </w:rPr>
        <w:t>ème</w:t>
      </w:r>
      <w:r w:rsidR="001B3175">
        <w:rPr>
          <w:rFonts w:eastAsia="Times New Roman"/>
        </w:rPr>
        <w:t xml:space="preserve"> année d’ancienneté. </w:t>
      </w:r>
      <w:r>
        <w:rPr>
          <w:rFonts w:eastAsia="Times New Roman"/>
        </w:rPr>
        <w:t xml:space="preserve"> </w:t>
      </w:r>
    </w:p>
    <w:p w14:paraId="22E16AEB" w14:textId="64E28EDA" w:rsidP="00875B4E" w:rsidR="00875B4E" w:rsidRDefault="00875B4E">
      <w:pPr>
        <w:spacing w:after="0" w:line="240" w:lineRule="atLeast"/>
        <w:jc w:val="both"/>
        <w:rPr>
          <w:rFonts w:eastAsia="Times New Roman"/>
        </w:rPr>
      </w:pPr>
      <w:r>
        <w:rPr>
          <w:rFonts w:eastAsia="Times New Roman"/>
        </w:rPr>
        <w:t xml:space="preserve"> </w:t>
      </w:r>
    </w:p>
    <w:p w14:paraId="705528B3" w14:textId="77777777" w:rsidP="00875B4E" w:rsidR="006B1486" w:rsidRDefault="006B1486">
      <w:pPr>
        <w:spacing w:after="0" w:line="240" w:lineRule="atLeast"/>
        <w:jc w:val="both"/>
        <w:rPr>
          <w:rFonts w:eastAsia="Times New Roman"/>
        </w:rPr>
      </w:pPr>
      <w:r>
        <w:rPr>
          <w:rFonts w:eastAsia="Times New Roman"/>
        </w:rPr>
        <w:t>Ce dispositif concerne toutes les catégories socio-professionnelles, hormis les cadres.</w:t>
      </w:r>
    </w:p>
    <w:p w14:paraId="4A46C390" w14:textId="77777777" w:rsidP="00875B4E" w:rsidR="006B1486" w:rsidRDefault="006B1486">
      <w:pPr>
        <w:spacing w:after="0" w:line="240" w:lineRule="atLeast"/>
        <w:jc w:val="both"/>
        <w:rPr>
          <w:rFonts w:eastAsia="Times New Roman"/>
        </w:rPr>
      </w:pPr>
    </w:p>
    <w:p w14:paraId="628F1E08" w14:textId="0E0754A4" w:rsidP="00875B4E" w:rsidR="00875B4E" w:rsidRDefault="00875B4E">
      <w:pPr>
        <w:spacing w:after="0" w:line="240" w:lineRule="atLeast"/>
        <w:jc w:val="both"/>
        <w:rPr>
          <w:rFonts w:eastAsia="Times New Roman"/>
        </w:rPr>
      </w:pPr>
      <w:r>
        <w:rPr>
          <w:rFonts w:eastAsia="Times New Roman"/>
        </w:rPr>
        <w:lastRenderedPageBreak/>
        <w:t>Le salaire de référence est le salaire conventionnel de base pour la fonction occupée.</w:t>
      </w:r>
    </w:p>
    <w:p w14:paraId="4A5C89ED" w14:textId="77777777" w:rsidP="00875B4E" w:rsidR="00875B4E" w:rsidRDefault="00875B4E" w:rsidRPr="001B3175">
      <w:pPr>
        <w:spacing w:after="0" w:line="240" w:lineRule="atLeast"/>
        <w:jc w:val="both"/>
        <w:rPr>
          <w:rFonts w:eastAsia="Times New Roman"/>
        </w:rPr>
      </w:pPr>
    </w:p>
    <w:p w14:paraId="3397022E" w14:textId="52CF0ED9" w:rsidP="002D5793" w:rsidR="002D5793" w:rsidRDefault="002D5793">
      <w:pPr>
        <w:pStyle w:val="Titre2"/>
      </w:pPr>
      <w:r>
        <w:t>Article 3 :</w:t>
      </w:r>
      <w:r w:rsidRPr="00AE69C0">
        <w:t xml:space="preserve"> </w:t>
      </w:r>
      <w:r w:rsidR="00875B4E">
        <w:t>Chèques-cadeaux</w:t>
      </w:r>
    </w:p>
    <w:p w14:paraId="510F2A16" w14:textId="4DCE7DA3" w:rsidP="002D5793" w:rsidR="002D5793" w:rsidRDefault="002D5793"/>
    <w:p w14:paraId="14BB180A" w14:textId="3524C05A" w:rsidP="002D5793" w:rsidR="00875B4E" w:rsidRDefault="002D5793">
      <w:pPr>
        <w:spacing w:after="0" w:line="240" w:lineRule="atLeast"/>
        <w:jc w:val="both"/>
        <w:rPr>
          <w:rFonts w:eastAsia="Times New Roman"/>
        </w:rPr>
      </w:pPr>
      <w:r>
        <w:rPr>
          <w:rFonts w:eastAsia="Times New Roman"/>
        </w:rPr>
        <w:t>Il a été décidé</w:t>
      </w:r>
      <w:r w:rsidR="008F4A59">
        <w:rPr>
          <w:rFonts w:eastAsia="Times New Roman"/>
        </w:rPr>
        <w:t xml:space="preserve"> </w:t>
      </w:r>
      <w:r w:rsidR="00AD58A5">
        <w:rPr>
          <w:rFonts w:eastAsia="Times New Roman"/>
        </w:rPr>
        <w:t>de faire bénéficier tous les salariés d</w:t>
      </w:r>
      <w:r w:rsidR="00875B4E">
        <w:rPr>
          <w:rFonts w:eastAsia="Times New Roman"/>
        </w:rPr>
        <w:t>e</w:t>
      </w:r>
      <w:r>
        <w:rPr>
          <w:rFonts w:eastAsia="Times New Roman"/>
        </w:rPr>
        <w:t xml:space="preserve"> chèque</w:t>
      </w:r>
      <w:r w:rsidR="00875B4E">
        <w:rPr>
          <w:rFonts w:eastAsia="Times New Roman"/>
        </w:rPr>
        <w:t>s</w:t>
      </w:r>
      <w:r>
        <w:rPr>
          <w:rFonts w:eastAsia="Times New Roman"/>
        </w:rPr>
        <w:t xml:space="preserve"> cadeaux</w:t>
      </w:r>
      <w:r w:rsidR="00AD58A5">
        <w:rPr>
          <w:rFonts w:eastAsia="Times New Roman"/>
        </w:rPr>
        <w:t xml:space="preserve">. </w:t>
      </w:r>
    </w:p>
    <w:p w14:paraId="5CD3670A" w14:textId="77777777" w:rsidP="002D5793" w:rsidR="00875B4E" w:rsidRDefault="00875B4E">
      <w:pPr>
        <w:spacing w:after="0" w:line="240" w:lineRule="atLeast"/>
        <w:jc w:val="both"/>
        <w:rPr>
          <w:rFonts w:eastAsia="Times New Roman"/>
        </w:rPr>
      </w:pPr>
    </w:p>
    <w:p w14:paraId="43166335" w14:textId="0BFBEE2C" w:rsidP="002D5793" w:rsidR="002D5793" w:rsidRDefault="00AD58A5">
      <w:pPr>
        <w:spacing w:after="0" w:line="240" w:lineRule="atLeast"/>
        <w:jc w:val="both"/>
        <w:rPr>
          <w:rFonts w:eastAsia="Times New Roman"/>
        </w:rPr>
      </w:pPr>
      <w:r>
        <w:rPr>
          <w:rFonts w:eastAsia="Times New Roman"/>
        </w:rPr>
        <w:t>Ce</w:t>
      </w:r>
      <w:r w:rsidR="00875B4E">
        <w:rPr>
          <w:rFonts w:eastAsia="Times New Roman"/>
        </w:rPr>
        <w:t>s</w:t>
      </w:r>
      <w:r>
        <w:rPr>
          <w:rFonts w:eastAsia="Times New Roman"/>
        </w:rPr>
        <w:t xml:space="preserve"> dernier</w:t>
      </w:r>
      <w:r w:rsidR="00875B4E">
        <w:rPr>
          <w:rFonts w:eastAsia="Times New Roman"/>
        </w:rPr>
        <w:t>s</w:t>
      </w:r>
      <w:r>
        <w:rPr>
          <w:rFonts w:eastAsia="Times New Roman"/>
        </w:rPr>
        <w:t xml:space="preserve"> ser</w:t>
      </w:r>
      <w:r w:rsidR="00875B4E">
        <w:rPr>
          <w:rFonts w:eastAsia="Times New Roman"/>
        </w:rPr>
        <w:t>ont</w:t>
      </w:r>
      <w:r>
        <w:rPr>
          <w:rFonts w:eastAsia="Times New Roman"/>
        </w:rPr>
        <w:t xml:space="preserve"> remis lors de la période de fin d’année et cela </w:t>
      </w:r>
      <w:r w:rsidR="002D5793">
        <w:rPr>
          <w:rFonts w:eastAsia="Times New Roman"/>
        </w:rPr>
        <w:t>jusqu’à ce que le Comité Social et Economique dispose éventuellement d’un budget dans les années à venir</w:t>
      </w:r>
      <w:r w:rsidR="00875B4E">
        <w:rPr>
          <w:rFonts w:eastAsia="Times New Roman"/>
        </w:rPr>
        <w:t xml:space="preserve"> conformément à la législation en vigueur</w:t>
      </w:r>
      <w:r w:rsidR="005E2DF5">
        <w:rPr>
          <w:rFonts w:eastAsia="Times New Roman"/>
        </w:rPr>
        <w:t xml:space="preserve">. </w:t>
      </w:r>
    </w:p>
    <w:p w14:paraId="7EDDCDA4" w14:textId="1528019A" w:rsidP="00692381" w:rsidR="002D5793" w:rsidRDefault="002D5793">
      <w:pPr>
        <w:jc w:val="both"/>
        <w:rPr>
          <w:b/>
          <w:bCs/>
          <w:color w:themeColor="accent1" w:val="4472C4"/>
        </w:rPr>
      </w:pPr>
    </w:p>
    <w:p w14:paraId="74642F51" w14:textId="6C798022" w:rsidP="00B54E89" w:rsidR="001B1D7F" w:rsidRDefault="001B1D7F">
      <w:pPr>
        <w:pStyle w:val="Titre2"/>
      </w:pPr>
      <w:r>
        <w:t>Article 4 :</w:t>
      </w:r>
      <w:r w:rsidRPr="00AE69C0">
        <w:t xml:space="preserve"> </w:t>
      </w:r>
      <w:r>
        <w:t>Date d’effet, dénonciation, durée</w:t>
      </w:r>
    </w:p>
    <w:p w14:paraId="0C35885F" w14:textId="77777777" w:rsidP="00875B4E" w:rsidR="00875B4E" w:rsidRDefault="00875B4E" w:rsidRPr="00875B4E"/>
    <w:p w14:paraId="6920B23D" w14:textId="67B8949B" w:rsidP="00692381" w:rsidR="00692381" w:rsidRDefault="001B1D7F" w:rsidRPr="002400E7">
      <w:pPr>
        <w:jc w:val="both"/>
        <w:rPr>
          <w:b/>
          <w:bCs/>
          <w:color w:themeColor="accent1" w:val="4472C4"/>
        </w:rPr>
      </w:pPr>
      <w:bookmarkStart w:id="2" w:name="_Hlk92876338"/>
      <w:r>
        <w:rPr>
          <w:b/>
          <w:bCs/>
          <w:color w:themeColor="accent1" w:val="4472C4"/>
        </w:rPr>
        <w:t>4</w:t>
      </w:r>
      <w:r w:rsidR="00692381" w:rsidRPr="002400E7">
        <w:rPr>
          <w:b/>
          <w:bCs/>
          <w:color w:themeColor="accent1" w:val="4472C4"/>
        </w:rPr>
        <w:t xml:space="preserve">.1 Durée, dénonciation et révision de l’accord </w:t>
      </w:r>
    </w:p>
    <w:p w14:paraId="2662AC59" w14:textId="0D69E529" w:rsidP="00692381" w:rsidR="00692381" w:rsidRDefault="00692381" w:rsidRPr="00263BBB">
      <w:pPr>
        <w:jc w:val="both"/>
      </w:pPr>
      <w:r w:rsidRPr="00263BBB">
        <w:t xml:space="preserve">Le présent accord </w:t>
      </w:r>
      <w:r w:rsidRPr="005132BD">
        <w:t>prendra effet le 1</w:t>
      </w:r>
      <w:r w:rsidRPr="005132BD">
        <w:rPr>
          <w:vertAlign w:val="superscript"/>
        </w:rPr>
        <w:t>er</w:t>
      </w:r>
      <w:r w:rsidRPr="005132BD">
        <w:t xml:space="preserve"> janvier 202</w:t>
      </w:r>
      <w:r w:rsidR="00B54E89">
        <w:t>3</w:t>
      </w:r>
      <w:r w:rsidRPr="005132BD">
        <w:t xml:space="preserve"> et est conclu</w:t>
      </w:r>
      <w:r w:rsidRPr="00263BBB">
        <w:t xml:space="preserve"> pour une durée indéterminée.</w:t>
      </w:r>
    </w:p>
    <w:p w14:paraId="327A922C" w14:textId="77777777" w:rsidP="00692381" w:rsidR="00692381" w:rsidRDefault="00692381" w:rsidRPr="00263BBB">
      <w:pPr>
        <w:jc w:val="both"/>
      </w:pPr>
      <w:r w:rsidRPr="00263BBB">
        <w:t xml:space="preserve">Il pourra être dénoncé par l’une ou l’autre des </w:t>
      </w:r>
      <w:r>
        <w:t>Parties</w:t>
      </w:r>
      <w:r w:rsidRPr="00263BBB">
        <w:t xml:space="preserve"> par lettre recommandée avec accusé de réception sous réserve de respecter un préavis de 3 mois.</w:t>
      </w:r>
    </w:p>
    <w:p w14:paraId="23467289" w14:textId="77777777" w:rsidP="00692381" w:rsidR="00692381" w:rsidRDefault="00692381" w:rsidRPr="00263BBB">
      <w:pPr>
        <w:jc w:val="both"/>
      </w:pPr>
      <w:r w:rsidRPr="00263BBB">
        <w:t xml:space="preserve">Toute demande de révision à l’initiative de l’une ou l’autre des </w:t>
      </w:r>
      <w:r>
        <w:t>Parties</w:t>
      </w:r>
      <w:r w:rsidRPr="00263BBB">
        <w:t xml:space="preserve"> doit être formulée par lettre recommandée avec accusé de réception. Elle devra être inscrite à l’ordre du jour dans un délai maximum de 3 mois.</w:t>
      </w:r>
    </w:p>
    <w:p w14:paraId="60A4AF5C" w14:textId="77777777" w:rsidP="00692381" w:rsidR="00692381" w:rsidRDefault="00692381" w:rsidRPr="00263BBB">
      <w:pPr>
        <w:jc w:val="both"/>
      </w:pPr>
      <w:r w:rsidRPr="00263BBB">
        <w:t xml:space="preserve">Toute demande de révision doit s’accompagner d’un projet sur des points visés. </w:t>
      </w:r>
    </w:p>
    <w:p w14:paraId="28E8421A" w14:textId="77777777" w:rsidP="00692381" w:rsidR="00692381" w:rsidRDefault="00692381" w:rsidRPr="00263BBB">
      <w:pPr>
        <w:jc w:val="both"/>
      </w:pPr>
      <w:r w:rsidRPr="00263BBB">
        <w:t xml:space="preserve">En cas de révision, toute modification qui ferait l’objet d’un accord entre les </w:t>
      </w:r>
      <w:r>
        <w:t>Parties</w:t>
      </w:r>
      <w:r w:rsidRPr="00263BBB">
        <w:t xml:space="preserve"> signataires donnera lieu à la signature d’un nouvel avenant.</w:t>
      </w:r>
    </w:p>
    <w:p w14:paraId="713CA593" w14:textId="46ACEA36" w:rsidP="00692381" w:rsidR="00692381" w:rsidRDefault="00692381">
      <w:pPr>
        <w:jc w:val="both"/>
      </w:pPr>
      <w:r w:rsidRPr="00263BBB">
        <w:t xml:space="preserve">En cas de dénonciation, tant qu’un nouvel accord ne sera pas intervenu, les dispositions du présent accord </w:t>
      </w:r>
      <w:r w:rsidRPr="002400E7">
        <w:t>continueront de s’appliquer</w:t>
      </w:r>
      <w:bookmarkStart w:id="3" w:name="_Toc92386322"/>
      <w:bookmarkEnd w:id="2"/>
      <w:r w:rsidR="00875B4E">
        <w:t>.</w:t>
      </w:r>
    </w:p>
    <w:p w14:paraId="72A2073C" w14:textId="77777777" w:rsidP="00692381" w:rsidR="00875B4E" w:rsidRDefault="00875B4E" w:rsidRPr="002400E7">
      <w:pPr>
        <w:jc w:val="both"/>
      </w:pPr>
    </w:p>
    <w:p w14:paraId="3EA8F934" w14:textId="1833977B" w:rsidP="00692381" w:rsidR="00692381" w:rsidRDefault="001B1D7F" w:rsidRPr="002400E7">
      <w:pPr>
        <w:jc w:val="both"/>
        <w:rPr>
          <w:b/>
          <w:bCs/>
          <w:color w:themeColor="accent1" w:val="4472C4"/>
        </w:rPr>
      </w:pPr>
      <w:r>
        <w:rPr>
          <w:b/>
          <w:bCs/>
          <w:color w:themeColor="accent1" w:val="4472C4"/>
        </w:rPr>
        <w:t>4</w:t>
      </w:r>
      <w:r w:rsidR="00692381" w:rsidRPr="002400E7">
        <w:rPr>
          <w:b/>
          <w:bCs/>
          <w:color w:themeColor="accent1" w:val="4472C4"/>
        </w:rPr>
        <w:t>.2</w:t>
      </w:r>
      <w:r w:rsidR="00692381" w:rsidRPr="002400E7">
        <w:rPr>
          <w:rFonts w:ascii="Calibri" w:cs="Calibri" w:hAnsi="Calibri"/>
          <w:b/>
          <w:bCs/>
          <w:color w:themeColor="accent1" w:val="4472C4"/>
        </w:rPr>
        <w:t xml:space="preserve"> Publicité</w:t>
      </w:r>
      <w:bookmarkEnd w:id="3"/>
    </w:p>
    <w:p w14:paraId="736D2305" w14:textId="77777777" w:rsidP="00692381" w:rsidR="00692381" w:rsidRDefault="00692381" w:rsidRPr="00263BBB">
      <w:pPr>
        <w:jc w:val="both"/>
      </w:pPr>
      <w:r w:rsidRPr="00501F10">
        <w:t xml:space="preserve">Le présent accord donnera lieu à dépôt dans les conditions prévues par le Code du travail, à savoir dépôt sur support électronique auprès de la </w:t>
      </w:r>
      <w:r>
        <w:t>DREETS</w:t>
      </w:r>
      <w:r w:rsidRPr="00501F10">
        <w:t xml:space="preserve"> </w:t>
      </w:r>
      <w:r>
        <w:t>d’Orléans</w:t>
      </w:r>
      <w:r w:rsidRPr="00501F10">
        <w:t xml:space="preserve"> et en exemplaire auprès du greffe du conseil des prud’hommes.</w:t>
      </w:r>
    </w:p>
    <w:p w14:paraId="3CE55C92" w14:textId="77777777" w:rsidP="00692381" w:rsidR="00692381" w:rsidRDefault="00692381">
      <w:pPr>
        <w:pStyle w:val="Corpsdetexte"/>
        <w:spacing w:before="4"/>
        <w:jc w:val="both"/>
        <w:rPr>
          <w:rFonts w:ascii="Times New Roman"/>
          <w:sz w:val="10"/>
        </w:rPr>
      </w:pPr>
    </w:p>
    <w:p w14:paraId="461D1A4A" w14:textId="1D88CC8B" w:rsidP="00692381" w:rsidR="00692381" w:rsidRDefault="00692381">
      <w:pPr>
        <w:spacing w:after="120" w:line="240" w:lineRule="auto"/>
        <w:jc w:val="both"/>
      </w:pPr>
      <w:r w:rsidRPr="005132BD">
        <w:t xml:space="preserve">Fait à </w:t>
      </w:r>
      <w:r w:rsidR="00767E39">
        <w:t>…</w:t>
      </w:r>
      <w:r w:rsidRPr="005132BD">
        <w:t>, le 18 janvier 202</w:t>
      </w:r>
      <w:r w:rsidR="0078120A">
        <w:t>3</w:t>
      </w:r>
      <w:r w:rsidRPr="005132BD">
        <w:t>.</w:t>
      </w:r>
    </w:p>
    <w:p w14:paraId="65866D23" w14:textId="77777777" w:rsidP="00692381" w:rsidR="00692381" w:rsidRDefault="00692381">
      <w:pPr>
        <w:spacing w:after="120" w:line="240" w:lineRule="auto"/>
        <w:jc w:val="both"/>
      </w:pPr>
      <w:r>
        <w:t>En 3 exemplaires, dont un pour chacune des Parties</w:t>
      </w:r>
    </w:p>
    <w:p w14:paraId="7115B2E6" w14:textId="77777777" w:rsidP="00692381" w:rsidR="00692381" w:rsidRDefault="00692381">
      <w:pPr>
        <w:jc w:val="both"/>
      </w:pPr>
    </w:p>
    <w:p w14:paraId="687D23EE" w14:textId="77777777" w:rsidP="00692381" w:rsidR="00692381" w:rsidRDefault="00692381">
      <w:pPr>
        <w:jc w:val="both"/>
      </w:pPr>
    </w:p>
    <w:p w14:paraId="23D83D66" w14:textId="77777777" w:rsidP="00692381" w:rsidR="00692381" w:rsidRDefault="00692381">
      <w:pPr>
        <w:jc w:val="both"/>
        <w:rPr>
          <w:b/>
          <w:bCs/>
          <w:sz w:val="24"/>
          <w:szCs w:val="24"/>
        </w:rPr>
      </w:pPr>
      <w:r>
        <w:rPr>
          <w:b/>
          <w:bCs/>
          <w:sz w:val="24"/>
          <w:szCs w:val="24"/>
        </w:rPr>
        <w:t>Les représentants du CSE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Le Représentant PPLOG</w:t>
      </w:r>
    </w:p>
    <w:p w14:paraId="39B84706" w14:textId="104DDB06" w:rsidP="00692381" w:rsidR="00692381" w:rsidRDefault="00692381">
      <w:pPr>
        <w:jc w:val="both"/>
        <w:rPr>
          <w:i/>
          <w:iCs/>
          <w:sz w:val="20"/>
        </w:rPr>
      </w:pPr>
      <w:r>
        <w:rPr>
          <w:i/>
          <w:iCs/>
          <w:sz w:val="20"/>
        </w:rPr>
        <w:t xml:space="preserve">     </w:t>
      </w:r>
      <w:r>
        <w:rPr>
          <w:i/>
          <w:iCs/>
          <w:sz w:val="20"/>
        </w:rPr>
        <w:tab/>
      </w:r>
      <w:r>
        <w:rPr>
          <w:i/>
          <w:iCs/>
          <w:sz w:val="20"/>
        </w:rPr>
        <w:tab/>
      </w:r>
      <w:r>
        <w:rPr>
          <w:i/>
          <w:iCs/>
          <w:sz w:val="20"/>
        </w:rPr>
        <w:tab/>
      </w:r>
      <w:r>
        <w:rPr>
          <w:i/>
          <w:iCs/>
          <w:sz w:val="20"/>
        </w:rPr>
        <w:tab/>
      </w:r>
      <w:r>
        <w:rPr>
          <w:i/>
          <w:iCs/>
          <w:sz w:val="20"/>
        </w:rPr>
        <w:tab/>
      </w:r>
      <w:r>
        <w:rPr>
          <w:i/>
          <w:iCs/>
          <w:sz w:val="20"/>
        </w:rPr>
        <w:tab/>
      </w:r>
      <w:r>
        <w:rPr>
          <w:i/>
          <w:iCs/>
          <w:sz w:val="20"/>
        </w:rPr>
        <w:tab/>
        <w:t xml:space="preserve">                             </w:t>
      </w:r>
      <w:r w:rsidR="00875B4E">
        <w:rPr>
          <w:i/>
          <w:iCs/>
          <w:sz w:val="20"/>
        </w:rPr>
        <w:tab/>
      </w:r>
      <w:r w:rsidR="00875B4E">
        <w:rPr>
          <w:i/>
          <w:iCs/>
          <w:sz w:val="20"/>
        </w:rPr>
        <w:tab/>
      </w:r>
      <w:r w:rsidR="00875B4E">
        <w:rPr>
          <w:i/>
          <w:iCs/>
          <w:sz w:val="20"/>
        </w:rPr>
        <w:tab/>
      </w:r>
      <w:r>
        <w:rPr>
          <w:i/>
          <w:iCs/>
          <w:sz w:val="20"/>
        </w:rPr>
        <w:t xml:space="preserve">Monsieur </w:t>
      </w:r>
      <w:r w:rsidR="00767E39">
        <w:rPr>
          <w:i/>
          <w:iCs/>
          <w:sz w:val="20"/>
        </w:rPr>
        <w:t>…</w:t>
      </w:r>
    </w:p>
    <w:p w14:paraId="6D898A44" w14:textId="77777777" w:rsidP="00692381" w:rsidR="00692381" w:rsidRDefault="00692381">
      <w:pPr>
        <w:jc w:val="both"/>
        <w:rPr>
          <w:i/>
          <w:iCs/>
          <w:sz w:val="20"/>
        </w:rPr>
      </w:pPr>
    </w:p>
    <w:p w14:paraId="3DC0411E" w14:textId="77777777" w:rsidR="00692381" w:rsidRDefault="00692381"/>
    <w:sectPr w:rsidR="00692381" w:rsidSect="00E71329">
      <w:footerReference r:id="rId7" w:type="default"/>
      <w:pgSz w:h="16840" w:w="11910"/>
      <w:pgMar w:bottom="794" w:footer="720" w:gutter="0" w:header="720" w:left="794" w:right="794" w:top="79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A854" w14:textId="77777777" w:rsidR="00314DD2" w:rsidRDefault="00314DD2">
      <w:pPr>
        <w:spacing w:after="0" w:line="240" w:lineRule="auto"/>
      </w:pPr>
      <w:r>
        <w:separator/>
      </w:r>
    </w:p>
  </w:endnote>
  <w:endnote w:type="continuationSeparator" w:id="0">
    <w:p w14:paraId="57A7AF80" w14:textId="77777777" w:rsidR="00314DD2" w:rsidRDefault="0031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9CB8AC" w14:textId="63D77640" w:rsidP="00EE7C34" w:rsidR="00501F10" w:rsidRDefault="00F3507C" w:rsidRPr="0063684C">
    <w:pPr>
      <w:spacing w:after="0" w:line="240" w:lineRule="auto"/>
      <w:jc w:val="center"/>
      <w:rPr>
        <w:rFonts w:asciiTheme="majorHAnsi" w:cstheme="majorHAnsi" w:hAnsiTheme="majorHAnsi"/>
        <w:b/>
        <w:bCs/>
        <w:color w:themeColor="accent1" w:val="4472C4"/>
        <w:sz w:val="16"/>
        <w:szCs w:val="16"/>
      </w:rPr>
    </w:pPr>
    <w:r>
      <w:rPr>
        <w:rFonts w:asciiTheme="majorHAnsi" w:cstheme="majorHAnsi" w:hAnsiTheme="majorHAnsi"/>
        <w:b/>
        <w:bCs/>
        <w:color w:themeColor="accent1" w:val="4472C4"/>
        <w:sz w:val="16"/>
        <w:szCs w:val="16"/>
      </w:rPr>
      <w:t>Accord NAO-2022</w:t>
    </w:r>
  </w:p>
  <w:sdt>
    <w:sdtPr>
      <w:id w:val="65160204"/>
      <w:docPartObj>
        <w:docPartGallery w:val="Page Numbers (Bottom of Page)"/>
        <w:docPartUnique/>
      </w:docPartObj>
    </w:sdtPr>
    <w:sdtEndPr/>
    <w:sdtContent>
      <w:sdt>
        <w:sdtPr>
          <w:id w:val="-1769616900"/>
          <w:docPartObj>
            <w:docPartGallery w:val="Page Numbers (Top of Page)"/>
            <w:docPartUnique/>
          </w:docPartObj>
        </w:sdtPr>
        <w:sdtEndPr/>
        <w:sdtContent>
          <w:p w14:paraId="7D656716" w14:textId="77777777" w:rsidP="000418C2" w:rsidR="00501F10" w:rsidRDefault="00F3507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30B792" w14:textId="77777777" w:rsidR="00501F10" w:rsidRDefault="008C1487"/>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F36427E" w14:textId="77777777" w:rsidR="00314DD2" w:rsidRDefault="00314DD2">
      <w:pPr>
        <w:spacing w:after="0" w:line="240" w:lineRule="auto"/>
      </w:pPr>
      <w:r>
        <w:separator/>
      </w:r>
    </w:p>
  </w:footnote>
  <w:footnote w:id="0" w:type="continuationSeparator">
    <w:p w14:paraId="179372CD" w14:textId="77777777" w:rsidR="00314DD2" w:rsidRDefault="00314DD2">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11118F"/>
    <w:multiLevelType w:val="hybridMultilevel"/>
    <w:tmpl w:val="4C7809EE"/>
    <w:lvl w:ilvl="0" w:tplc="601CA804">
      <w:start w:val="2"/>
      <w:numFmt w:val="bullet"/>
      <w:lvlText w:val="-"/>
      <w:lvlJc w:val="left"/>
      <w:pPr>
        <w:ind w:hanging="360" w:left="720"/>
      </w:pPr>
      <w:rPr>
        <w:rFonts w:ascii="Arial" w:cs="Arial" w:eastAsia="Cambria"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BF52A84"/>
    <w:multiLevelType w:val="hybridMultilevel"/>
    <w:tmpl w:val="B1C8ECC8"/>
    <w:lvl w:ilvl="0" w:tplc="FB48B4A6">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30AB4FD7"/>
    <w:multiLevelType w:val="hybridMultilevel"/>
    <w:tmpl w:val="EA763E0C"/>
    <w:lvl w:ilvl="0" w:tplc="E6E46354">
      <w:numFmt w:val="bullet"/>
      <w:lvlText w:val="-"/>
      <w:lvlJc w:val="left"/>
      <w:pPr>
        <w:ind w:hanging="360" w:left="1065"/>
      </w:pPr>
      <w:rPr>
        <w:rFonts w:ascii="Calibri" w:cs="Calibri" w:eastAsia="Calibri" w:hAnsi="Calibri"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plc="040C0001">
      <w:start w:val="1"/>
      <w:numFmt w:val="bullet"/>
      <w:lvlText w:val=""/>
      <w:lvlJc w:val="left"/>
      <w:pPr>
        <w:ind w:hanging="360" w:left="3225"/>
      </w:pPr>
      <w:rPr>
        <w:rFonts w:ascii="Symbol" w:hAnsi="Symbol" w:hint="default"/>
      </w:rPr>
    </w:lvl>
    <w:lvl w:ilvl="4" w:tplc="040C0003">
      <w:start w:val="1"/>
      <w:numFmt w:val="bullet"/>
      <w:lvlText w:val="o"/>
      <w:lvlJc w:val="left"/>
      <w:pPr>
        <w:ind w:hanging="360" w:left="3945"/>
      </w:pPr>
      <w:rPr>
        <w:rFonts w:ascii="Courier New" w:cs="Courier New" w:hAnsi="Courier New" w:hint="default"/>
      </w:rPr>
    </w:lvl>
    <w:lvl w:ilvl="5" w:tplc="040C0005">
      <w:start w:val="1"/>
      <w:numFmt w:val="bullet"/>
      <w:lvlText w:val=""/>
      <w:lvlJc w:val="left"/>
      <w:pPr>
        <w:ind w:hanging="360" w:left="4665"/>
      </w:pPr>
      <w:rPr>
        <w:rFonts w:ascii="Wingdings" w:hAnsi="Wingdings" w:hint="default"/>
      </w:rPr>
    </w:lvl>
    <w:lvl w:ilvl="6" w:tplc="040C0001">
      <w:start w:val="1"/>
      <w:numFmt w:val="bullet"/>
      <w:lvlText w:val=""/>
      <w:lvlJc w:val="left"/>
      <w:pPr>
        <w:ind w:hanging="360" w:left="5385"/>
      </w:pPr>
      <w:rPr>
        <w:rFonts w:ascii="Symbol" w:hAnsi="Symbol" w:hint="default"/>
      </w:rPr>
    </w:lvl>
    <w:lvl w:ilvl="7" w:tplc="040C0003">
      <w:start w:val="1"/>
      <w:numFmt w:val="bullet"/>
      <w:lvlText w:val="o"/>
      <w:lvlJc w:val="left"/>
      <w:pPr>
        <w:ind w:hanging="360" w:left="6105"/>
      </w:pPr>
      <w:rPr>
        <w:rFonts w:ascii="Courier New" w:cs="Courier New" w:hAnsi="Courier New" w:hint="default"/>
      </w:rPr>
    </w:lvl>
    <w:lvl w:ilvl="8" w:tplc="040C0005">
      <w:start w:val="1"/>
      <w:numFmt w:val="bullet"/>
      <w:lvlText w:val=""/>
      <w:lvlJc w:val="left"/>
      <w:pPr>
        <w:ind w:hanging="360" w:left="6825"/>
      </w:pPr>
      <w:rPr>
        <w:rFonts w:ascii="Wingdings" w:hAnsi="Wingdings" w:hint="default"/>
      </w:rPr>
    </w:lvl>
  </w:abstractNum>
  <w:abstractNum w15:restartNumberingAfterBreak="0" w:abstractNumId="3">
    <w:nsid w:val="451E5EC1"/>
    <w:multiLevelType w:val="hybridMultilevel"/>
    <w:tmpl w:val="60283F14"/>
    <w:lvl w:ilvl="0" w:tplc="8D905312">
      <w:start w:val="1"/>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58992E0F"/>
    <w:multiLevelType w:val="hybridMultilevel"/>
    <w:tmpl w:val="70DAF83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EF819FD"/>
    <w:multiLevelType w:val="hybridMultilevel"/>
    <w:tmpl w:val="55609990"/>
    <w:lvl w:ilvl="0" w:tplc="040C0005">
      <w:start w:val="1"/>
      <w:numFmt w:val="bullet"/>
      <w:lvlText w:val=""/>
      <w:lvlJc w:val="left"/>
      <w:pPr>
        <w:ind w:hanging="360" w:left="1365"/>
      </w:pPr>
      <w:rPr>
        <w:rFonts w:ascii="Wingdings" w:hAnsi="Wingdings" w:hint="default"/>
      </w:rPr>
    </w:lvl>
    <w:lvl w:ilvl="1" w:tplc="040C0003">
      <w:start w:val="1"/>
      <w:numFmt w:val="bullet"/>
      <w:lvlText w:val="o"/>
      <w:lvlJc w:val="left"/>
      <w:pPr>
        <w:ind w:hanging="360" w:left="2085"/>
      </w:pPr>
      <w:rPr>
        <w:rFonts w:ascii="Courier New" w:cs="Courier New" w:hAnsi="Courier New" w:hint="default"/>
      </w:rPr>
    </w:lvl>
    <w:lvl w:ilvl="2" w:tplc="040C0005">
      <w:start w:val="1"/>
      <w:numFmt w:val="bullet"/>
      <w:lvlText w:val=""/>
      <w:lvlJc w:val="left"/>
      <w:pPr>
        <w:ind w:hanging="360" w:left="2805"/>
      </w:pPr>
      <w:rPr>
        <w:rFonts w:ascii="Wingdings" w:hAnsi="Wingdings" w:hint="default"/>
      </w:rPr>
    </w:lvl>
    <w:lvl w:ilvl="3" w:tplc="040C0001">
      <w:start w:val="1"/>
      <w:numFmt w:val="bullet"/>
      <w:lvlText w:val=""/>
      <w:lvlJc w:val="left"/>
      <w:pPr>
        <w:ind w:hanging="360" w:left="3525"/>
      </w:pPr>
      <w:rPr>
        <w:rFonts w:ascii="Symbol" w:hAnsi="Symbol" w:hint="default"/>
      </w:rPr>
    </w:lvl>
    <w:lvl w:ilvl="4" w:tplc="040C0003">
      <w:start w:val="1"/>
      <w:numFmt w:val="bullet"/>
      <w:lvlText w:val="o"/>
      <w:lvlJc w:val="left"/>
      <w:pPr>
        <w:ind w:hanging="360" w:left="4245"/>
      </w:pPr>
      <w:rPr>
        <w:rFonts w:ascii="Courier New" w:cs="Courier New" w:hAnsi="Courier New" w:hint="default"/>
      </w:rPr>
    </w:lvl>
    <w:lvl w:ilvl="5" w:tplc="040C0005">
      <w:start w:val="1"/>
      <w:numFmt w:val="bullet"/>
      <w:lvlText w:val=""/>
      <w:lvlJc w:val="left"/>
      <w:pPr>
        <w:ind w:hanging="360" w:left="4965"/>
      </w:pPr>
      <w:rPr>
        <w:rFonts w:ascii="Wingdings" w:hAnsi="Wingdings" w:hint="default"/>
      </w:rPr>
    </w:lvl>
    <w:lvl w:ilvl="6" w:tplc="040C0001">
      <w:start w:val="1"/>
      <w:numFmt w:val="bullet"/>
      <w:lvlText w:val=""/>
      <w:lvlJc w:val="left"/>
      <w:pPr>
        <w:ind w:hanging="360" w:left="5685"/>
      </w:pPr>
      <w:rPr>
        <w:rFonts w:ascii="Symbol" w:hAnsi="Symbol" w:hint="default"/>
      </w:rPr>
    </w:lvl>
    <w:lvl w:ilvl="7" w:tplc="040C0003">
      <w:start w:val="1"/>
      <w:numFmt w:val="bullet"/>
      <w:lvlText w:val="o"/>
      <w:lvlJc w:val="left"/>
      <w:pPr>
        <w:ind w:hanging="360" w:left="6405"/>
      </w:pPr>
      <w:rPr>
        <w:rFonts w:ascii="Courier New" w:cs="Courier New" w:hAnsi="Courier New" w:hint="default"/>
      </w:rPr>
    </w:lvl>
    <w:lvl w:ilvl="8" w:tplc="040C0005">
      <w:start w:val="1"/>
      <w:numFmt w:val="bullet"/>
      <w:lvlText w:val=""/>
      <w:lvlJc w:val="left"/>
      <w:pPr>
        <w:ind w:hanging="360" w:left="7125"/>
      </w:pPr>
      <w:rPr>
        <w:rFonts w:ascii="Wingdings" w:hAnsi="Wingdings" w:hint="default"/>
      </w:rPr>
    </w:lvl>
  </w:abstractNum>
  <w:num w16cid:durableId="127403204" w:numId="1">
    <w:abstractNumId w:val="4"/>
  </w:num>
  <w:num w16cid:durableId="559169074" w:numId="2">
    <w:abstractNumId w:val="3"/>
  </w:num>
  <w:num w16cid:durableId="1833372216" w:numId="3">
    <w:abstractNumId w:val="2"/>
  </w:num>
  <w:num w16cid:durableId="947662715" w:numId="4">
    <w:abstractNumId w:val="0"/>
  </w:num>
  <w:num w16cid:durableId="1234125356" w:numId="5">
    <w:abstractNumId w:val="5"/>
  </w:num>
  <w:num w16cid:durableId="1352759826" w:numId="6">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81"/>
    <w:rsid w:val="0006573B"/>
    <w:rsid w:val="000A402B"/>
    <w:rsid w:val="000B04B9"/>
    <w:rsid w:val="00126A1E"/>
    <w:rsid w:val="001B1D7F"/>
    <w:rsid w:val="001B3175"/>
    <w:rsid w:val="001C2A6C"/>
    <w:rsid w:val="00240E57"/>
    <w:rsid w:val="0025028B"/>
    <w:rsid w:val="0026618E"/>
    <w:rsid w:val="002671CE"/>
    <w:rsid w:val="002D5793"/>
    <w:rsid w:val="002F201E"/>
    <w:rsid w:val="00306174"/>
    <w:rsid w:val="00314DD2"/>
    <w:rsid w:val="00344A0B"/>
    <w:rsid w:val="003C4FCC"/>
    <w:rsid w:val="00482D1A"/>
    <w:rsid w:val="00500113"/>
    <w:rsid w:val="00526FDF"/>
    <w:rsid w:val="005970B2"/>
    <w:rsid w:val="005E2DF5"/>
    <w:rsid w:val="006079D2"/>
    <w:rsid w:val="0068436E"/>
    <w:rsid w:val="00692381"/>
    <w:rsid w:val="006B1486"/>
    <w:rsid w:val="00725D36"/>
    <w:rsid w:val="00730FCF"/>
    <w:rsid w:val="00767E39"/>
    <w:rsid w:val="0078120A"/>
    <w:rsid w:val="008219F8"/>
    <w:rsid w:val="00875B4E"/>
    <w:rsid w:val="008C1487"/>
    <w:rsid w:val="008F4A59"/>
    <w:rsid w:val="00913203"/>
    <w:rsid w:val="00983FCD"/>
    <w:rsid w:val="00A42EBA"/>
    <w:rsid w:val="00A54E31"/>
    <w:rsid w:val="00AD58A5"/>
    <w:rsid w:val="00AF462D"/>
    <w:rsid w:val="00B20364"/>
    <w:rsid w:val="00B37C13"/>
    <w:rsid w:val="00B54E89"/>
    <w:rsid w:val="00C23765"/>
    <w:rsid w:val="00C660EB"/>
    <w:rsid w:val="00D552F8"/>
    <w:rsid w:val="00D87AD9"/>
    <w:rsid w:val="00DC0DC6"/>
    <w:rsid w:val="00DC250F"/>
    <w:rsid w:val="00E00668"/>
    <w:rsid w:val="00E5164A"/>
    <w:rsid w:val="00E9163F"/>
    <w:rsid w:val="00E97316"/>
    <w:rsid w:val="00EA4AE9"/>
    <w:rsid w:val="00EA5C1F"/>
    <w:rsid w:val="00F3507C"/>
    <w:rsid w:val="00F70F93"/>
    <w:rsid w:val="00FD42C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033B149"/>
  <w15:chartTrackingRefBased/>
  <w15:docId w15:val="{1C2B3210-6960-404D-87B3-CA0E2B8D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92381"/>
  </w:style>
  <w:style w:styleId="Titre2" w:type="paragraph">
    <w:name w:val="heading 2"/>
    <w:basedOn w:val="Normal"/>
    <w:next w:val="Normal"/>
    <w:link w:val="Titre2Car"/>
    <w:uiPriority w:val="9"/>
    <w:unhideWhenUsed/>
    <w:qFormat/>
    <w:rsid w:val="00692381"/>
    <w:pPr>
      <w:keepNext/>
      <w:keepLines/>
      <w:spacing w:after="0" w:before="40"/>
      <w:outlineLvl w:val="1"/>
    </w:pPr>
    <w:rPr>
      <w:rFonts w:cstheme="majorBidi" w:eastAsiaTheme="majorEastAsia"/>
      <w:b/>
      <w:color w:themeColor="accent1" w:themeShade="BF" w:val="2F5496"/>
      <w:sz w:val="26"/>
      <w:szCs w:val="26"/>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uiPriority w:val="9"/>
    <w:rsid w:val="00692381"/>
    <w:rPr>
      <w:rFonts w:cstheme="majorBidi" w:eastAsiaTheme="majorEastAsia"/>
      <w:b/>
      <w:color w:themeColor="accent1" w:themeShade="BF" w:val="2F5496"/>
      <w:sz w:val="26"/>
      <w:szCs w:val="26"/>
      <w:u w:val="single"/>
    </w:rPr>
  </w:style>
  <w:style w:styleId="Pieddepage" w:type="paragraph">
    <w:name w:val="footer"/>
    <w:basedOn w:val="Normal"/>
    <w:link w:val="PieddepageCar"/>
    <w:uiPriority w:val="99"/>
    <w:unhideWhenUsed/>
    <w:rsid w:val="00692381"/>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92381"/>
  </w:style>
  <w:style w:styleId="Titre" w:type="paragraph">
    <w:name w:val="Title"/>
    <w:basedOn w:val="Normal"/>
    <w:next w:val="Normal"/>
    <w:link w:val="TitreCar"/>
    <w:uiPriority w:val="10"/>
    <w:qFormat/>
    <w:rsid w:val="00692381"/>
    <w:pPr>
      <w:spacing w:after="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692381"/>
    <w:rPr>
      <w:rFonts w:asciiTheme="majorHAnsi" w:cstheme="majorBidi" w:eastAsiaTheme="majorEastAsia" w:hAnsiTheme="majorHAnsi"/>
      <w:spacing w:val="-10"/>
      <w:kern w:val="28"/>
      <w:sz w:val="56"/>
      <w:szCs w:val="56"/>
    </w:rPr>
  </w:style>
  <w:style w:styleId="Paragraphedeliste" w:type="paragraph">
    <w:name w:val="List Paragraph"/>
    <w:basedOn w:val="Normal"/>
    <w:uiPriority w:val="34"/>
    <w:qFormat/>
    <w:rsid w:val="00692381"/>
    <w:pPr>
      <w:ind w:left="720"/>
      <w:contextualSpacing/>
    </w:pPr>
  </w:style>
  <w:style w:styleId="Sous-titre" w:type="paragraph">
    <w:name w:val="Subtitle"/>
    <w:basedOn w:val="Normal"/>
    <w:next w:val="Normal"/>
    <w:link w:val="Sous-titreCar"/>
    <w:uiPriority w:val="11"/>
    <w:qFormat/>
    <w:rsid w:val="00692381"/>
    <w:pPr>
      <w:numPr>
        <w:ilvl w:val="1"/>
      </w:numPr>
    </w:pPr>
    <w:rPr>
      <w:rFonts w:eastAsiaTheme="minorEastAsia"/>
      <w:color w:themeColor="text1" w:themeTint="A5" w:val="5A5A5A"/>
      <w:spacing w:val="15"/>
    </w:rPr>
  </w:style>
  <w:style w:customStyle="1" w:styleId="Sous-titreCar" w:type="character">
    <w:name w:val="Sous-titre Car"/>
    <w:basedOn w:val="Policepardfaut"/>
    <w:link w:val="Sous-titre"/>
    <w:uiPriority w:val="11"/>
    <w:rsid w:val="00692381"/>
    <w:rPr>
      <w:rFonts w:eastAsiaTheme="minorEastAsia"/>
      <w:color w:themeColor="text1" w:themeTint="A5" w:val="5A5A5A"/>
      <w:spacing w:val="15"/>
    </w:rPr>
  </w:style>
  <w:style w:styleId="Corpsdetexte" w:type="paragraph">
    <w:name w:val="Body Text"/>
    <w:basedOn w:val="Normal"/>
    <w:link w:val="CorpsdetexteCar"/>
    <w:uiPriority w:val="1"/>
    <w:qFormat/>
    <w:rsid w:val="00692381"/>
    <w:pPr>
      <w:widowControl w:val="0"/>
      <w:autoSpaceDE w:val="0"/>
      <w:autoSpaceDN w:val="0"/>
      <w:spacing w:after="0" w:line="240" w:lineRule="auto"/>
    </w:pPr>
    <w:rPr>
      <w:rFonts w:ascii="Carlito" w:cs="Carlito" w:eastAsia="Carlito" w:hAnsi="Carlito"/>
      <w:sz w:val="28"/>
      <w:szCs w:val="28"/>
    </w:rPr>
  </w:style>
  <w:style w:customStyle="1" w:styleId="CorpsdetexteCar" w:type="character">
    <w:name w:val="Corps de texte Car"/>
    <w:basedOn w:val="Policepardfaut"/>
    <w:link w:val="Corpsdetexte"/>
    <w:uiPriority w:val="1"/>
    <w:rsid w:val="00692381"/>
    <w:rPr>
      <w:rFonts w:ascii="Carlito" w:cs="Carlito" w:eastAsia="Carlito" w:hAnsi="Carlito"/>
      <w:sz w:val="28"/>
      <w:szCs w:val="28"/>
    </w:rPr>
  </w:style>
  <w:style w:styleId="TM3" w:type="paragraph">
    <w:name w:val="toc 3"/>
    <w:basedOn w:val="Normal"/>
    <w:next w:val="Normal"/>
    <w:autoRedefine/>
    <w:uiPriority w:val="39"/>
    <w:unhideWhenUsed/>
    <w:rsid w:val="00692381"/>
    <w:pPr>
      <w:tabs>
        <w:tab w:leader="dot" w:pos="10312" w:val="right"/>
      </w:tabs>
      <w:spacing w:after="100"/>
      <w:ind w:left="440"/>
    </w:pPr>
    <w:rPr>
      <w:b/>
      <w:bCs/>
      <w:color w:themeColor="accent1" w:val="4472C4"/>
      <w:szCs w:val="28"/>
    </w:rPr>
  </w:style>
  <w:style w:styleId="En-tte" w:type="paragraph">
    <w:name w:val="header"/>
    <w:basedOn w:val="Normal"/>
    <w:link w:val="En-tteCar"/>
    <w:uiPriority w:val="99"/>
    <w:unhideWhenUsed/>
    <w:rsid w:val="00767E39"/>
    <w:pPr>
      <w:tabs>
        <w:tab w:pos="4536" w:val="center"/>
        <w:tab w:pos="9072" w:val="right"/>
      </w:tabs>
      <w:spacing w:after="0" w:line="240" w:lineRule="auto"/>
    </w:pPr>
  </w:style>
  <w:style w:customStyle="1" w:styleId="En-tteCar" w:type="character">
    <w:name w:val="En-tête Car"/>
    <w:basedOn w:val="Policepardfaut"/>
    <w:link w:val="En-tte"/>
    <w:uiPriority w:val="99"/>
    <w:rsid w:val="0076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408">
      <w:bodyDiv w:val="1"/>
      <w:marLeft w:val="0"/>
      <w:marRight w:val="0"/>
      <w:marTop w:val="0"/>
      <w:marBottom w:val="0"/>
      <w:divBdr>
        <w:top w:val="none" w:sz="0" w:space="0" w:color="auto"/>
        <w:left w:val="none" w:sz="0" w:space="0" w:color="auto"/>
        <w:bottom w:val="none" w:sz="0" w:space="0" w:color="auto"/>
        <w:right w:val="none" w:sz="0" w:space="0" w:color="auto"/>
      </w:divBdr>
    </w:div>
    <w:div w:id="78908647">
      <w:bodyDiv w:val="1"/>
      <w:marLeft w:val="0"/>
      <w:marRight w:val="0"/>
      <w:marTop w:val="0"/>
      <w:marBottom w:val="0"/>
      <w:divBdr>
        <w:top w:val="none" w:sz="0" w:space="0" w:color="auto"/>
        <w:left w:val="none" w:sz="0" w:space="0" w:color="auto"/>
        <w:bottom w:val="none" w:sz="0" w:space="0" w:color="auto"/>
        <w:right w:val="none" w:sz="0" w:space="0" w:color="auto"/>
      </w:divBdr>
    </w:div>
    <w:div w:id="150694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899</Words>
  <Characters>4947</Characters>
  <Application>Microsoft Office Word</Application>
  <DocSecurity>0</DocSecurity>
  <Lines>41</Lines>
  <Paragraphs>11</Paragraphs>
  <ScaleCrop>false</ScaleCrop>
  <HeadingPairs>
    <vt:vector baseType="variant" size="2">
      <vt:variant>
        <vt:lpstr>Titre</vt:lpstr>
      </vt:variant>
      <vt:variant>
        <vt:i4>1</vt:i4>
      </vt:variant>
    </vt:vector>
  </HeadingPairs>
  <TitlesOfParts>
    <vt:vector baseType="lpstr" size="1">
      <vt:lpstr/>
    </vt:vector>
  </TitlesOfParts>
  <Company>Log'S</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2023-01-18T08:16:00Z</dcterms:created>
  <dcterms:modified xsi:type="dcterms:W3CDTF">2023-01-31T14:10:00Z</dcterms:modified>
  <cp:revision>64</cp:revision>
</cp:coreProperties>
</file>