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2.xml.rels"/>
  <Override ContentType="application/vnd.openxmlformats-package.relationships+xml" PartName="/word/_rels/header2.xml.rels"/>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jpeg" PartName="/word/media/image1.jpeg"/>
  <Override ContentType="image/jpeg" PartName="/word/media/image2.jpeg"/>
  <Override ContentType="image/jpeg" PartName="/word/media/image3.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pageBreakBefore w:val="false"/>
        <w:pBdr>
          <w:top w:color="000001" w:space="0" w:sz="18" w:val="dotted"/>
          <w:left w:color="000001" w:space="4" w:sz="18" w:val="dotted"/>
          <w:bottom w:color="000001" w:space="3" w:sz="18" w:val="dotted"/>
          <w:right w:color="000001" w:space="4" w:sz="18" w:val="dotted"/>
        </w:pBdr>
        <w:spacing w:line="240" w:lineRule="auto"/>
        <w:ind w:hanging="2" w:left="0"/>
        <w:jc w:val="both"/>
        <w:rPr>
          <w:b/>
          <w:b/>
          <w:color w:val="000000"/>
          <w:u w:val="single"/>
        </w:rPr>
      </w:pPr>
      <w:r>
        <w:rPr>
          <w:b/>
          <w:color w:val="000000"/>
          <w:u w:val="single"/>
        </w:rPr>
      </w:r>
    </w:p>
    <w:p>
      <w:pPr>
        <w:pStyle w:val="Normal"/>
        <w:pageBreakBefore w:val="false"/>
        <w:pBdr>
          <w:top w:color="000001" w:space="0" w:sz="18" w:val="dotted"/>
          <w:left w:color="000001" w:space="4" w:sz="18" w:val="dotted"/>
          <w:bottom w:color="000001" w:space="3" w:sz="18" w:val="dotted"/>
          <w:right w:color="000001" w:space="4" w:sz="18" w:val="dotted"/>
        </w:pBdr>
        <w:spacing w:line="240" w:lineRule="auto"/>
        <w:ind w:hanging="3" w:left="1"/>
        <w:jc w:val="center"/>
        <w:rPr>
          <w:rFonts w:ascii="Arial" w:cs="Arial" w:eastAsia="Arial" w:hAnsi="Arial"/>
          <w:b/>
          <w:b/>
          <w:color w:val="000000"/>
          <w:sz w:val="28"/>
          <w:szCs w:val="28"/>
        </w:rPr>
      </w:pPr>
      <w:r>
        <w:rPr>
          <w:rFonts w:ascii="Arial" w:cs="Arial" w:eastAsia="Arial" w:hAnsi="Arial"/>
          <w:b/>
          <w:sz w:val="28"/>
          <w:szCs w:val="28"/>
        </w:rPr>
        <w:t>NÉGOCIATIONS</w:t>
      </w:r>
      <w:r>
        <w:rPr>
          <w:rFonts w:ascii="Arial" w:cs="Arial" w:eastAsia="Arial" w:hAnsi="Arial"/>
          <w:b/>
          <w:color w:val="000000"/>
          <w:sz w:val="28"/>
          <w:szCs w:val="28"/>
        </w:rPr>
        <w:t xml:space="preserve"> ANNUELLES OBLIGATOIRES</w:t>
      </w:r>
    </w:p>
    <w:p>
      <w:pPr>
        <w:pStyle w:val="Normal"/>
        <w:pageBreakBefore w:val="false"/>
        <w:pBdr>
          <w:top w:color="000001" w:space="0" w:sz="18" w:val="dotted"/>
          <w:left w:color="000001" w:space="4" w:sz="18" w:val="dotted"/>
          <w:bottom w:color="000001" w:space="3" w:sz="18" w:val="dotted"/>
          <w:right w:color="000001" w:space="4" w:sz="18" w:val="dotted"/>
        </w:pBdr>
        <w:spacing w:line="240" w:lineRule="auto"/>
        <w:ind w:hanging="3" w:left="1"/>
        <w:jc w:val="center"/>
        <w:rPr>
          <w:rFonts w:ascii="Arial" w:cs="Arial" w:eastAsia="Arial" w:hAnsi="Arial"/>
          <w:b/>
          <w:b/>
          <w:color w:val="000000"/>
          <w:sz w:val="28"/>
          <w:szCs w:val="28"/>
        </w:rPr>
      </w:pPr>
      <w:r>
        <w:rPr>
          <w:rFonts w:ascii="Arial" w:cs="Arial" w:eastAsia="Arial" w:hAnsi="Arial"/>
          <w:b/>
          <w:sz w:val="28"/>
          <w:szCs w:val="28"/>
        </w:rPr>
        <w:t>TRISALID</w:t>
      </w:r>
      <w:r>
        <w:rPr>
          <w:rFonts w:ascii="Arial" w:cs="Arial" w:eastAsia="Arial" w:hAnsi="Arial"/>
          <w:b/>
          <w:color w:val="000000"/>
          <w:sz w:val="28"/>
          <w:szCs w:val="28"/>
        </w:rPr>
        <w:t xml:space="preserve"> 20</w:t>
      </w:r>
      <w:r>
        <w:rPr>
          <w:rFonts w:ascii="Arial" w:cs="Arial" w:eastAsia="Arial" w:hAnsi="Arial"/>
          <w:b/>
          <w:sz w:val="28"/>
          <w:szCs w:val="28"/>
        </w:rPr>
        <w:t>23</w:t>
      </w:r>
    </w:p>
    <w:p>
      <w:pPr>
        <w:pStyle w:val="Normal"/>
        <w:pageBreakBefore w:val="false"/>
        <w:pBdr>
          <w:top w:color="000001" w:space="0" w:sz="18" w:val="dotted"/>
          <w:left w:color="000001" w:space="4" w:sz="18" w:val="dotted"/>
          <w:bottom w:color="000001" w:space="3" w:sz="18" w:val="dotted"/>
          <w:right w:color="000001" w:space="4" w:sz="18" w:val="dotted"/>
        </w:pBdr>
        <w:spacing w:line="240" w:lineRule="auto"/>
        <w:ind w:hanging="3" w:left="1"/>
        <w:jc w:val="both"/>
        <w:rPr>
          <w:rFonts w:ascii="Arial" w:cs="Arial" w:eastAsia="Arial" w:hAnsi="Arial"/>
          <w:b/>
          <w:b/>
          <w:color w:val="000000"/>
          <w:sz w:val="28"/>
          <w:szCs w:val="28"/>
        </w:rPr>
      </w:pPr>
      <w:r>
        <w:rPr>
          <w:rFonts w:ascii="Arial" w:cs="Arial" w:eastAsia="Arial" w:hAnsi="Arial"/>
          <w:b/>
          <w:color w:val="000000"/>
          <w:sz w:val="28"/>
          <w:szCs w:val="28"/>
        </w:rPr>
      </w:r>
    </w:p>
    <w:p>
      <w:pPr>
        <w:pStyle w:val="Normal"/>
        <w:pageBreakBefore w:val="false"/>
        <w:ind w:hanging="3" w:left="1"/>
        <w:jc w:val="both"/>
        <w:rPr>
          <w:rFonts w:ascii="Arial" w:cs="Arial" w:eastAsia="Arial" w:hAnsi="Arial"/>
          <w:sz w:val="28"/>
          <w:szCs w:val="28"/>
        </w:rPr>
      </w:pPr>
      <w:r>
        <w:rPr>
          <w:rFonts w:ascii="Arial" w:cs="Arial" w:eastAsia="Arial" w:hAnsi="Arial"/>
          <w:sz w:val="28"/>
          <w:szCs w:val="28"/>
        </w:rPr>
      </w:r>
    </w:p>
    <w:p>
      <w:pPr>
        <w:pStyle w:val="Normal"/>
        <w:pageBreakBefore w:val="false"/>
        <w:ind w:hanging="3" w:left="1"/>
        <w:jc w:val="center"/>
        <w:rPr>
          <w:rFonts w:ascii="Arial" w:cs="Arial" w:eastAsia="Arial" w:hAnsi="Arial"/>
          <w:sz w:val="28"/>
          <w:szCs w:val="28"/>
        </w:rPr>
      </w:pPr>
      <w:r>
        <w:rPr>
          <w:rFonts w:ascii="Arial" w:cs="Arial" w:eastAsia="Arial" w:hAnsi="Arial"/>
          <w:b/>
          <w:sz w:val="28"/>
          <w:szCs w:val="28"/>
        </w:rPr>
        <w:t>PROCÈS-VERBAL D’ACCORD</w:t>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t xml:space="preserve">Entre les soussignés, </w:t>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0"/>
          <w:szCs w:val="20"/>
        </w:rPr>
      </w:pPr>
      <w:r>
        <w:rPr>
          <w:rFonts w:ascii="Arial" w:cs="Arial" w:eastAsia="Arial" w:hAnsi="Arial"/>
          <w:sz w:val="22"/>
          <w:szCs w:val="22"/>
        </w:rPr>
        <w:t>Le syndicat C.G.T, représenté par Monsieur</w:t>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t>D’une part,</w:t>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color w:val="000000"/>
          <w:sz w:val="22"/>
          <w:szCs w:val="22"/>
        </w:rPr>
      </w:pPr>
      <w:r>
        <w:rPr>
          <w:rFonts w:ascii="Arial" w:cs="Arial" w:eastAsia="Arial" w:hAnsi="Arial"/>
          <w:sz w:val="22"/>
          <w:szCs w:val="22"/>
        </w:rPr>
        <w:t>Et la société TRISALID, représentée par Monsieur</w:t>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t xml:space="preserve">D’autre part, </w:t>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t>Vu les articles L 2242-1 et suivants du code du travail</w:t>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t>Préambule</w:t>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 xml:space="preserve">Les parties se sont rencontrées à 3 reprises, dans le cadre des négociations annuelles obligatoires, les 11 janvier, 07 février et 09 mars 2023. </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Les informations portant sur les effectifs, l’organisation du travail et la rémunération ont été remises par la Direction à l’Organisation Syndicale CGT conformément à la législation en vigueur.</w:t>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Durant ces réunions, et conformément aux dispositions légales, la Direction et l’Organisation Syndicale CGT ont abordé l’ensemble des blocs de négociation obligatoires (la rémunération, le temps de travail et le partage de la valeur ajoutée ; l’égalité professionnelle entre les femmes et les hommes et la qualité de vie au travail).</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t xml:space="preserve">La dernière réunion de négociation, le </w:t>
      </w:r>
      <w:r>
        <w:rPr>
          <w:rFonts w:ascii="Arial" w:cs="Arial" w:eastAsia="Arial" w:hAnsi="Arial"/>
          <w:sz w:val="22"/>
          <w:szCs w:val="22"/>
        </w:rPr>
        <w:t>09 mars 2023 a</w:t>
      </w:r>
      <w:r>
        <w:rPr>
          <w:rFonts w:ascii="Arial" w:cs="Arial" w:eastAsia="Arial" w:hAnsi="Arial"/>
          <w:color w:val="000000"/>
          <w:sz w:val="22"/>
          <w:szCs w:val="22"/>
        </w:rPr>
        <w:t xml:space="preserve"> finalisé les différentes discussions qui ont porté sur les demandes des organisations syndicales et les propositions que la Direction a faites suite à ces demandes.</w:t>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t>Les parties signataires s’accordent sur les articles suivants :</w:t>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top w:color="000001" w:space="1" w:sz="4" w:val="single"/>
          <w:left w:color="000001" w:space="4" w:sz="4" w:val="single"/>
          <w:bottom w:color="000001" w:space="1" w:sz="4" w:val="single"/>
          <w:right w:color="000001" w:space="4" w:sz="4" w:val="single"/>
        </w:pBdr>
        <w:shd w:fill="D9D9D9" w:val="clear"/>
        <w:spacing w:line="240" w:lineRule="auto"/>
        <w:ind w:hanging="2" w:left="0"/>
        <w:jc w:val="both"/>
        <w:rPr>
          <w:rFonts w:ascii="Arial" w:cs="Arial" w:eastAsia="Arial" w:hAnsi="Arial"/>
          <w:color w:val="000000"/>
          <w:sz w:val="22"/>
          <w:szCs w:val="22"/>
        </w:rPr>
      </w:pPr>
      <w:r>
        <w:rPr>
          <w:rFonts w:ascii="Arial" w:cs="Arial" w:eastAsia="Arial" w:hAnsi="Arial"/>
          <w:b/>
          <w:color w:val="000000"/>
          <w:sz w:val="22"/>
          <w:szCs w:val="22"/>
        </w:rPr>
        <w:t xml:space="preserve">TEMPS DE TRAVAIL – </w:t>
      </w:r>
      <w:r>
        <w:rPr>
          <w:rFonts w:ascii="Arial" w:cs="Arial" w:eastAsia="Arial" w:hAnsi="Arial"/>
          <w:b/>
          <w:sz w:val="22"/>
          <w:szCs w:val="22"/>
        </w:rPr>
        <w:t>RÉMUNÉRATION</w:t>
      </w:r>
      <w:r>
        <w:rPr>
          <w:rFonts w:ascii="Arial" w:cs="Arial" w:eastAsia="Arial" w:hAnsi="Arial"/>
          <w:b/>
          <w:color w:val="000000"/>
          <w:sz w:val="22"/>
          <w:szCs w:val="22"/>
        </w:rPr>
        <w:t xml:space="preserve"> – </w:t>
      </w:r>
      <w:r>
        <w:rPr>
          <w:rFonts w:ascii="Arial" w:cs="Arial" w:eastAsia="Arial" w:hAnsi="Arial"/>
          <w:b/>
          <w:sz w:val="22"/>
          <w:szCs w:val="22"/>
        </w:rPr>
        <w:t>RÉPARTITION</w:t>
      </w:r>
      <w:r>
        <w:rPr>
          <w:rFonts w:ascii="Arial" w:cs="Arial" w:eastAsia="Arial" w:hAnsi="Arial"/>
          <w:b/>
          <w:color w:val="000000"/>
          <w:sz w:val="22"/>
          <w:szCs w:val="22"/>
        </w:rPr>
        <w:t xml:space="preserve"> DE LA VALEUR </w:t>
      </w:r>
      <w:r>
        <w:rPr>
          <w:rFonts w:ascii="Arial" w:cs="Arial" w:eastAsia="Arial" w:hAnsi="Arial"/>
          <w:b/>
          <w:sz w:val="22"/>
          <w:szCs w:val="22"/>
        </w:rPr>
        <w:t>AJOUTÉE</w:t>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r>
    </w:p>
    <w:p>
      <w:pPr>
        <w:pStyle w:val="Normal"/>
        <w:pageBreakBefore w:val="false"/>
        <w:pBdr/>
        <w:spacing w:line="240" w:lineRule="auto"/>
        <w:ind w:hanging="2" w:left="0"/>
        <w:jc w:val="both"/>
        <w:rPr>
          <w:rFonts w:ascii="Arial" w:cs="Arial" w:eastAsia="Arial" w:hAnsi="Arial"/>
          <w:b/>
          <w:b/>
          <w:color w:val="000000"/>
          <w:sz w:val="22"/>
          <w:szCs w:val="22"/>
        </w:rPr>
      </w:pPr>
      <w:r>
        <w:rPr>
          <w:rFonts w:ascii="Arial" w:cs="Arial" w:eastAsia="Arial" w:hAnsi="Arial"/>
          <w:b/>
          <w:color w:val="000000"/>
          <w:sz w:val="22"/>
          <w:szCs w:val="22"/>
        </w:rPr>
        <w:t>1 – SALAIRES EFFECTIFS</w:t>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color w:val="000000"/>
          <w:sz w:val="22"/>
          <w:szCs w:val="22"/>
          <w:u w:val="single"/>
        </w:rPr>
      </w:pPr>
      <w:r>
        <w:rPr>
          <w:rFonts w:ascii="Arial" w:cs="Arial" w:eastAsia="Arial" w:hAnsi="Arial"/>
          <w:color w:val="000000"/>
          <w:sz w:val="22"/>
          <w:szCs w:val="22"/>
          <w:u w:val="single"/>
        </w:rPr>
        <w:t>Article 1 – Rémunération</w:t>
      </w:r>
    </w:p>
    <w:p>
      <w:pPr>
        <w:pStyle w:val="Normal"/>
        <w:pageBreakBefore w:val="false"/>
        <w:pBdr/>
        <w:spacing w:line="240" w:lineRule="auto"/>
        <w:ind w:hanging="2" w:left="0"/>
        <w:jc w:val="both"/>
        <w:rPr>
          <w:rFonts w:ascii="Arial" w:cs="Arial" w:eastAsia="Arial" w:hAnsi="Arial"/>
          <w:color w:val="000000"/>
          <w:sz w:val="22"/>
          <w:szCs w:val="22"/>
          <w:u w:val="single"/>
        </w:rPr>
      </w:pPr>
      <w:r>
        <w:rPr>
          <w:rFonts w:ascii="Arial" w:cs="Arial" w:eastAsia="Arial" w:hAnsi="Arial"/>
          <w:color w:val="000000"/>
          <w:sz w:val="22"/>
          <w:szCs w:val="22"/>
          <w:u w:val="single"/>
        </w:rPr>
      </w:r>
    </w:p>
    <w:p>
      <w:pPr>
        <w:pStyle w:val="Normal"/>
        <w:pageBreakBefore w:val="false"/>
        <w:ind w:hanging="2" w:left="0"/>
        <w:jc w:val="both"/>
        <w:rPr>
          <w:rFonts w:ascii="Arial" w:cs="Arial" w:eastAsia="Arial" w:hAnsi="Arial"/>
          <w:sz w:val="22"/>
          <w:szCs w:val="22"/>
        </w:rPr>
      </w:pPr>
      <w:r>
        <w:rPr>
          <w:rFonts w:ascii="Arial" w:cs="Arial" w:eastAsia="Arial" w:hAnsi="Arial"/>
          <w:b/>
          <w:sz w:val="22"/>
          <w:szCs w:val="22"/>
        </w:rPr>
        <w:t>1-1 :</w:t>
      </w:r>
      <w:r>
        <w:rPr>
          <w:rFonts w:ascii="Arial" w:cs="Arial" w:eastAsia="Arial" w:hAnsi="Arial"/>
          <w:sz w:val="22"/>
          <w:szCs w:val="22"/>
        </w:rPr>
        <w:t xml:space="preserve"> Pour l’ensemble du personnel non-cadre, non-forfaitisés, il est négocié d’appliquer une augmentation générale des salaires de 3,8% à effet du 1</w:t>
      </w:r>
      <w:r>
        <w:rPr>
          <w:rFonts w:ascii="Arial" w:cs="Arial" w:eastAsia="Arial" w:hAnsi="Arial"/>
          <w:sz w:val="22"/>
          <w:szCs w:val="22"/>
          <w:vertAlign w:val="superscript"/>
        </w:rPr>
        <w:t>er</w:t>
      </w:r>
      <w:r>
        <w:rPr>
          <w:rFonts w:ascii="Arial" w:cs="Arial" w:eastAsia="Arial" w:hAnsi="Arial"/>
          <w:sz w:val="22"/>
          <w:szCs w:val="22"/>
        </w:rPr>
        <w:t xml:space="preserve"> janvier 2023 (à valoir sur les augmentations décidées par les partenaires sociaux de la branche déchets intervenue au 01 janvier 2023)</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Les primes attachées aux variations des augmentations générales définies par l’entreprise suivront cette évolution.</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b/>
          <w:sz w:val="22"/>
          <w:szCs w:val="22"/>
        </w:rPr>
        <w:t>1-2 :</w:t>
      </w:r>
      <w:r>
        <w:rPr>
          <w:rFonts w:ascii="Arial" w:cs="Arial" w:eastAsia="Arial" w:hAnsi="Arial"/>
          <w:sz w:val="22"/>
          <w:szCs w:val="22"/>
        </w:rPr>
        <w:t xml:space="preserve"> Le point TRISALID est donc réévalué de 16.98€ à 17.62€ au 01/01/2023.</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Pour rappel, le point SNAD a évolué de 16.81€ à 17.45€ au 01/01/2023.</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Les partenaires s’accordent pour reconnaître que cette augmentation générale de 3,8% complétée des revalorisations précisées ci-après répond au double enjeu de ces NAO 2023 : soutenir le pouvoir d’achat des salariés dans un contexte inflationniste d’une part, et maîtriser les coûts salariaux pour ne pas mettre en risque la compétitivité de l’entreprise dans un contexte de forte concurrence d’autre part.</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1-3 : La Direction s’engage sur le dernier trimestre 2023 à réaliser une revue des coefficients avec les partenaires sociaux.</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u w:val="single"/>
        </w:rPr>
      </w:pPr>
      <w:r>
        <w:rPr>
          <w:rFonts w:ascii="Arial" w:cs="Arial" w:eastAsia="Arial" w:hAnsi="Arial"/>
          <w:sz w:val="22"/>
          <w:szCs w:val="22"/>
          <w:u w:val="single"/>
        </w:rPr>
        <w:t>Article 2 – Revalorisation de l’indemnité Transport</w:t>
      </w:r>
    </w:p>
    <w:p>
      <w:pPr>
        <w:pStyle w:val="Normal"/>
        <w:ind w:hanging="2"/>
        <w:jc w:val="both"/>
        <w:rPr>
          <w:rFonts w:ascii="Arial" w:cs="Arial" w:eastAsia="Arial" w:hAnsi="Arial"/>
          <w:sz w:val="22"/>
          <w:szCs w:val="22"/>
          <w:u w:val="single"/>
        </w:rPr>
      </w:pPr>
      <w:r>
        <w:rPr>
          <w:rFonts w:ascii="Arial" w:cs="Arial" w:eastAsia="Arial" w:hAnsi="Arial"/>
          <w:sz w:val="22"/>
          <w:szCs w:val="22"/>
          <w:u w:val="single"/>
        </w:rPr>
      </w:r>
    </w:p>
    <w:p>
      <w:pPr>
        <w:pStyle w:val="Normal"/>
        <w:ind w:hanging="0"/>
        <w:jc w:val="both"/>
        <w:rPr>
          <w:rFonts w:ascii="Arial" w:cs="Arial" w:eastAsia="Arial" w:hAnsi="Arial"/>
          <w:sz w:val="22"/>
          <w:szCs w:val="22"/>
        </w:rPr>
      </w:pPr>
      <w:r>
        <w:rPr>
          <w:rFonts w:ascii="Arial" w:cs="Arial" w:eastAsia="Arial" w:hAnsi="Arial"/>
          <w:sz w:val="22"/>
          <w:szCs w:val="22"/>
        </w:rPr>
        <w:t>La direction propose une augmentation de l’indemnité transport mensuelle de 8€ à 13€, à effet du 01 avril 2023 (Eléments Variables de Paie (EVP) d’avril - paie de mai 2023).</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u w:val="single"/>
        </w:rPr>
      </w:pPr>
      <w:r>
        <w:rPr>
          <w:rFonts w:ascii="Arial" w:cs="Arial" w:eastAsia="Arial" w:hAnsi="Arial"/>
          <w:sz w:val="22"/>
          <w:szCs w:val="22"/>
          <w:u w:val="single"/>
        </w:rPr>
        <w:t>Article 3 -Tickets restaurant</w:t>
      </w:r>
    </w:p>
    <w:p>
      <w:pPr>
        <w:pStyle w:val="Normal"/>
        <w:ind w:hanging="2"/>
        <w:jc w:val="both"/>
        <w:rPr>
          <w:rFonts w:ascii="Arial" w:cs="Arial" w:eastAsia="Arial" w:hAnsi="Arial"/>
          <w:sz w:val="22"/>
          <w:szCs w:val="22"/>
          <w:u w:val="single"/>
        </w:rPr>
      </w:pPr>
      <w:r>
        <w:rPr>
          <w:rFonts w:ascii="Arial" w:cs="Arial" w:eastAsia="Arial" w:hAnsi="Arial"/>
          <w:sz w:val="22"/>
          <w:szCs w:val="22"/>
          <w:u w:val="single"/>
        </w:rPr>
      </w:r>
    </w:p>
    <w:p>
      <w:pPr>
        <w:pStyle w:val="Normal"/>
        <w:ind w:hanging="2"/>
        <w:jc w:val="both"/>
        <w:rPr>
          <w:rFonts w:ascii="Arial" w:cs="Arial" w:eastAsia="Arial" w:hAnsi="Arial"/>
          <w:sz w:val="22"/>
          <w:szCs w:val="22"/>
        </w:rPr>
      </w:pPr>
      <w:r>
        <w:rPr>
          <w:rFonts w:ascii="Arial" w:cs="Arial" w:eastAsia="Arial" w:hAnsi="Arial"/>
          <w:sz w:val="22"/>
          <w:szCs w:val="22"/>
        </w:rPr>
        <w:t>La Direction s'engage à mettre en place, sous forme de décision unilatérale de l'entreprise, des «tickets restaurant» d'une valeur de 8€ (participation patronale de 60% et salariale de 40%) à compter du 1er septembre 2023.</w:t>
      </w:r>
    </w:p>
    <w:p>
      <w:pPr>
        <w:pStyle w:val="Normal"/>
        <w:ind w:hanging="2"/>
        <w:jc w:val="both"/>
        <w:rPr>
          <w:rFonts w:ascii="Arial" w:cs="Arial" w:eastAsia="Arial" w:hAnsi="Arial"/>
          <w:sz w:val="22"/>
          <w:szCs w:val="22"/>
        </w:rPr>
      </w:pPr>
      <w:r>
        <w:rPr>
          <w:rFonts w:ascii="Arial" w:cs="Arial" w:eastAsia="Arial" w:hAnsi="Arial"/>
          <w:sz w:val="22"/>
          <w:szCs w:val="22"/>
        </w:rPr>
        <w:t>Ces dispositions s'appliqueront au personnel ne bénéficiant pas des repas et/ou des casse-croûte ou paniers.</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u w:val="single"/>
        </w:rPr>
      </w:pPr>
      <w:r>
        <w:rPr>
          <w:rFonts w:ascii="Arial" w:cs="Arial" w:eastAsia="Arial" w:hAnsi="Arial"/>
          <w:sz w:val="22"/>
          <w:szCs w:val="22"/>
          <w:u w:val="single"/>
        </w:rPr>
        <w:t>Article 4 - Mission Nettoyage trieurs</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Les heures de nettoyage de la chaîne de tri du lundi après-midi pour les 2 trieurs concernés seront systématiquement payées et non plus intégrées aux heures de récupération (RCR), à effet du  01 avril 2023 (EVP d’avril - paie de mai 2023).</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u w:val="single"/>
        </w:rPr>
      </w:pPr>
      <w:r>
        <w:rPr>
          <w:rFonts w:ascii="Arial" w:cs="Arial" w:eastAsia="Arial" w:hAnsi="Arial"/>
          <w:sz w:val="22"/>
          <w:szCs w:val="22"/>
          <w:u w:val="single"/>
        </w:rPr>
        <w:t>Article 5 - Prime exceptionnelle au “personnel de” Quart</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 xml:space="preserve">Pour les remplacements au quart, en plus de la prime de Quart de remplacement Semaine (rubrique paie RBUK4) de 25€, il sera versé : </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&gt; en semaine (Quart matin ou Quart après-midi) , une prime exceptionnelle de 15 euros</w:t>
      </w:r>
    </w:p>
    <w:p>
      <w:pPr>
        <w:pStyle w:val="Normal"/>
        <w:ind w:hanging="2"/>
        <w:jc w:val="both"/>
        <w:rPr>
          <w:rFonts w:ascii="Arial" w:cs="Arial" w:eastAsia="Arial" w:hAnsi="Arial"/>
          <w:sz w:val="22"/>
          <w:szCs w:val="22"/>
        </w:rPr>
      </w:pPr>
      <w:r>
        <w:rPr>
          <w:rFonts w:ascii="Arial" w:cs="Arial" w:eastAsia="Arial" w:hAnsi="Arial"/>
          <w:sz w:val="22"/>
          <w:szCs w:val="22"/>
        </w:rPr>
        <w:t>&gt; de nuit,  une prime exceptionnelle de 25 euros</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Pour les remplacements au quart , en plus de la prime de Quart de remplacement Week-end et jour férié (rubrique paie RBUI2) de 50€, il sera versé une prime exceptionnelle de 10 euros, peu importe que le quart soit du matin, d’après-midi ou de nuit.</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Et ce à effet du 01 avril 2023 (EVP d’avril - paie de mai 2023).</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u w:val="single"/>
        </w:rPr>
      </w:pPr>
      <w:r>
        <w:rPr>
          <w:rFonts w:ascii="Arial" w:cs="Arial" w:eastAsia="Arial" w:hAnsi="Arial"/>
          <w:sz w:val="22"/>
          <w:szCs w:val="22"/>
          <w:u w:val="single"/>
        </w:rPr>
        <w:t>Article 6- Astreinte- maintenance</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La prime d’astreinte (rubrique de paie RBUPA) est portée à 40 € par jour d’astreinte complet, à effet du 01 avril 2023 (EVP d’avril - paie de mai 2023).</w:t>
      </w:r>
    </w:p>
    <w:p>
      <w:pPr>
        <w:pStyle w:val="Normal"/>
        <w:ind w:hanging="2"/>
        <w:jc w:val="both"/>
        <w:rPr>
          <w:rFonts w:ascii="Arial" w:cs="Arial" w:eastAsia="Arial" w:hAnsi="Arial"/>
          <w:sz w:val="22"/>
          <w:szCs w:val="22"/>
        </w:rPr>
      </w:pPr>
      <w:r>
        <w:rPr>
          <w:rFonts w:ascii="Arial" w:cs="Arial" w:eastAsia="Arial" w:hAnsi="Arial"/>
          <w:sz w:val="22"/>
          <w:szCs w:val="22"/>
        </w:rPr>
        <w:t>De plus, pour les interventions sur le samedi, une majoration des heures de 25 % supplémentaires sera accordée en plus de celles qui se déclencheraient en automatique du fait du calcul hebdomadaire des heures, à effet du 01 avril 2023 (EVP d’avril - paie de mai 2023).</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b/>
          <w:sz w:val="22"/>
          <w:szCs w:val="22"/>
        </w:rPr>
        <w:t>2 – Suivi de la mise en œuvre des mesures visant à supprimer les écarts de rémunération et les différences de déroulement de carrière entre les Femmes et les Hommes</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 xml:space="preserve">La Direction et l’Organisation Syndicale CGT constatent qu’il n’existe pas au sein de l’entreprise d’écart de rémunération ni de différence en matière de déroulement de carrière entre les hommes et les femmes. </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b/>
          <w:sz w:val="22"/>
          <w:szCs w:val="22"/>
        </w:rPr>
        <w:t>3</w:t>
      </w:r>
      <w:r>
        <w:rPr>
          <w:rFonts w:ascii="Arial" w:cs="Arial" w:eastAsia="Arial" w:hAnsi="Arial"/>
          <w:b/>
          <w:color w:val="000000"/>
          <w:sz w:val="22"/>
          <w:szCs w:val="22"/>
        </w:rPr>
        <w:t xml:space="preserve"> – </w:t>
      </w:r>
      <w:r>
        <w:rPr>
          <w:rFonts w:ascii="Arial" w:cs="Arial" w:eastAsia="Arial" w:hAnsi="Arial"/>
          <w:b/>
          <w:sz w:val="22"/>
          <w:szCs w:val="22"/>
        </w:rPr>
        <w:t>DURÉE</w:t>
      </w:r>
      <w:r>
        <w:rPr>
          <w:rFonts w:ascii="Arial" w:cs="Arial" w:eastAsia="Arial" w:hAnsi="Arial"/>
          <w:b/>
          <w:color w:val="000000"/>
          <w:sz w:val="22"/>
          <w:szCs w:val="22"/>
        </w:rPr>
        <w:t xml:space="preserve"> EFFECTIVE ET ORGANISATION DU TEMPS DE TRAVAIL</w:t>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 xml:space="preserve">Les partenaires sociaux n’ont pas pour l’heure le projet de modifier la durée effective et l’organisation du temps de travail. </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b/>
          <w:sz w:val="22"/>
          <w:szCs w:val="22"/>
        </w:rPr>
        <w:t>4</w:t>
      </w:r>
      <w:r>
        <w:rPr>
          <w:rFonts w:ascii="Arial" w:cs="Arial" w:eastAsia="Arial" w:hAnsi="Arial"/>
          <w:b/>
          <w:color w:val="000000"/>
          <w:sz w:val="22"/>
          <w:szCs w:val="22"/>
        </w:rPr>
        <w:t xml:space="preserve"> – </w:t>
      </w:r>
      <w:r>
        <w:rPr>
          <w:rFonts w:ascii="Arial" w:cs="Arial" w:eastAsia="Arial" w:hAnsi="Arial"/>
          <w:b/>
          <w:sz w:val="22"/>
          <w:szCs w:val="22"/>
        </w:rPr>
        <w:t>INTÉRESSEMENT</w:t>
      </w:r>
      <w:r>
        <w:rPr>
          <w:rFonts w:ascii="Arial" w:cs="Arial" w:eastAsia="Arial" w:hAnsi="Arial"/>
          <w:b/>
          <w:color w:val="000000"/>
          <w:sz w:val="22"/>
          <w:szCs w:val="22"/>
        </w:rPr>
        <w:t xml:space="preserve"> – PARTICIPATION – </w:t>
      </w:r>
      <w:r>
        <w:rPr>
          <w:rFonts w:ascii="Arial" w:cs="Arial" w:eastAsia="Arial" w:hAnsi="Arial"/>
          <w:b/>
          <w:sz w:val="22"/>
          <w:szCs w:val="22"/>
        </w:rPr>
        <w:t>ÉPARGNE</w:t>
      </w:r>
      <w:r>
        <w:rPr>
          <w:rFonts w:ascii="Arial" w:cs="Arial" w:eastAsia="Arial" w:hAnsi="Arial"/>
          <w:b/>
          <w:color w:val="000000"/>
          <w:sz w:val="22"/>
          <w:szCs w:val="22"/>
        </w:rPr>
        <w:t xml:space="preserve"> SALARIALE</w:t>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Il est rappelé que la Participation, le PEG et le PERCO relèvent des accords groupe en vigueur.</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i/>
          <w:i/>
          <w:sz w:val="22"/>
          <w:szCs w:val="22"/>
          <w:u w:val="single"/>
        </w:rPr>
      </w:pPr>
      <w:r>
        <w:rPr>
          <w:rFonts w:ascii="Arial" w:cs="Arial" w:eastAsia="Arial" w:hAnsi="Arial"/>
          <w:i/>
          <w:sz w:val="22"/>
          <w:szCs w:val="22"/>
          <w:u w:val="single"/>
        </w:rPr>
        <w:t xml:space="preserve">Deux abondements : jusqu’à 300€ pour le SEQUOIA 2023, et jusqu’à 200€ pour le PEG/PERCO 2023 : </w:t>
      </w:r>
    </w:p>
    <w:p>
      <w:pPr>
        <w:pStyle w:val="Normal"/>
        <w:ind w:hanging="0"/>
        <w:jc w:val="both"/>
        <w:rPr>
          <w:rFonts w:ascii="Arial" w:cs="Arial" w:eastAsia="Arial" w:hAnsi="Arial"/>
          <w:i/>
          <w:i/>
          <w:sz w:val="22"/>
          <w:szCs w:val="22"/>
          <w:u w:val="single"/>
        </w:rPr>
      </w:pPr>
      <w:r>
        <w:rPr>
          <w:rFonts w:ascii="Arial" w:cs="Arial" w:eastAsia="Arial" w:hAnsi="Arial"/>
          <w:i/>
          <w:sz w:val="22"/>
          <w:szCs w:val="22"/>
          <w:u w:val="single"/>
        </w:rPr>
      </w:r>
    </w:p>
    <w:p>
      <w:pPr>
        <w:pStyle w:val="Normal"/>
        <w:ind w:hanging="0"/>
        <w:jc w:val="both"/>
        <w:rPr>
          <w:rFonts w:ascii="Arial" w:cs="Arial" w:eastAsia="Arial" w:hAnsi="Arial"/>
          <w:sz w:val="22"/>
          <w:szCs w:val="22"/>
        </w:rPr>
      </w:pPr>
      <w:r>
        <w:rPr>
          <w:rFonts w:ascii="Arial" w:cs="Arial" w:eastAsia="Arial" w:hAnsi="Arial"/>
          <w:sz w:val="22"/>
          <w:szCs w:val="22"/>
        </w:rPr>
        <w:t xml:space="preserve">L’offre Sequoia 2023 propose une composante sécurisée, à effet de levier, avec un abondement jusqu’à 300€. </w:t>
      </w:r>
    </w:p>
    <w:p>
      <w:pPr>
        <w:pStyle w:val="Normal"/>
        <w:ind w:hanging="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Cette composante sécurisée cible les salariés ayant des capacités d’épargne modestes et recherchant une protection des sommes investies et abondées. Elle octroie un abondement à 100% dans la limite de 300€ bruts. Le souscripteur bénéficie, dans tous les cas, d’une garantie de son apport personnel et de son abondement.</w:t>
      </w:r>
    </w:p>
    <w:p>
      <w:pPr>
        <w:pStyle w:val="Normal"/>
        <w:ind w:hanging="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 xml:space="preserve">Les salariés pourront faire le choix d’investir tout ou partie de leur prime de Participation et/ou d’Intéressement dans l’opération d’augmentation de capital via le FCPE Sequoia Relais. </w:t>
      </w:r>
    </w:p>
    <w:p>
      <w:pPr>
        <w:pStyle w:val="Normal"/>
        <w:ind w:hanging="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 xml:space="preserve">Investir sa prime de Participation et/ou d’Intéressement dans l’offre sécurisée de Sequoia 2023 permet de protéger son épargne, multiplier ses gains et devenir actionnaire de Veolia. </w:t>
      </w:r>
    </w:p>
    <w:p>
      <w:pPr>
        <w:pStyle w:val="Normal"/>
        <w:ind w:hanging="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Pour résumer, sur 2023, on distingue 2 enveloppes d’abondement qui sont cumulables :</w:t>
      </w:r>
    </w:p>
    <w:p>
      <w:pPr>
        <w:pStyle w:val="Normal"/>
        <w:numPr>
          <w:ilvl w:val="0"/>
          <w:numId w:val="1"/>
        </w:numPr>
        <w:ind w:hanging="360" w:left="720"/>
        <w:jc w:val="both"/>
        <w:rPr>
          <w:rFonts w:ascii="Arial" w:cs="Arial" w:eastAsia="Arial" w:hAnsi="Arial"/>
          <w:sz w:val="22"/>
          <w:szCs w:val="22"/>
        </w:rPr>
      </w:pPr>
      <w:r>
        <w:rPr>
          <w:rFonts w:ascii="Arial" w:cs="Arial" w:eastAsia="Arial" w:hAnsi="Arial"/>
          <w:sz w:val="22"/>
          <w:szCs w:val="22"/>
        </w:rPr>
        <w:t>300€ maximum pour un versement de 300€ dans le fonds Sequoia Relais 2023 (opération Sequoia 2023)</w:t>
      </w:r>
    </w:p>
    <w:p>
      <w:pPr>
        <w:pStyle w:val="Normal"/>
        <w:numPr>
          <w:ilvl w:val="0"/>
          <w:numId w:val="1"/>
        </w:numPr>
        <w:ind w:hanging="360" w:left="720"/>
        <w:jc w:val="both"/>
        <w:rPr>
          <w:rFonts w:ascii="Arial" w:cs="Arial" w:eastAsia="Arial" w:hAnsi="Arial"/>
          <w:sz w:val="22"/>
          <w:szCs w:val="22"/>
        </w:rPr>
      </w:pPr>
      <w:r>
        <w:rPr>
          <w:rFonts w:ascii="Arial" w:cs="Arial" w:eastAsia="Arial" w:hAnsi="Arial"/>
          <w:sz w:val="22"/>
          <w:szCs w:val="22"/>
        </w:rPr>
        <w:t>200€ maximum pour un versement de 250€ sur le PEG et/ou le PERCO</w:t>
      </w:r>
    </w:p>
    <w:p>
      <w:pPr>
        <w:pStyle w:val="Normal"/>
        <w:ind w:hanging="0"/>
        <w:jc w:val="both"/>
        <w:rPr>
          <w:rFonts w:ascii="Arial" w:cs="Arial" w:eastAsia="Arial" w:hAnsi="Arial"/>
          <w:sz w:val="22"/>
          <w:szCs w:val="22"/>
        </w:rPr>
      </w:pPr>
      <w:r>
        <w:rPr>
          <w:rFonts w:ascii="Arial" w:cs="Arial" w:eastAsia="Arial" w:hAnsi="Arial"/>
          <w:sz w:val="22"/>
          <w:szCs w:val="22"/>
        </w:rPr>
        <w:t xml:space="preserve">Soit 500€ maximum d’abondement pour l’année 2023. </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t xml:space="preserve">Intéressement: </w:t>
      </w:r>
    </w:p>
    <w:p>
      <w:pPr>
        <w:pStyle w:val="Normal"/>
        <w:pageBreakBefore w:val="false"/>
        <w:ind w:hanging="2" w:left="0"/>
        <w:jc w:val="both"/>
        <w:rPr>
          <w:rFonts w:ascii="Arial" w:cs="Arial" w:eastAsia="Arial" w:hAnsi="Arial"/>
          <w:sz w:val="22"/>
          <w:szCs w:val="22"/>
          <w:u w:val="single"/>
        </w:rPr>
      </w:pPr>
      <w:r>
        <w:rPr>
          <w:rFonts w:ascii="Arial" w:cs="Arial" w:eastAsia="Arial" w:hAnsi="Arial"/>
          <w:sz w:val="22"/>
          <w:szCs w:val="22"/>
          <w:u w:val="single"/>
        </w:rPr>
      </w:r>
    </w:p>
    <w:p>
      <w:pPr>
        <w:pStyle w:val="Normal"/>
        <w:ind w:hanging="2"/>
        <w:jc w:val="both"/>
        <w:rPr>
          <w:rFonts w:ascii="Arial" w:cs="Arial" w:eastAsia="Arial" w:hAnsi="Arial"/>
          <w:sz w:val="22"/>
          <w:szCs w:val="22"/>
        </w:rPr>
      </w:pPr>
      <w:r>
        <w:rPr>
          <w:rFonts w:ascii="Arial" w:cs="Arial" w:eastAsia="Arial" w:hAnsi="Arial"/>
          <w:sz w:val="22"/>
          <w:szCs w:val="22"/>
        </w:rPr>
        <w:t>L’accord d’intéressement propre à la société TRISALID a été conclu pour une durée de 3 ans soit jusqu’au 31 décembre 2022.</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Une négociation sera prochainement initiée afin d’aboutir à la conclusion d’un nouvel accord d’intéressement avant le 30 juin 2023.</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Pour l’année 2022, les montants distribués (pour 100% de présence sur l’année 2022) seront les suivants:</w:t>
      </w:r>
    </w:p>
    <w:p>
      <w:pPr>
        <w:pStyle w:val="Normal"/>
        <w:ind w:hanging="2"/>
        <w:jc w:val="both"/>
        <w:rPr>
          <w:rFonts w:ascii="Arial" w:cs="Arial" w:eastAsia="Arial" w:hAnsi="Arial"/>
          <w:sz w:val="22"/>
          <w:szCs w:val="22"/>
        </w:rPr>
      </w:pPr>
      <w:r>
        <w:rPr>
          <w:rFonts w:ascii="Arial" w:cs="Arial" w:eastAsia="Arial" w:hAnsi="Arial"/>
          <w:sz w:val="22"/>
          <w:szCs w:val="22"/>
        </w:rPr>
        <w:t>- Critère Financier : 225€</w:t>
      </w:r>
    </w:p>
    <w:p>
      <w:pPr>
        <w:pStyle w:val="Normal"/>
        <w:ind w:hanging="2"/>
        <w:jc w:val="both"/>
        <w:rPr>
          <w:rFonts w:ascii="Arial" w:cs="Arial" w:eastAsia="Arial" w:hAnsi="Arial"/>
          <w:sz w:val="22"/>
          <w:szCs w:val="22"/>
        </w:rPr>
      </w:pPr>
      <w:r>
        <w:rPr>
          <w:rFonts w:ascii="Arial" w:cs="Arial" w:eastAsia="Arial" w:hAnsi="Arial"/>
          <w:sz w:val="22"/>
          <w:szCs w:val="22"/>
        </w:rPr>
        <w:t>- Critère sécurité : 600 €</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b/>
          <w:b/>
          <w:sz w:val="22"/>
          <w:szCs w:val="22"/>
        </w:rPr>
      </w:pPr>
      <w:r>
        <w:rPr>
          <w:rFonts w:ascii="Arial" w:cs="Arial" w:eastAsia="Arial" w:hAnsi="Arial"/>
          <w:b/>
          <w:sz w:val="22"/>
          <w:szCs w:val="22"/>
        </w:rPr>
        <w:t>La direction propose un versement complémentaire d’intéressement exceptionnel (“supplément d’intéressement”)  de 150€  bruts par collaborateurs pour une présence à 100% sur l’année 2022, au prorata du temps de présence pour l’année 2022 conformément aux conditions définies dans l’accord d’intéressement TRISALID.</w:t>
      </w:r>
    </w:p>
    <w:p>
      <w:pPr>
        <w:pStyle w:val="Normal"/>
        <w:ind w:hanging="2"/>
        <w:jc w:val="both"/>
        <w:rPr>
          <w:rFonts w:ascii="Arial" w:cs="Arial" w:eastAsia="Arial" w:hAnsi="Arial"/>
          <w:sz w:val="22"/>
          <w:szCs w:val="22"/>
        </w:rPr>
      </w:pPr>
      <w:r>
        <w:rPr>
          <w:rFonts w:ascii="Arial" w:cs="Arial" w:eastAsia="Arial" w:hAnsi="Arial"/>
          <w:sz w:val="22"/>
          <w:szCs w:val="22"/>
        </w:rPr>
        <w:t>Ce supplément est le résultat d’un engagement de l’année 2022 suite à une non distribution d’intéressement en 2022 au titre de 2021.</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pageBreakBefore w:val="false"/>
        <w:pBdr>
          <w:top w:color="000001" w:space="1" w:sz="4" w:val="single"/>
          <w:left w:color="000001" w:space="4" w:sz="4" w:val="single"/>
          <w:bottom w:color="000001" w:space="1" w:sz="4" w:val="single"/>
          <w:right w:color="000001" w:space="4" w:sz="4" w:val="single"/>
        </w:pBdr>
        <w:shd w:fill="D9D9D9" w:val="clear"/>
        <w:spacing w:line="240" w:lineRule="auto"/>
        <w:ind w:hanging="2" w:left="0"/>
        <w:jc w:val="both"/>
        <w:rPr>
          <w:rFonts w:ascii="Arial" w:cs="Arial" w:eastAsia="Arial" w:hAnsi="Arial"/>
          <w:b/>
          <w:b/>
          <w:sz w:val="22"/>
          <w:szCs w:val="22"/>
        </w:rPr>
      </w:pPr>
      <w:r>
        <w:rPr>
          <w:rFonts w:ascii="Arial" w:cs="Arial" w:eastAsia="Arial" w:hAnsi="Arial"/>
          <w:b/>
          <w:sz w:val="22"/>
          <w:szCs w:val="22"/>
        </w:rPr>
        <w:t>QUALITÉ</w:t>
      </w:r>
      <w:r>
        <w:rPr>
          <w:rFonts w:ascii="Arial" w:cs="Arial" w:eastAsia="Arial" w:hAnsi="Arial"/>
          <w:b/>
          <w:color w:val="000000"/>
          <w:sz w:val="22"/>
          <w:szCs w:val="22"/>
        </w:rPr>
        <w:t xml:space="preserve"> DE VIE AU TRAVAIL </w:t>
      </w:r>
      <w:r>
        <w:rPr>
          <w:rFonts w:ascii="Arial" w:cs="Arial" w:eastAsia="Arial" w:hAnsi="Arial"/>
          <w:b/>
          <w:sz w:val="22"/>
          <w:szCs w:val="22"/>
        </w:rPr>
        <w:t>ET CONDITIONS DE TRAVAIL</w:t>
      </w:r>
    </w:p>
    <w:p>
      <w:pPr>
        <w:pStyle w:val="Normal"/>
        <w:ind w:hanging="0"/>
        <w:jc w:val="both"/>
        <w:rPr>
          <w:rFonts w:ascii="Arial" w:cs="Arial" w:eastAsia="Arial" w:hAnsi="Arial"/>
          <w:b/>
          <w:b/>
          <w:sz w:val="22"/>
          <w:szCs w:val="22"/>
        </w:rPr>
      </w:pPr>
      <w:r>
        <w:rPr>
          <w:rFonts w:ascii="Arial" w:cs="Arial" w:eastAsia="Arial" w:hAnsi="Arial"/>
          <w:b/>
          <w:sz w:val="22"/>
          <w:szCs w:val="22"/>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b/>
          <w:sz w:val="22"/>
          <w:szCs w:val="22"/>
        </w:rPr>
        <w:t>1</w:t>
      </w:r>
      <w:r>
        <w:rPr>
          <w:rFonts w:ascii="Arial" w:cs="Arial" w:eastAsia="Arial" w:hAnsi="Arial"/>
          <w:b/>
          <w:color w:val="000000"/>
          <w:sz w:val="22"/>
          <w:szCs w:val="22"/>
        </w:rPr>
        <w:t xml:space="preserve"> – Régime de prévoyance et de garantie des frais de santé</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 xml:space="preserve">Il est rappelé que les régimes de prévoyance et de garantie des frais de santé, mis en place dans l’entreprise sont communs à l’ensemble des salariés du groupe. </w:t>
      </w:r>
    </w:p>
    <w:p>
      <w:pPr>
        <w:pStyle w:val="Normal"/>
        <w:ind w:hanging="0"/>
        <w:jc w:val="both"/>
        <w:rPr>
          <w:rFonts w:ascii="Arial" w:cs="Arial" w:eastAsia="Arial" w:hAnsi="Arial"/>
          <w:sz w:val="22"/>
          <w:szCs w:val="22"/>
        </w:rPr>
      </w:pPr>
      <w:r>
        <w:rPr>
          <w:rFonts w:ascii="Arial" w:cs="Arial" w:eastAsia="Arial" w:hAnsi="Arial"/>
          <w:sz w:val="22"/>
          <w:szCs w:val="22"/>
        </w:rPr>
        <w:t xml:space="preserve">Une commission mutuelle Non-cadre existe et des réunions sont d’ailleurs tenues régulièrement, au niveau de l’instance de dialogue social du groupe. </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 xml:space="preserve">Concernant les frais de santé, la direction propose de faire passer la participation patronale mensuelle de la mutuelle non cadre de : </w:t>
      </w:r>
    </w:p>
    <w:p>
      <w:pPr>
        <w:pStyle w:val="Normal"/>
        <w:ind w:hanging="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2"/>
          <w:szCs w:val="22"/>
        </w:rPr>
      </w:pPr>
      <w:r>
        <w:rPr>
          <w:rFonts w:ascii="Arial" w:cs="Arial" w:eastAsia="Arial" w:hAnsi="Arial"/>
          <w:sz w:val="22"/>
          <w:szCs w:val="22"/>
        </w:rPr>
        <w:t>&gt;  40.14€ à 43.64 € pour les salariés sous régime ISOLÉ, et 59.69€ à 63.19€ pour les salariés sous régime FAMILLE, au 01/01/2023 (rétroactif sur Paie d’avril 2023).</w:t>
      </w:r>
    </w:p>
    <w:p>
      <w:pPr>
        <w:pStyle w:val="Normal"/>
        <w:ind w:hanging="0"/>
        <w:jc w:val="both"/>
        <w:rPr>
          <w:rFonts w:ascii="Arial" w:cs="Arial" w:eastAsia="Arial" w:hAnsi="Arial"/>
          <w:sz w:val="22"/>
          <w:szCs w:val="22"/>
        </w:rPr>
      </w:pPr>
      <w:r>
        <w:rPr>
          <w:rFonts w:ascii="Arial" w:cs="Arial" w:eastAsia="Arial" w:hAnsi="Arial"/>
          <w:sz w:val="22"/>
          <w:szCs w:val="22"/>
        </w:rPr>
      </w:r>
    </w:p>
    <w:p>
      <w:pPr>
        <w:pStyle w:val="Normal"/>
        <w:ind w:hanging="0"/>
        <w:jc w:val="both"/>
        <w:rPr>
          <w:rFonts w:ascii="Arial" w:cs="Arial" w:eastAsia="Arial" w:hAnsi="Arial"/>
          <w:sz w:val="26"/>
          <w:szCs w:val="26"/>
        </w:rPr>
      </w:pPr>
      <w:r>
        <w:rPr>
          <w:rFonts w:ascii="Arial" w:cs="Arial" w:eastAsia="Arial" w:hAnsi="Arial"/>
          <w:sz w:val="22"/>
          <w:szCs w:val="22"/>
        </w:rPr>
        <w:t>&gt; puis de 43.64€ à 47.14€ pour les salariés sous régime ISOLÉ, et 63.19€ à 66.69€ pour les salariés sous régime FAMILLE, au 01/07/2023 ( paie de juillet 2023).</w:t>
      </w:r>
    </w:p>
    <w:p>
      <w:pPr>
        <w:pStyle w:val="Normal"/>
        <w:ind w:hanging="0"/>
        <w:jc w:val="both"/>
        <w:rPr>
          <w:rFonts w:ascii="Arial" w:cs="Arial" w:eastAsia="Arial" w:hAnsi="Arial"/>
          <w:sz w:val="22"/>
          <w:szCs w:val="22"/>
        </w:rPr>
      </w:pPr>
      <w:r>
        <w:rPr>
          <w:rFonts w:ascii="Arial" w:cs="Arial" w:eastAsia="Arial" w:hAnsi="Arial"/>
          <w:sz w:val="22"/>
          <w:szCs w:val="22"/>
        </w:rPr>
      </w:r>
    </w:p>
    <w:p>
      <w:pPr>
        <w:pStyle w:val="Normal"/>
        <w:pageBreakBefore w:val="false"/>
        <w:ind w:hanging="2"/>
        <w:jc w:val="both"/>
        <w:rPr>
          <w:rFonts w:ascii="Arial" w:cs="Arial" w:eastAsia="Arial" w:hAnsi="Arial"/>
          <w:sz w:val="20"/>
          <w:szCs w:val="20"/>
        </w:rPr>
      </w:pPr>
      <w:r>
        <w:rPr>
          <w:rFonts w:ascii="Arial" w:cs="Arial" w:eastAsia="Arial" w:hAnsi="Arial"/>
          <w:sz w:val="20"/>
          <w:szCs w:val="20"/>
        </w:rPr>
      </w:r>
    </w:p>
    <w:p>
      <w:pPr>
        <w:pStyle w:val="Normal"/>
        <w:ind w:hanging="2"/>
        <w:jc w:val="both"/>
        <w:rPr>
          <w:rFonts w:ascii="Arial" w:cs="Arial" w:eastAsia="Arial" w:hAnsi="Arial"/>
          <w:b/>
          <w:b/>
          <w:sz w:val="22"/>
          <w:szCs w:val="22"/>
        </w:rPr>
      </w:pPr>
      <w:r>
        <w:rPr>
          <w:rFonts w:ascii="Arial" w:cs="Arial" w:eastAsia="Arial" w:hAnsi="Arial"/>
          <w:b/>
          <w:sz w:val="20"/>
          <w:szCs w:val="20"/>
        </w:rPr>
        <w:t>2</w:t>
      </w:r>
      <w:r>
        <w:rPr>
          <w:rFonts w:ascii="Arial" w:cs="Arial" w:eastAsia="Arial" w:hAnsi="Arial"/>
          <w:b/>
          <w:sz w:val="22"/>
          <w:szCs w:val="22"/>
        </w:rPr>
        <w:t xml:space="preserve"> -Accord télétravail.</w:t>
      </w:r>
    </w:p>
    <w:p>
      <w:pPr>
        <w:pStyle w:val="Normal"/>
        <w:keepNext w:val="false"/>
        <w:keepLines w:val="false"/>
        <w:pageBreakBefore w:val="false"/>
        <w:widowControl/>
        <w:pBdr/>
        <w:shd w:fill="auto" w:val="clear"/>
        <w:spacing w:after="0" w:before="0" w:line="240" w:lineRule="auto"/>
        <w:ind w:hanging="0" w:left="0" w:right="0"/>
        <w:jc w:val="both"/>
        <w:rPr>
          <w:rFonts w:ascii="Arial" w:cs="Arial" w:eastAsia="Arial" w:hAnsi="Arial"/>
          <w:sz w:val="22"/>
          <w:szCs w:val="22"/>
        </w:rPr>
      </w:pPr>
      <w:r>
        <w:rPr>
          <w:rFonts w:ascii="Arial" w:cs="Arial" w:eastAsia="Arial" w:hAnsi="Arial"/>
          <w:sz w:val="22"/>
          <w:szCs w:val="22"/>
        </w:rPr>
      </w:r>
    </w:p>
    <w:p>
      <w:pPr>
        <w:pStyle w:val="Normal"/>
        <w:keepNext w:val="false"/>
        <w:keepLines w:val="false"/>
        <w:pageBreakBefore w:val="false"/>
        <w:widowControl/>
        <w:pBdr/>
        <w:shd w:fill="auto" w:val="clear"/>
        <w:spacing w:after="0" w:before="0" w:line="240" w:lineRule="auto"/>
        <w:ind w:hanging="0" w:left="0" w:right="0"/>
        <w:jc w:val="both"/>
        <w:rPr>
          <w:rFonts w:ascii="Arial" w:cs="Arial" w:eastAsia="Arial" w:hAnsi="Arial"/>
          <w:sz w:val="22"/>
          <w:szCs w:val="22"/>
        </w:rPr>
      </w:pPr>
      <w:r>
        <w:rPr>
          <w:rFonts w:ascii="Arial" w:cs="Arial" w:eastAsia="Arial" w:hAnsi="Arial"/>
          <w:sz w:val="22"/>
          <w:szCs w:val="22"/>
        </w:rPr>
        <w:t>Un accord Groupe RVD a été signé le 24 décembre 2021 qui fixe les modalités pratiques de mise en place du télétravail en période normale. Cet accord s'applique à l'ensemble des sociétés (toutes régions ou filiales confondues) de Recyclage et Valorisation des Déchets (RVD) et des salariés qui composent ces sociétés.</w:t>
      </w:r>
    </w:p>
    <w:p>
      <w:pPr>
        <w:pStyle w:val="Normal"/>
        <w:keepNext w:val="false"/>
        <w:keepLines w:val="false"/>
        <w:pageBreakBefore w:val="false"/>
        <w:widowControl/>
        <w:pBdr/>
        <w:shd w:fill="auto" w:val="clear"/>
        <w:spacing w:after="0" w:before="0" w:line="240" w:lineRule="auto"/>
        <w:ind w:hanging="0" w:left="0" w:right="0"/>
        <w:jc w:val="both"/>
        <w:rPr>
          <w:rFonts w:ascii="Arial" w:cs="Arial" w:eastAsia="Arial" w:hAnsi="Arial"/>
          <w:sz w:val="22"/>
          <w:szCs w:val="22"/>
        </w:rPr>
      </w:pPr>
      <w:r>
        <w:rPr>
          <w:rFonts w:ascii="Arial" w:cs="Arial" w:eastAsia="Arial" w:hAnsi="Arial"/>
          <w:sz w:val="22"/>
          <w:szCs w:val="22"/>
        </w:rPr>
      </w:r>
    </w:p>
    <w:p>
      <w:pPr>
        <w:pStyle w:val="Normal"/>
        <w:keepNext w:val="false"/>
        <w:keepLines w:val="false"/>
        <w:pageBreakBefore w:val="false"/>
        <w:widowControl/>
        <w:pBdr/>
        <w:shd w:fill="auto" w:val="clear"/>
        <w:spacing w:after="0" w:before="0" w:line="240" w:lineRule="auto"/>
        <w:ind w:hanging="0" w:left="0" w:right="0"/>
        <w:jc w:val="both"/>
        <w:rPr>
          <w:rFonts w:ascii="Arial" w:cs="Arial" w:eastAsia="Arial" w:hAnsi="Arial"/>
          <w:sz w:val="22"/>
          <w:szCs w:val="22"/>
        </w:rPr>
      </w:pPr>
      <w:r>
        <w:rPr>
          <w:rFonts w:ascii="Arial" w:cs="Arial" w:eastAsia="Arial" w:hAnsi="Arial"/>
          <w:sz w:val="22"/>
          <w:szCs w:val="22"/>
        </w:rPr>
        <w:t>Il prévoit la possibilité d'aller jusqu'à deux jours de télétravail par semaine (avec une réserve pour les temps partiels).</w:t>
      </w:r>
    </w:p>
    <w:p>
      <w:pPr>
        <w:pStyle w:val="Normal"/>
        <w:ind w:hanging="2"/>
        <w:jc w:val="both"/>
        <w:rPr>
          <w:rFonts w:ascii="Arial" w:cs="Arial" w:eastAsia="Arial" w:hAnsi="Arial"/>
          <w:b/>
          <w:b/>
          <w:sz w:val="22"/>
          <w:szCs w:val="22"/>
        </w:rPr>
      </w:pPr>
      <w:r>
        <w:rPr>
          <w:rFonts w:ascii="Arial" w:cs="Arial" w:eastAsia="Arial" w:hAnsi="Arial"/>
          <w:b/>
          <w:sz w:val="22"/>
          <w:szCs w:val="22"/>
        </w:rPr>
      </w:r>
    </w:p>
    <w:p>
      <w:pPr>
        <w:pStyle w:val="Normal"/>
        <w:ind w:hanging="2"/>
        <w:jc w:val="both"/>
        <w:rPr>
          <w:rFonts w:ascii="Arial" w:cs="Arial" w:eastAsia="Arial" w:hAnsi="Arial"/>
          <w:b/>
          <w:b/>
          <w:sz w:val="22"/>
          <w:szCs w:val="22"/>
        </w:rPr>
      </w:pPr>
      <w:r>
        <w:rPr>
          <w:rFonts w:ascii="Arial" w:cs="Arial" w:eastAsia="Arial" w:hAnsi="Arial"/>
          <w:b/>
          <w:sz w:val="22"/>
          <w:szCs w:val="22"/>
        </w:rPr>
      </w:r>
    </w:p>
    <w:p>
      <w:pPr>
        <w:pStyle w:val="Normal"/>
        <w:ind w:hanging="2"/>
        <w:jc w:val="both"/>
        <w:rPr>
          <w:rFonts w:ascii="Arial" w:cs="Arial" w:eastAsia="Arial" w:hAnsi="Arial"/>
          <w:b/>
          <w:b/>
          <w:sz w:val="22"/>
          <w:szCs w:val="22"/>
        </w:rPr>
      </w:pPr>
      <w:r>
        <w:rPr>
          <w:rFonts w:ascii="Arial" w:cs="Arial" w:eastAsia="Arial" w:hAnsi="Arial"/>
          <w:b/>
          <w:sz w:val="22"/>
          <w:szCs w:val="22"/>
        </w:rPr>
        <w:t>3- Savoir de Base</w:t>
      </w:r>
    </w:p>
    <w:p>
      <w:pPr>
        <w:pStyle w:val="Normal"/>
        <w:ind w:hanging="2"/>
        <w:jc w:val="both"/>
        <w:rPr>
          <w:rFonts w:ascii="Arial" w:cs="Arial" w:eastAsia="Arial" w:hAnsi="Arial"/>
          <w:sz w:val="22"/>
          <w:szCs w:val="22"/>
        </w:rPr>
      </w:pPr>
      <w:r>
        <w:rPr>
          <w:rFonts w:ascii="Arial" w:cs="Arial" w:eastAsia="Arial" w:hAnsi="Arial"/>
          <w:sz w:val="22"/>
          <w:szCs w:val="22"/>
        </w:rPr>
      </w:r>
    </w:p>
    <w:p>
      <w:pPr>
        <w:pStyle w:val="Normal"/>
        <w:ind w:hanging="2"/>
        <w:jc w:val="both"/>
        <w:rPr>
          <w:rFonts w:ascii="Arial" w:cs="Arial" w:eastAsia="Arial" w:hAnsi="Arial"/>
          <w:sz w:val="22"/>
          <w:szCs w:val="22"/>
        </w:rPr>
      </w:pPr>
      <w:r>
        <w:rPr>
          <w:rFonts w:ascii="Arial" w:cs="Arial" w:eastAsia="Arial" w:hAnsi="Arial"/>
          <w:sz w:val="22"/>
          <w:szCs w:val="22"/>
        </w:rPr>
        <w:t>Lancement d’une campagne de formation sur les savoirs de base (lire/écrire) pour les salariés de l'équipe du centre de Tri afin de développer leurs compétences ou les renforcer, et accroître leur employabilité.</w:t>
      </w:r>
    </w:p>
    <w:p>
      <w:pPr>
        <w:pStyle w:val="Normal"/>
        <w:ind w:hanging="2"/>
        <w:jc w:val="both"/>
        <w:rPr>
          <w:rFonts w:ascii="Arial" w:cs="Arial" w:eastAsia="Arial" w:hAnsi="Arial"/>
          <w:b/>
          <w:b/>
          <w:sz w:val="22"/>
          <w:szCs w:val="22"/>
        </w:rPr>
      </w:pPr>
      <w:r>
        <w:rPr>
          <w:rFonts w:ascii="Arial" w:cs="Arial" w:eastAsia="Arial" w:hAnsi="Arial"/>
          <w:sz w:val="22"/>
          <w:szCs w:val="22"/>
        </w:rPr>
        <w:t>Il sera réalisé au préalable une étude sur la durée, le coût, et l’organisation. Cette campagne s’inscrira sur la base du volontariat des salariés. La direction travaillera avec les partenaires sociaux pour une mise en place sur le dernier trimestre 2023.</w:t>
      </w:r>
    </w:p>
    <w:p>
      <w:pPr>
        <w:pStyle w:val="Normal"/>
        <w:pageBreakBefore w:val="false"/>
        <w:ind w:hanging="2"/>
        <w:jc w:val="both"/>
        <w:rPr>
          <w:rFonts w:ascii="Arial" w:cs="Arial" w:eastAsia="Arial" w:hAnsi="Arial"/>
          <w:sz w:val="20"/>
          <w:szCs w:val="20"/>
        </w:rPr>
      </w:pPr>
      <w:r>
        <w:rPr>
          <w:rFonts w:ascii="Arial" w:cs="Arial" w:eastAsia="Arial" w:hAnsi="Arial"/>
          <w:sz w:val="20"/>
          <w:szCs w:val="20"/>
        </w:rPr>
      </w:r>
    </w:p>
    <w:p>
      <w:pPr>
        <w:pStyle w:val="Normal"/>
        <w:pageBreakBefore w:val="false"/>
        <w:ind w:hanging="2"/>
        <w:jc w:val="both"/>
        <w:rPr>
          <w:rFonts w:ascii="Arial" w:cs="Arial" w:eastAsia="Arial" w:hAnsi="Arial"/>
          <w:sz w:val="20"/>
          <w:szCs w:val="20"/>
        </w:rPr>
      </w:pPr>
      <w:r>
        <w:rPr>
          <w:rFonts w:ascii="Arial" w:cs="Arial" w:eastAsia="Arial" w:hAnsi="Arial"/>
          <w:sz w:val="20"/>
          <w:szCs w:val="20"/>
        </w:rPr>
      </w:r>
    </w:p>
    <w:p>
      <w:pPr>
        <w:pStyle w:val="Normal"/>
        <w:pageBreakBefore w:val="false"/>
        <w:pBdr/>
        <w:spacing w:line="240" w:lineRule="auto"/>
        <w:ind w:hanging="2" w:left="0"/>
        <w:jc w:val="both"/>
        <w:rPr>
          <w:rFonts w:ascii="Arial" w:cs="Arial" w:eastAsia="Arial" w:hAnsi="Arial"/>
          <w:b/>
          <w:b/>
          <w:color w:val="000000"/>
          <w:sz w:val="22"/>
          <w:szCs w:val="22"/>
          <w:u w:val="single"/>
        </w:rPr>
      </w:pPr>
      <w:r>
        <w:rPr>
          <w:rFonts w:ascii="Arial" w:cs="Arial" w:eastAsia="Arial" w:hAnsi="Arial"/>
          <w:b/>
          <w:color w:val="000000"/>
          <w:sz w:val="22"/>
          <w:szCs w:val="22"/>
          <w:u w:val="single"/>
        </w:rPr>
        <w:t xml:space="preserve">Formalités de dépôt </w:t>
      </w:r>
    </w:p>
    <w:p>
      <w:pPr>
        <w:pStyle w:val="Normal"/>
        <w:pageBreakBefore w:val="false"/>
        <w:pBdr/>
        <w:spacing w:line="240" w:lineRule="auto"/>
        <w:ind w:hanging="2" w:left="0"/>
        <w:jc w:val="both"/>
        <w:rPr>
          <w:rFonts w:ascii="Arial" w:cs="Arial" w:eastAsia="Arial" w:hAnsi="Arial"/>
          <w:b/>
          <w:b/>
          <w:sz w:val="22"/>
          <w:szCs w:val="22"/>
          <w:u w:val="single"/>
        </w:rPr>
      </w:pPr>
      <w:r>
        <w:rPr>
          <w:rFonts w:ascii="Arial" w:cs="Arial" w:eastAsia="Arial" w:hAnsi="Arial"/>
          <w:b/>
          <w:sz w:val="22"/>
          <w:szCs w:val="22"/>
          <w:u w:val="single"/>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Conformément aux dispositions de l’article D. 2231-4 du Code du travail, l’Accord, ainsi que les pièces accompagnant le dépôt prévues aux articles D.2231-6 et D.2231-7 du code du travail, seront déposés, à la diligence de l'Entreprise, sur la plateforme de téléprocédure du Ministère du Travail prévue à cet effet</w:t>
      </w:r>
    </w:p>
    <w:p>
      <w:pPr>
        <w:pStyle w:val="Normal"/>
        <w:pageBreakBefore w:val="false"/>
        <w:ind w:hanging="2" w:left="0"/>
        <w:jc w:val="both"/>
        <w:rPr/>
      </w:pPr>
      <w:r>
        <w:rPr>
          <w:rFonts w:ascii="Arial" w:cs="Arial" w:eastAsia="Arial" w:hAnsi="Arial"/>
          <w:sz w:val="22"/>
          <w:szCs w:val="22"/>
        </w:rPr>
        <w:t>(</w:t>
      </w:r>
      <w:hyperlink r:id="rId2">
        <w:r>
          <w:rPr>
            <w:rStyle w:val="LienInternet"/>
            <w:rFonts w:ascii="Arial" w:cs="Arial" w:eastAsia="Arial" w:hAnsi="Arial"/>
            <w:sz w:val="22"/>
            <w:szCs w:val="22"/>
          </w:rPr>
          <w:t>www.teleaccords.travail-emploi.gouv.fr/PortailTeleprocedures/</w:t>
        </w:r>
      </w:hyperlink>
      <w:r>
        <w:rPr>
          <w:rFonts w:ascii="Arial" w:cs="Arial" w:eastAsia="Arial" w:hAnsi="Arial"/>
          <w:sz w:val="22"/>
          <w:szCs w:val="22"/>
        </w:rPr>
        <w:t>).</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Un exemplaire sera également remis au secrétariat-greffe du conseil de prud’hommes du lieu de sa conclusion.</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b/>
          <w:sz w:val="22"/>
          <w:szCs w:val="22"/>
          <w:u w:val="single"/>
        </w:rPr>
        <w:t>Durée de l’accord</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t>Ce procès-verbal d’accord est conclu pour les NAO de l’année 2023.</w:t>
      </w:r>
    </w:p>
    <w:p>
      <w:pPr>
        <w:pStyle w:val="Normal"/>
        <w:pageBreakBefore w:val="false"/>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pBdr/>
        <w:spacing w:line="240" w:lineRule="auto"/>
        <w:ind w:hanging="2" w:left="0"/>
        <w:jc w:val="both"/>
        <w:rPr>
          <w:rFonts w:ascii="Arial" w:cs="Arial" w:eastAsia="Arial" w:hAnsi="Arial"/>
          <w:color w:val="000000"/>
          <w:sz w:val="22"/>
          <w:szCs w:val="22"/>
        </w:rPr>
      </w:pPr>
      <w:r>
        <w:rPr>
          <w:rFonts w:ascii="Arial" w:cs="Arial" w:eastAsia="Arial" w:hAnsi="Arial"/>
          <w:color w:val="000000"/>
          <w:sz w:val="22"/>
          <w:szCs w:val="22"/>
        </w:rPr>
        <w:t xml:space="preserve">Fait à </w:t>
      </w:r>
      <w:r>
        <w:rPr>
          <w:rFonts w:ascii="Arial" w:cs="Arial" w:eastAsia="Arial" w:hAnsi="Arial"/>
          <w:sz w:val="22"/>
          <w:szCs w:val="22"/>
        </w:rPr>
        <w:t>Saran</w:t>
      </w:r>
      <w:r>
        <w:rPr>
          <w:rFonts w:ascii="Arial" w:cs="Arial" w:eastAsia="Arial" w:hAnsi="Arial"/>
          <w:color w:val="000000"/>
          <w:sz w:val="22"/>
          <w:szCs w:val="22"/>
        </w:rPr>
        <w:t>, le</w:t>
      </w:r>
      <w:r>
        <w:rPr>
          <w:rFonts w:ascii="Arial" w:cs="Arial" w:eastAsia="Arial" w:hAnsi="Arial"/>
          <w:sz w:val="22"/>
          <w:szCs w:val="22"/>
        </w:rPr>
        <w:t xml:space="preserve"> 24 mars</w:t>
      </w:r>
      <w:r>
        <w:rPr>
          <w:rFonts w:ascii="Arial" w:cs="Arial" w:eastAsia="Arial" w:hAnsi="Arial"/>
          <w:color w:val="000000"/>
          <w:sz w:val="22"/>
          <w:szCs w:val="22"/>
        </w:rPr>
        <w:t xml:space="preserve"> 20</w:t>
      </w:r>
      <w:r>
        <w:rPr>
          <w:rFonts w:ascii="Arial" w:cs="Arial" w:eastAsia="Arial" w:hAnsi="Arial"/>
          <w:sz w:val="22"/>
          <w:szCs w:val="22"/>
        </w:rPr>
        <w:t>23</w:t>
      </w:r>
      <w:r>
        <w:rPr>
          <w:rFonts w:ascii="Arial" w:cs="Arial" w:eastAsia="Arial" w:hAnsi="Arial"/>
          <w:color w:val="000000"/>
          <w:sz w:val="22"/>
          <w:szCs w:val="22"/>
        </w:rPr>
        <w:t xml:space="preserve">, en </w:t>
      </w:r>
      <w:r>
        <w:rPr>
          <w:rFonts w:ascii="Arial" w:cs="Arial" w:eastAsia="Arial" w:hAnsi="Arial"/>
          <w:sz w:val="22"/>
          <w:szCs w:val="22"/>
        </w:rPr>
        <w:t>5</w:t>
      </w:r>
      <w:r>
        <w:rPr>
          <w:rFonts w:ascii="Arial" w:cs="Arial" w:eastAsia="Arial" w:hAnsi="Arial"/>
          <w:color w:val="000000"/>
          <w:sz w:val="22"/>
          <w:szCs w:val="22"/>
        </w:rPr>
        <w:t xml:space="preserve"> exemplaires originaux.</w:t>
      </w:r>
    </w:p>
    <w:p>
      <w:pPr>
        <w:pStyle w:val="Normal"/>
        <w:pageBreakBefore w:val="false"/>
        <w:pBdr/>
        <w:spacing w:line="240" w:lineRule="auto"/>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t xml:space="preserve">Pour la Direction, Monsieur </w:t>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4320" w:val="left"/>
          <w:tab w:leader="none" w:pos="5400" w:val="left"/>
        </w:tabs>
        <w:ind w:hanging="2" w:left="0"/>
        <w:jc w:val="both"/>
        <w:rPr>
          <w:rFonts w:ascii="Arial" w:cs="Arial" w:eastAsia="Arial" w:hAnsi="Arial"/>
          <w:sz w:val="22"/>
          <w:szCs w:val="22"/>
        </w:rPr>
      </w:pPr>
      <w:r>
        <w:rPr>
          <w:rFonts w:ascii="Arial" w:cs="Arial" w:eastAsia="Arial" w:hAnsi="Arial"/>
          <w:sz w:val="22"/>
          <w:szCs w:val="22"/>
        </w:rPr>
      </w:r>
    </w:p>
    <w:p>
      <w:pPr>
        <w:pStyle w:val="Normal"/>
        <w:pageBreakBefore w:val="false"/>
        <w:tabs>
          <w:tab w:leader="none" w:pos="5400" w:val="left"/>
        </w:tabs>
        <w:ind w:hanging="2" w:left="0"/>
        <w:jc w:val="both"/>
        <w:rPr>
          <w:rFonts w:ascii="Arial" w:cs="Arial" w:eastAsia="Arial" w:hAnsi="Arial"/>
          <w:sz w:val="22"/>
          <w:szCs w:val="22"/>
        </w:rPr>
      </w:pPr>
      <w:r>
        <w:rPr>
          <w:rFonts w:ascii="Arial" w:cs="Arial" w:eastAsia="Arial" w:hAnsi="Arial"/>
          <w:sz w:val="22"/>
          <w:szCs w:val="22"/>
        </w:rPr>
        <w:t>Pour le syndicat CGT, Monsieur</w:t>
      </w:r>
    </w:p>
    <w:p>
      <w:pPr>
        <w:pStyle w:val="Normal"/>
        <w:pageBreakBefore w:val="false"/>
        <w:pBdr/>
        <w:spacing w:line="240" w:lineRule="auto"/>
        <w:ind w:hanging="2" w:left="0"/>
        <w:jc w:val="both"/>
        <w:rPr>
          <w:color w:val="000000"/>
        </w:rPr>
      </w:pPr>
      <w:r>
        <w:rPr>
          <w:color w:val="000000"/>
        </w:rPr>
      </w:r>
    </w:p>
    <w:sectPr>
      <w:headerReference r:id="rId3" w:type="default"/>
      <w:headerReference r:id="rId4" w:type="first"/>
      <w:footerReference r:id="rId5" w:type="default"/>
      <w:footerReference r:id="rId6" w:type="first"/>
      <w:type w:val="nextPage"/>
      <w:pgSz w:h="16838" w:w="11906"/>
      <w:pgMar w:bottom="1418" w:footer="709" w:gutter="0" w:header="709" w:left="1418" w:right="1418" w:top="1559"/>
      <w:pgNumType w:fmt="decimal" w:start="1"/>
      <w:formProt w:val="false"/>
      <w:titlePg/>
      <w:textDirection w:val="lrTb"/>
      <w:docGrid w:charSpace="0"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Bookman Old Style">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FS Rufus">
    <w:charset w:val="00"/>
    <w:family w:val="roman"/>
    <w:pitch w:val="variable"/>
  </w:font>
  <w:font w:name="Candar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jc w:val="right"/>
      <w:rPr/>
    </w:pPr>
    <w:r>
      <w:rPr/>
      <w:fldChar w:fldCharType="begin"/>
    </w:r>
    <w:r>
      <w:instrText> PAGE </w:instrText>
    </w:r>
    <w:r>
      <w:fldChar w:fldCharType="separate"/>
    </w:r>
    <w:r>
      <w:t>5</w:t>
    </w:r>
    <w:r>
      <w:fldChar w:fldCharType="end"/>
    </w:r>
    <w:r>
      <w:rPr/>
      <w:t>/5</w:t>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tabs>
        <w:tab w:leader="none" w:pos="2160" w:val="left"/>
        <w:tab w:leader="none" w:pos="2340" w:val="left"/>
      </w:tabs>
      <w:ind w:firstLine="180" w:left="-360"/>
      <w:rPr>
        <w:sz w:val="14"/>
        <w:szCs w:val="14"/>
      </w:rPr>
    </w:pPr>
    <w:r>
      <w:rPr/>
      <w:t xml:space="preserve"> </w:t>
    </w:r>
    <w:r>
      <w:rPr/>
      <w:drawing>
        <wp:inline distB="0" distL="0" distR="0" distT="0">
          <wp:extent cx="1012190" cy="535305"/>
          <wp:effectExtent b="0" l="0" r="0" t="0"/>
          <wp:docPr desc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image2.jpg"/>
                  <pic:cNvPicPr>
                    <a:picLocks noChangeArrowheads="1" noChangeAspect="1"/>
                  </pic:cNvPicPr>
                </pic:nvPicPr>
                <pic:blipFill>
                  <a:blip r:embed="rId1"/>
                  <a:stretch>
                    <a:fillRect/>
                  </a:stretch>
                </pic:blipFill>
                <pic:spPr bwMode="auto">
                  <a:xfrm>
                    <a:off x="0" y="0"/>
                    <a:ext cx="1012190" cy="535305"/>
                  </a:xfrm>
                  <a:prstGeom prst="rect">
                    <a:avLst/>
                  </a:prstGeom>
                </pic:spPr>
              </pic:pic>
            </a:graphicData>
          </a:graphic>
        </wp:inline>
      </w:drawing>
    </w:r>
    <w:r>
      <w:rPr/>
      <w:drawing>
        <wp:inline distB="0" distL="0" distR="0" distT="0">
          <wp:extent cx="1014730" cy="504825"/>
          <wp:effectExtent b="0" l="0" r="0" t="0"/>
          <wp:docPr descr="" id="3"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image1.jpg"/>
                  <pic:cNvPicPr>
                    <a:picLocks noChangeArrowheads="1" noChangeAspect="1"/>
                  </pic:cNvPicPr>
                </pic:nvPicPr>
                <pic:blipFill>
                  <a:blip r:embed="rId2"/>
                  <a:stretch>
                    <a:fillRect/>
                  </a:stretch>
                </pic:blipFill>
                <pic:spPr bwMode="auto">
                  <a:xfrm>
                    <a:off x="0" y="0"/>
                    <a:ext cx="1014730" cy="504825"/>
                  </a:xfrm>
                  <a:prstGeom prst="rect">
                    <a:avLst/>
                  </a:prstGeom>
                </pic:spPr>
              </pic:pic>
            </a:graphicData>
          </a:graphic>
        </wp:inline>
      </w:drawing>
    </w:r>
  </w:p>
  <w:p>
    <w:pPr>
      <w:pStyle w:val="Normal"/>
      <w:tabs>
        <w:tab w:leader="none" w:pos="2160" w:val="left"/>
        <w:tab w:leader="none" w:pos="2340" w:val="left"/>
      </w:tabs>
      <w:ind w:hanging="0"/>
      <w:rPr>
        <w:rFonts w:ascii="FS Rufus" w:cs="FS Rufus" w:eastAsia="FS Rufus" w:hAnsi="FS Rufus"/>
        <w:b/>
        <w:b/>
        <w:color w:val="505050"/>
        <w:sz w:val="14"/>
        <w:szCs w:val="14"/>
      </w:rPr>
    </w:pPr>
    <w:r>
      <w:rPr>
        <w:rFonts w:ascii="FS Rufus" w:cs="FS Rufus" w:eastAsia="FS Rufus" w:hAnsi="FS Rufus"/>
        <w:b/>
        <w:color w:val="505050"/>
        <w:sz w:val="14"/>
        <w:szCs w:val="14"/>
      </w:rPr>
      <w:t>TRISALID</w:t>
    </w:r>
  </w:p>
  <w:p>
    <w:pPr>
      <w:pStyle w:val="Normal"/>
      <w:tabs>
        <w:tab w:leader="none" w:pos="2160" w:val="left"/>
        <w:tab w:leader="none" w:pos="2340" w:val="left"/>
      </w:tabs>
      <w:ind w:hanging="0"/>
      <w:rPr>
        <w:rFonts w:ascii="FS Rufus" w:cs="FS Rufus" w:eastAsia="FS Rufus" w:hAnsi="FS Rufus"/>
        <w:color w:val="808080"/>
        <w:sz w:val="22"/>
        <w:szCs w:val="22"/>
      </w:rPr>
    </w:pPr>
    <w:r>
      <w:rPr>
        <w:rFonts w:ascii="FS Rufus" w:cs="FS Rufus" w:eastAsia="FS Rufus" w:hAnsi="FS Rufus"/>
        <w:b/>
        <w:color w:val="505050"/>
        <w:sz w:val="14"/>
        <w:szCs w:val="14"/>
      </w:rPr>
      <w:tab/>
      <w:tab/>
      <w:tab/>
      <w:tab/>
      <w:tab/>
      <w:tab/>
    </w:r>
    <w:r>
      <w:rPr>
        <w:rFonts w:ascii="FS Rufus" w:cs="FS Rufus" w:eastAsia="FS Rufus" w:hAnsi="FS Rufus"/>
        <w:color w:val="333333"/>
        <w:sz w:val="14"/>
        <w:szCs w:val="14"/>
      </w:rPr>
      <w:t>SAS au capital de 4 600 000 euros</w:t>
      <w:tab/>
      <w:tab/>
    </w:r>
  </w:p>
  <w:p>
    <w:pPr>
      <w:pStyle w:val="Normal"/>
      <w:tabs>
        <w:tab w:leader="none" w:pos="2160" w:val="left"/>
        <w:tab w:leader="none" w:pos="2340" w:val="left"/>
      </w:tabs>
      <w:ind w:hanging="0"/>
      <w:rPr>
        <w:rFonts w:ascii="FS Rufus" w:cs="FS Rufus" w:eastAsia="FS Rufus" w:hAnsi="FS Rufus"/>
        <w:color w:val="333333"/>
        <w:sz w:val="14"/>
        <w:szCs w:val="14"/>
      </w:rPr>
    </w:pPr>
    <w:r>
      <w:rPr>
        <w:rFonts w:ascii="FS Rufus" w:cs="FS Rufus" w:eastAsia="FS Rufus" w:hAnsi="FS Rufus"/>
        <w:color w:val="333333"/>
        <w:sz w:val="14"/>
        <w:szCs w:val="14"/>
      </w:rPr>
      <w:t xml:space="preserve">651 rue de la Motte Pétrée – 45770 SARAN </w:t>
      <w:tab/>
      <w:tab/>
      <w:tab/>
      <w:tab/>
      <w:t>852 505 296 00016 RCS Orléans APE 3821 Z</w:t>
    </w:r>
  </w:p>
  <w:p>
    <w:pPr>
      <w:pStyle w:val="Normal"/>
      <w:tabs>
        <w:tab w:leader="none" w:pos="2160" w:val="left"/>
        <w:tab w:leader="none" w:pos="2340" w:val="left"/>
      </w:tabs>
      <w:ind w:hanging="0"/>
      <w:rPr>
        <w:rFonts w:ascii="FS Rufus" w:cs="FS Rufus" w:eastAsia="FS Rufus" w:hAnsi="FS Rufus"/>
        <w:color w:val="333333"/>
        <w:sz w:val="14"/>
        <w:szCs w:val="14"/>
      </w:rPr>
    </w:pPr>
    <w:r>
      <w:rPr>
        <w:rFonts w:ascii="FS Rufus" w:cs="FS Rufus" w:eastAsia="FS Rufus" w:hAnsi="FS Rufus"/>
        <w:color w:val="333333"/>
        <w:sz w:val="14"/>
        <w:szCs w:val="14"/>
      </w:rPr>
      <w:t>tél +33 (0) 2 38 79 03 10 – fax + 33 (0) 2 38 79 03 20</w:t>
      <w:tab/>
      <w:tab/>
      <w:tab/>
      <w:t>N° Intracommunautaire FR 29  852 505 296</w:t>
    </w:r>
  </w:p>
  <w:p>
    <w:pPr>
      <w:pStyle w:val="Normal"/>
      <w:tabs>
        <w:tab w:leader="none" w:pos="2160" w:val="left"/>
        <w:tab w:leader="none" w:pos="2340" w:val="left"/>
      </w:tabs>
      <w:ind w:hanging="0"/>
      <w:rPr>
        <w:rFonts w:ascii="FS Rufus" w:cs="FS Rufus" w:eastAsia="FS Rufus" w:hAnsi="FS Rufus"/>
        <w:color w:val="333333"/>
        <w:sz w:val="14"/>
        <w:szCs w:val="14"/>
      </w:rPr>
    </w:pPr>
    <w:r>
      <w:rPr>
        <w:rFonts w:ascii="FS Rufus" w:cs="FS Rufus" w:eastAsia="FS Rufus" w:hAnsi="FS Rufus"/>
        <w:color w:val="333333"/>
        <w:sz w:val="14"/>
        <w:szCs w:val="14"/>
      </w:rPr>
      <w:tab/>
    </w:r>
  </w:p>
  <w:p>
    <w:pPr>
      <w:pStyle w:val="Normal"/>
      <w:tabs>
        <w:tab w:leader="none" w:pos="2160" w:val="left"/>
        <w:tab w:leader="none" w:pos="2340" w:val="left"/>
      </w:tabs>
      <w:ind w:hanging="0"/>
      <w:rPr>
        <w:rFonts w:ascii="FS Rufus" w:cs="FS Rufus" w:eastAsia="FS Rufus" w:hAnsi="FS Rufus"/>
        <w:color w:val="333333"/>
        <w:sz w:val="14"/>
        <w:szCs w:val="14"/>
      </w:rPr>
    </w:pPr>
    <w:r>
      <w:rPr>
        <w:rFonts w:ascii="FS Rufus" w:cs="FS Rufus" w:eastAsia="FS Rufus" w:hAnsi="FS Rufus"/>
        <w:color w:val="333333"/>
        <w:sz w:val="14"/>
        <w:szCs w:val="14"/>
      </w:rPr>
      <w:t>www.veolia.fr</w:t>
    </w:r>
  </w:p>
  <w:p>
    <w:pPr>
      <w:pStyle w:val="Normal"/>
      <w:ind w:hanging="0"/>
      <w:rPr/>
    </w:pPr>
    <w:r>
      <w:rPr/>
    </w:r>
  </w:p>
  <w:p>
    <w:pPr>
      <w:pStyle w:val="Normal"/>
      <w:tabs>
        <w:tab w:leader="none" w:pos="4500" w:val="left"/>
      </w:tabs>
      <w:ind w:hanging="0" w:left="540" w:right="-180"/>
      <w:rPr>
        <w:rFonts w:ascii="Candara" w:cs="Candara" w:eastAsia="Candara" w:hAnsi="Candara"/>
        <w:color w:val="4D4D4D"/>
        <w:sz w:val="12"/>
        <w:szCs w:val="12"/>
      </w:rPr>
    </w:pPr>
    <w:r>
      <w:rPr>
        <w:rFonts w:ascii="Candara" w:cs="Candara" w:eastAsia="Candara" w:hAnsi="Candara"/>
        <w:color w:val="4D4D4D"/>
        <w:sz w:val="12"/>
        <w:szCs w:val="12"/>
      </w:rPr>
    </w:r>
  </w:p>
  <w:p>
    <w:pPr>
      <w:pStyle w:val="Normal"/>
      <w:tabs>
        <w:tab w:leader="none" w:pos="4500" w:val="left"/>
      </w:tabs>
      <w:ind w:hanging="0" w:left="540" w:right="-180"/>
      <w:rPr>
        <w:rFonts w:ascii="Arial" w:cs="Arial" w:eastAsia="Arial" w:hAnsi="Arial"/>
        <w:sz w:val="22"/>
        <w:szCs w:val="22"/>
      </w:rPr>
    </w:pPr>
    <w:r>
      <w:rPr>
        <w:rFonts w:ascii="Candara" w:cs="Candara" w:eastAsia="Candara" w:hAnsi="Candara"/>
        <w:color w:val="4D4D4D"/>
        <w:sz w:val="12"/>
        <w:szCs w:val="12"/>
      </w:rPr>
      <w:tab/>
      <w:tab/>
      <w:tab/>
      <w:tab/>
      <w:tab/>
      <w:tab/>
      <w:tab/>
    </w:r>
    <w:r>
      <w:rPr>
        <w:rFonts w:ascii="Arial" w:cs="Arial" w:eastAsia="Arial" w:hAnsi="Arial"/>
        <w:sz w:val="22"/>
        <w:szCs w:val="22"/>
      </w:rPr>
      <w:t>1/5</w:t>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rPr/>
    </w:pPr>
    <w:r>
      <w:rPr/>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tabs>
        <w:tab w:leader="none" w:pos="5245" w:val="left"/>
      </w:tabs>
      <w:ind w:hanging="0"/>
      <w:rPr/>
    </w:pPr>
    <w:r>
      <w:rPr/>
      <w:drawing>
        <wp:anchor allowOverlap="1" behindDoc="1" distB="0" distL="0" distR="0" distT="0" layoutInCell="1" locked="0" relativeHeight="2" simplePos="0">
          <wp:simplePos x="0" y="0"/>
          <wp:positionH relativeFrom="column">
            <wp:posOffset>1133475</wp:posOffset>
          </wp:positionH>
          <wp:positionV relativeFrom="paragraph">
            <wp:posOffset>-412750</wp:posOffset>
          </wp:positionV>
          <wp:extent cx="3057525" cy="952500"/>
          <wp:effectExtent b="0" l="0" r="0" t="0"/>
          <wp:wrapNone/>
          <wp:docPr descr="" id="1"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image3.jpg"/>
                  <pic:cNvPicPr>
                    <a:picLocks noChangeArrowheads="1" noChangeAspect="1"/>
                  </pic:cNvPicPr>
                </pic:nvPicPr>
                <pic:blipFill>
                  <a:blip r:embed="rId1"/>
                  <a:stretch>
                    <a:fillRect/>
                  </a:stretch>
                </pic:blipFill>
                <pic:spPr bwMode="auto">
                  <a:xfrm>
                    <a:off x="0" y="0"/>
                    <a:ext cx="3057525" cy="952500"/>
                  </a:xfrm>
                  <a:prstGeom prst="rect">
                    <a:avLst/>
                  </a:prstGeom>
                </pic:spPr>
              </pic:pic>
            </a:graphicData>
          </a:graphic>
        </wp:anchor>
      </w:drawing>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sz w:val="22"/>
        <w:u w:val="none"/>
      </w:rPr>
    </w:lvl>
    <w:lvl w:ilvl="1">
      <w:start w:val="1"/>
      <w:numFmt w:val="bullet"/>
      <w:lvlText w:val=""/>
      <w:lvlJc w:val="left"/>
      <w:pPr>
        <w:ind w:hanging="360" w:left="1440"/>
      </w:pPr>
      <w:rPr>
        <w:rFonts w:ascii="Wingdings 2" w:cs="Wingdings 2" w:hAnsi="Wingdings 2" w:hint="default"/>
        <w:u w:val="none"/>
      </w:rPr>
    </w:lvl>
    <w:lvl w:ilvl="2">
      <w:start w:val="1"/>
      <w:numFmt w:val="bullet"/>
      <w:lvlText w:val="■"/>
      <w:lvlJc w:val="left"/>
      <w:pPr>
        <w:ind w:hanging="360" w:left="2160"/>
      </w:pPr>
      <w:rPr>
        <w:rFonts w:ascii="OpenSymbol" w:cs="OpenSymbol" w:hAnsi="OpenSymbol" w:hint="default"/>
        <w:u w:val="none"/>
      </w:rPr>
    </w:lvl>
    <w:lvl w:ilvl="3">
      <w:start w:val="1"/>
      <w:numFmt w:val="bullet"/>
      <w:lvlText w:val=""/>
      <w:lvlJc w:val="left"/>
      <w:pPr>
        <w:ind w:hanging="360" w:left="2880"/>
      </w:pPr>
      <w:rPr>
        <w:rFonts w:ascii="Wingdings" w:cs="Wingdings" w:hAnsi="Wingdings" w:hint="default"/>
        <w:u w:val="none"/>
      </w:rPr>
    </w:lvl>
    <w:lvl w:ilvl="4">
      <w:start w:val="1"/>
      <w:numFmt w:val="bullet"/>
      <w:lvlText w:val=""/>
      <w:lvlJc w:val="left"/>
      <w:pPr>
        <w:ind w:hanging="360" w:left="3600"/>
      </w:pPr>
      <w:rPr>
        <w:rFonts w:ascii="Wingdings 2" w:cs="Wingdings 2" w:hAnsi="Wingdings 2" w:hint="default"/>
        <w:u w:val="none"/>
      </w:rPr>
    </w:lvl>
    <w:lvl w:ilvl="5">
      <w:start w:val="1"/>
      <w:numFmt w:val="bullet"/>
      <w:lvlText w:val="■"/>
      <w:lvlJc w:val="left"/>
      <w:pPr>
        <w:ind w:hanging="360" w:left="4320"/>
      </w:pPr>
      <w:rPr>
        <w:rFonts w:ascii="OpenSymbol" w:cs="OpenSymbol" w:hAnsi="OpenSymbol" w:hint="default"/>
        <w:u w:val="none"/>
      </w:rPr>
    </w:lvl>
    <w:lvl w:ilvl="6">
      <w:start w:val="1"/>
      <w:numFmt w:val="bullet"/>
      <w:lvlText w:val=""/>
      <w:lvlJc w:val="left"/>
      <w:pPr>
        <w:ind w:hanging="360" w:left="5040"/>
      </w:pPr>
      <w:rPr>
        <w:rFonts w:ascii="Wingdings" w:cs="Wingdings" w:hAnsi="Wingdings" w:hint="default"/>
        <w:u w:val="none"/>
      </w:rPr>
    </w:lvl>
    <w:lvl w:ilvl="7">
      <w:start w:val="1"/>
      <w:numFmt w:val="bullet"/>
      <w:lvlText w:val=""/>
      <w:lvlJc w:val="left"/>
      <w:pPr>
        <w:ind w:hanging="360" w:left="5760"/>
      </w:pPr>
      <w:rPr>
        <w:rFonts w:ascii="Wingdings 2" w:cs="Wingdings 2" w:hAnsi="Wingdings 2" w:hint="default"/>
        <w:u w:val="none"/>
      </w:rPr>
    </w:lvl>
    <w:lvl w:ilvl="8">
      <w:start w:val="1"/>
      <w:numFmt w:val="bullet"/>
      <w:lvlText w:val="■"/>
      <w:lvlJc w:val="left"/>
      <w:pPr>
        <w:ind w:hanging="360" w:left="6480"/>
      </w:pPr>
      <w:rPr>
        <w:rFonts w:ascii="OpenSymbol" w:cs="OpenSymbol" w:hAnsi="OpenSymbol" w:hint="default"/>
        <w:u w:val="none"/>
      </w:rPr>
    </w:lvl>
  </w:abstractNum>
  <w:abstractNum w:abstractNumId="2">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ucida Sans" w:eastAsia="SimSun" w:hAnsi="Calibri"/>
        <w:sz w:val="24"/>
        <w:szCs w:val="24"/>
        <w:lang w:bidi="hi-IN" w:eastAsia="zh-CN" w:val="fr-FR"/>
      </w:rPr>
    </w:rPrDefault>
    <w:pPrDefault>
      <w:pPr/>
    </w:pPrDefault>
  </w:docDefaults>
  <w:style w:styleId="Normal" w:type="paragraph">
    <w:name w:val="Normal"/>
    <w:qFormat/>
    <w:pPr>
      <w:widowControl w:val="false"/>
      <w:ind w:hanging="1"/>
    </w:pPr>
    <w:rPr>
      <w:rFonts w:ascii="Calibri" w:cs="Lucida Sans" w:eastAsia="SimSun" w:hAnsi="Calibri"/>
      <w:color w:val="auto"/>
      <w:kern w:val="0"/>
      <w:sz w:val="24"/>
      <w:szCs w:val="24"/>
      <w:lang w:bidi="hi-IN" w:eastAsia="zh-CN" w:val="fr-FR"/>
    </w:rPr>
  </w:style>
  <w:style w:styleId="Titre1" w:type="paragraph">
    <w:name w:val="Heading 1"/>
    <w:basedOn w:val="Normal1"/>
    <w:next w:val="Normal"/>
    <w:qFormat/>
    <w:pPr>
      <w:keepNext w:val="true"/>
      <w:pageBreakBefore w:val="false"/>
      <w:jc w:val="center"/>
    </w:pPr>
    <w:rPr>
      <w:rFonts w:ascii="Bookman Old Style" w:cs="Bookman Old Style" w:eastAsia="Bookman Old Style" w:hAnsi="Bookman Old Style"/>
      <w:b/>
      <w:sz w:val="20"/>
      <w:szCs w:val="20"/>
    </w:rPr>
  </w:style>
  <w:style w:styleId="Titre2" w:type="paragraph">
    <w:name w:val="Heading 2"/>
    <w:basedOn w:val="Normal1"/>
    <w:next w:val="Normal"/>
    <w:qFormat/>
    <w:pPr>
      <w:keepNext w:val="true"/>
      <w:keepLines/>
      <w:pageBreakBefore w:val="false"/>
      <w:spacing w:after="80" w:before="360" w:line="240" w:lineRule="auto"/>
    </w:pPr>
    <w:rPr>
      <w:b/>
      <w:sz w:val="36"/>
      <w:szCs w:val="36"/>
    </w:rPr>
  </w:style>
  <w:style w:styleId="Titre3" w:type="paragraph">
    <w:name w:val="Heading 3"/>
    <w:basedOn w:val="Normal1"/>
    <w:next w:val="Normal"/>
    <w:qFormat/>
    <w:pPr>
      <w:keepNext w:val="true"/>
      <w:keepLines/>
      <w:pageBreakBefore w:val="false"/>
      <w:spacing w:after="80" w:before="280" w:line="240" w:lineRule="auto"/>
    </w:pPr>
    <w:rPr>
      <w:b/>
      <w:sz w:val="28"/>
      <w:szCs w:val="28"/>
    </w:rPr>
  </w:style>
  <w:style w:styleId="Titre4" w:type="paragraph">
    <w:name w:val="Heading 4"/>
    <w:basedOn w:val="Normal1"/>
    <w:next w:val="Normal"/>
    <w:qFormat/>
    <w:pPr>
      <w:keepNext w:val="true"/>
      <w:keepLines/>
      <w:pageBreakBefore w:val="false"/>
      <w:spacing w:after="40" w:before="240" w:line="240" w:lineRule="auto"/>
    </w:pPr>
    <w:rPr>
      <w:b/>
    </w:rPr>
  </w:style>
  <w:style w:styleId="Titre5" w:type="paragraph">
    <w:name w:val="Heading 5"/>
    <w:basedOn w:val="Normal1"/>
    <w:next w:val="Normal"/>
    <w:qFormat/>
    <w:pPr>
      <w:keepNext w:val="true"/>
      <w:keepLines/>
      <w:pageBreakBefore w:val="false"/>
      <w:spacing w:after="40" w:before="220" w:line="240" w:lineRule="auto"/>
    </w:pPr>
    <w:rPr>
      <w:b/>
      <w:sz w:val="22"/>
      <w:szCs w:val="22"/>
    </w:rPr>
  </w:style>
  <w:style w:styleId="Titre6" w:type="paragraph">
    <w:name w:val="Heading 6"/>
    <w:basedOn w:val="Normal1"/>
    <w:next w:val="Normal"/>
    <w:qFormat/>
    <w:pPr>
      <w:keepNext w:val="true"/>
      <w:keepLines/>
      <w:pageBreakBefore w:val="false"/>
      <w:spacing w:after="40" w:before="200" w:line="240" w:lineRule="auto"/>
    </w:pPr>
    <w:rPr>
      <w:b/>
      <w:sz w:val="20"/>
      <w:szCs w:val="20"/>
    </w:rPr>
  </w:style>
  <w:style w:styleId="ListLabel1" w:type="character">
    <w:name w:val="ListLabel 1"/>
    <w:qFormat/>
    <w:rPr>
      <w:rFonts w:ascii="Arial" w:hAnsi="Arial"/>
      <w:sz w:val="22"/>
      <w:u w:val="none"/>
    </w:rPr>
  </w:style>
  <w:style w:styleId="ListLabel2" w:type="character">
    <w:name w:val="ListLabel 2"/>
    <w:qFormat/>
    <w:rPr>
      <w:u w:val="none"/>
    </w:rPr>
  </w:style>
  <w:style w:styleId="ListLabel3" w:type="character">
    <w:name w:val="ListLabel 3"/>
    <w:qFormat/>
    <w:rPr>
      <w:u w:val="none"/>
    </w:rPr>
  </w:style>
  <w:style w:styleId="ListLabel4" w:type="character">
    <w:name w:val="ListLabel 4"/>
    <w:qFormat/>
    <w:rPr>
      <w:u w:val="none"/>
    </w:rPr>
  </w:style>
  <w:style w:styleId="ListLabel5" w:type="character">
    <w:name w:val="ListLabel 5"/>
    <w:qFormat/>
    <w:rPr>
      <w:u w:val="none"/>
    </w:rPr>
  </w:style>
  <w:style w:styleId="ListLabel6" w:type="character">
    <w:name w:val="ListLabel 6"/>
    <w:qFormat/>
    <w:rPr>
      <w:u w:val="none"/>
    </w:rPr>
  </w:style>
  <w:style w:styleId="ListLabel7" w:type="character">
    <w:name w:val="ListLabel 7"/>
    <w:qFormat/>
    <w:rPr>
      <w:u w:val="none"/>
    </w:rPr>
  </w:style>
  <w:style w:styleId="ListLabel8" w:type="character">
    <w:name w:val="ListLabel 8"/>
    <w:qFormat/>
    <w:rPr>
      <w:u w:val="none"/>
    </w:rPr>
  </w:style>
  <w:style w:styleId="ListLabel9" w:type="character">
    <w:name w:val="ListLabel 9"/>
    <w:qFormat/>
    <w:rPr>
      <w:u w:val="none"/>
    </w:rPr>
  </w:style>
  <w:style w:styleId="LienInternet" w:type="character">
    <w:name w:val="Lien Internet"/>
    <w:rPr>
      <w:color w:val="000080"/>
      <w:u w:val="single"/>
      <w:lang w:bidi="zxx" w:eastAsia="zxx" w:val="zxx"/>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88"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default="1" w:styleId="Normal1" w:type="paragraph">
    <w:name w:val="LO-normal"/>
    <w:qFormat/>
    <w:pPr>
      <w:widowControl/>
      <w:bidi w:val="0"/>
      <w:jc w:val="left"/>
    </w:pPr>
    <w:rPr>
      <w:rFonts w:ascii="Calibri" w:cs="Lucida Sans" w:eastAsia="SimSun" w:hAnsi="Calibri"/>
      <w:color w:val="auto"/>
      <w:kern w:val="0"/>
      <w:sz w:val="24"/>
      <w:szCs w:val="24"/>
      <w:lang w:bidi="hi-IN" w:eastAsia="zh-CN" w:val="fr-FR"/>
    </w:rPr>
  </w:style>
  <w:style w:styleId="Titreprincipal" w:type="paragraph">
    <w:name w:val="Title"/>
    <w:basedOn w:val="Normal1"/>
    <w:next w:val="Normal"/>
    <w:qFormat/>
    <w:pPr>
      <w:pageBreakBefore w:val="false"/>
      <w:jc w:val="center"/>
    </w:pPr>
    <w:rPr>
      <w:b/>
      <w:u w:val="single"/>
    </w:rPr>
  </w:style>
  <w:style w:styleId="Soustitre" w:type="paragraph">
    <w:name w:val="Subtitle"/>
    <w:basedOn w:val="Normal1"/>
    <w:next w:val="Normal"/>
    <w:qFormat/>
    <w:pPr>
      <w:keepNext w:val="true"/>
      <w:keepLines/>
      <w:pageBreakBefore w:val="false"/>
      <w:spacing w:after="80" w:before="360" w:line="240" w:lineRule="auto"/>
    </w:pPr>
    <w:rPr>
      <w:rFonts w:ascii="Georgia" w:cs="Georgia" w:eastAsia="Georgia" w:hAnsi="Georgia"/>
      <w:i/>
      <w:color w:val="666666"/>
      <w:sz w:val="48"/>
      <w:szCs w:val="48"/>
    </w:rPr>
  </w:style>
  <w:style w:styleId="Entte" w:type="paragraph">
    <w:name w:val="Header"/>
    <w:basedOn w:val="Normal"/>
    <w:pPr/>
    <w:rPr/>
  </w:style>
  <w:style w:styleId="Pieddepage" w:type="paragraph">
    <w:name w:val="Footer"/>
    <w:basedOn w:val="Normal"/>
    <w:pPr/>
    <w:rPr/>
  </w:style>
  <w:style w:default="1" w:styleId="TableNormal" w:type="table">
    <w:name w:val="Table Normal"/>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theme/theme1.xml" Type="http://schemas.openxmlformats.org/officeDocument/2006/relationships/theme"/><Relationship Id="rId2" Target="http://www.teleaccords.travail-emploi.gouv.fr/PortailTeleprocedures/" TargetMode="External" Type="http://schemas.openxmlformats.org/officeDocument/2006/relationships/hyperlink"/><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numbering.xml" Type="http://schemas.openxmlformats.org/officeDocument/2006/relationships/numbering"/><Relationship Id="rId8" Target="fontTable.xml" Type="http://schemas.openxmlformats.org/officeDocument/2006/relationships/fontTable"/><Relationship Id="rId9" Target="settings.xml" Type="http://schemas.openxmlformats.org/officeDocument/2006/relationships/settings"/></Relationships>
</file>

<file path=word/_rels/footer2.xml.rels><?xml version="1.0" encoding="UTF-8" standalone="no"?><Relationships xmlns="http://schemas.openxmlformats.org/package/2006/relationships"><Relationship Id="rId1" Target="media/image2.jpeg" Type="http://schemas.openxmlformats.org/officeDocument/2006/relationships/image"/><Relationship Id="rId2" Target="media/image3.jpeg" Type="http://schemas.openxmlformats.org/officeDocument/2006/relationships/imag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LibreOffice/5.4.2.2$Windows_x86 LibreOffice_project/22b09f6418e8c2d508a9eaf86b2399209b0990f4</Application>
  <Pages>9</Pages>
  <Words>1583</Words>
  <Characters>8352</Characters>
  <CharactersWithSpaces>9900</CharactersWithSpaces>
  <Paragraphs>94</Paragraphs>
</Properties>
</file>

<file path=docProps/core.xml><?xml version="1.0" encoding="utf-8"?>
<cp:coreProperties xmlns:cp="http://schemas.openxmlformats.org/package/2006/metadata/core-properties" xmlns:dc="http://purl.org/dc/elements/1.1/" xmlns:dcterms="http://purl.org/dc/terms/" xmlns:xsi="http://www.w3.org/2001/XMLSchema-instance">
  <dc:language>fr-FR</dc:language>
  <cp:revision>0</cp:revision>
</cp:coreProperties>
</file>