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thumbnail.emf" Type="http://schemas.openxmlformats.org/package/2006/relationships/metadata/thumbnail"/><Relationship Id="rId3" Target="docProps/core.xml" Type="http://schemas.openxmlformats.org/package/2006/relationships/metadata/core-properties"/><Relationship Id="rId4" Target="docProps/app.xml" Type="http://schemas.openxmlformats.org/officeDocument/2006/relationships/extended-properties"/><Relationship Id="rId5"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47C144A" w14:textId="3C6EB3B0" w:rsidP="000A3D78" w:rsidR="000024C3" w:rsidRDefault="000024C3">
      <w:pPr>
        <w:pStyle w:val="Titre"/>
      </w:pPr>
      <w:r w:rsidRPr="002D0CA0">
        <w:t>A</w:t>
      </w:r>
      <w:r w:rsidR="002D0CA0" w:rsidRPr="002D0CA0">
        <w:t>CCORD CONCLU A L’ISSU</w:t>
      </w:r>
      <w:r w:rsidR="005E1C92">
        <w:t>E</w:t>
      </w:r>
      <w:r w:rsidR="002D0CA0" w:rsidRPr="002D0CA0">
        <w:t xml:space="preserve"> DE</w:t>
      </w:r>
      <w:r w:rsidR="000A3D78">
        <w:t xml:space="preserve">S </w:t>
      </w:r>
      <w:r w:rsidR="002D0CA0" w:rsidRPr="002D0CA0">
        <w:t>NEGOC</w:t>
      </w:r>
      <w:r w:rsidR="00572F61">
        <w:t>I</w:t>
      </w:r>
      <w:r w:rsidR="002D0CA0" w:rsidRPr="002D0CA0">
        <w:t>ATIONS OBLIGAT</w:t>
      </w:r>
      <w:r w:rsidR="009C1756">
        <w:t>OIRES</w:t>
      </w:r>
      <w:r w:rsidR="002D0CA0" w:rsidRPr="002D0CA0">
        <w:t xml:space="preserve"> AU TITRE DE L’ANNEE 2023</w:t>
      </w:r>
    </w:p>
    <w:p w14:paraId="4A114515" w14:textId="77777777" w:rsidP="00C95B98" w:rsidR="000A3D78" w:rsidRDefault="000A3D78">
      <w:pPr>
        <w:suppressAutoHyphens/>
        <w:rPr>
          <w:rFonts w:cs="Calibri"/>
          <w:b/>
          <w:bCs/>
          <w:szCs w:val="20"/>
        </w:rPr>
      </w:pPr>
    </w:p>
    <w:p w14:paraId="747E9616" w14:textId="39957812" w:rsidP="00C95B98" w:rsidR="00C95B98" w:rsidRDefault="00C95B98">
      <w:pPr>
        <w:suppressAutoHyphens/>
        <w:rPr>
          <w:rFonts w:cs="Calibri"/>
          <w:b/>
          <w:bCs/>
          <w:szCs w:val="20"/>
        </w:rPr>
      </w:pPr>
      <w:r>
        <w:rPr>
          <w:rFonts w:cs="Calibri"/>
          <w:b/>
          <w:bCs/>
          <w:szCs w:val="20"/>
        </w:rPr>
        <w:t>ENTRE :</w:t>
      </w:r>
    </w:p>
    <w:p w14:paraId="2DF459BF" w14:textId="363AC85A" w:rsidP="00C95B98" w:rsidR="00C95B98" w:rsidRDefault="00C95B98">
      <w:pPr>
        <w:rPr>
          <w:rFonts w:cs="Arial"/>
          <w:szCs w:val="20"/>
        </w:rPr>
      </w:pPr>
      <w:r>
        <w:rPr>
          <w:rFonts w:cs="Arial"/>
          <w:szCs w:val="20"/>
        </w:rPr>
        <w:t xml:space="preserve">La société </w:t>
      </w:r>
      <w:r>
        <w:rPr>
          <w:rFonts w:cs="Arial"/>
          <w:b/>
          <w:bCs/>
          <w:szCs w:val="20"/>
        </w:rPr>
        <w:t>CMC MATERIALS UPC</w:t>
      </w:r>
      <w:r>
        <w:rPr>
          <w:rFonts w:cs="Arial"/>
          <w:szCs w:val="20"/>
        </w:rPr>
        <w:t>, société par actions simplifiée à associée unique, immatriculée au Registre du Commerce de Coutances, sous le numéro 323346973, dont le siège social est situé à SAINT-FROMOND (50620),</w:t>
      </w:r>
    </w:p>
    <w:p w14:paraId="7E642A03" w14:textId="51BC839B" w:rsidP="00C95B98" w:rsidR="00C95B98" w:rsidRDefault="00C95B98">
      <w:pPr>
        <w:rPr>
          <w:rFonts w:cs="Arial"/>
          <w:szCs w:val="20"/>
        </w:rPr>
      </w:pPr>
      <w:r>
        <w:rPr>
          <w:rFonts w:cs="Arial"/>
          <w:szCs w:val="20"/>
        </w:rPr>
        <w:t xml:space="preserve">Représentée par </w:t>
      </w:r>
    </w:p>
    <w:p w14:paraId="4811A215" w14:textId="77777777" w:rsidP="00C95B98" w:rsidR="0070114E" w:rsidRDefault="0070114E">
      <w:pPr>
        <w:rPr>
          <w:rFonts w:cs="Arial"/>
          <w:szCs w:val="20"/>
        </w:rPr>
      </w:pPr>
    </w:p>
    <w:p w14:paraId="63ACB212" w14:textId="4877AE4E" w:rsidP="00C95B98" w:rsidR="00C95B98" w:rsidRDefault="00C95B98">
      <w:pPr>
        <w:rPr>
          <w:rFonts w:cs="Arial"/>
          <w:szCs w:val="20"/>
        </w:rPr>
      </w:pPr>
      <w:r>
        <w:rPr>
          <w:rFonts w:cs="Arial"/>
          <w:szCs w:val="20"/>
        </w:rPr>
        <w:t xml:space="preserve">Ci-après désignée « </w:t>
      </w:r>
      <w:r>
        <w:rPr>
          <w:rFonts w:cs="Arial"/>
          <w:b/>
          <w:bCs/>
          <w:szCs w:val="20"/>
        </w:rPr>
        <w:t>CMC MATERIALS UPC</w:t>
      </w:r>
      <w:r>
        <w:rPr>
          <w:rFonts w:cs="Arial"/>
          <w:szCs w:val="20"/>
        </w:rPr>
        <w:t xml:space="preserve"> »</w:t>
      </w:r>
      <w:r w:rsidR="00975430">
        <w:rPr>
          <w:rFonts w:cs="Arial"/>
          <w:szCs w:val="20"/>
        </w:rPr>
        <w:t xml:space="preserve"> ou « </w:t>
      </w:r>
      <w:r w:rsidR="00975430" w:rsidRPr="00975430">
        <w:rPr>
          <w:rFonts w:cs="Arial"/>
          <w:b/>
          <w:bCs/>
          <w:szCs w:val="20"/>
        </w:rPr>
        <w:t>la Société</w:t>
      </w:r>
      <w:r w:rsidR="00975430">
        <w:rPr>
          <w:rFonts w:cs="Arial"/>
          <w:szCs w:val="20"/>
        </w:rPr>
        <w:t> »</w:t>
      </w:r>
      <w:r>
        <w:rPr>
          <w:rFonts w:cs="Arial"/>
          <w:szCs w:val="20"/>
        </w:rPr>
        <w:t>,</w:t>
      </w:r>
    </w:p>
    <w:p w14:paraId="7338357A" w14:textId="77777777" w:rsidP="00C95B98" w:rsidR="00C95B98" w:rsidRDefault="00C95B98">
      <w:pPr>
        <w:jc w:val="right"/>
        <w:rPr>
          <w:rFonts w:cs="Arial"/>
          <w:b/>
          <w:szCs w:val="20"/>
        </w:rPr>
      </w:pPr>
      <w:r>
        <w:rPr>
          <w:rFonts w:cs="Arial"/>
          <w:b/>
          <w:i/>
          <w:iCs/>
          <w:szCs w:val="20"/>
        </w:rPr>
        <w:t>d’une part,</w:t>
      </w:r>
    </w:p>
    <w:p w14:paraId="4E687A76" w14:textId="77777777" w:rsidP="00C95B98" w:rsidR="00C95B98" w:rsidRDefault="00C95B98">
      <w:pPr>
        <w:rPr>
          <w:rFonts w:cs="Arial"/>
          <w:b/>
          <w:bCs/>
          <w:szCs w:val="20"/>
        </w:rPr>
      </w:pPr>
    </w:p>
    <w:p w14:paraId="372710CE" w14:textId="36055C7F" w:rsidP="00C95B98" w:rsidR="00C95B98" w:rsidRDefault="00C95B98">
      <w:pPr>
        <w:rPr>
          <w:rFonts w:cs="Arial"/>
          <w:b/>
          <w:bCs/>
          <w:szCs w:val="20"/>
        </w:rPr>
      </w:pPr>
      <w:r>
        <w:rPr>
          <w:rFonts w:cs="Arial"/>
          <w:b/>
          <w:bCs/>
          <w:szCs w:val="20"/>
        </w:rPr>
        <w:t>ET :</w:t>
      </w:r>
    </w:p>
    <w:p w14:paraId="09110656" w14:textId="2DAAE2AD" w:rsidP="00C95B98" w:rsidR="00C95B98" w:rsidRDefault="00C95B98">
      <w:pPr>
        <w:rPr>
          <w:rFonts w:cs="Arial"/>
          <w:bCs/>
          <w:szCs w:val="20"/>
        </w:rPr>
      </w:pPr>
      <w:r>
        <w:rPr>
          <w:rFonts w:cs="Arial"/>
          <w:bCs/>
          <w:szCs w:val="20"/>
        </w:rPr>
        <w:t>L’Organisation Syndicale Représentative suivante :</w:t>
      </w:r>
    </w:p>
    <w:p w14:paraId="6BE4FD19" w14:textId="6783D21F" w:rsidP="00C95B98" w:rsidR="00C95B98" w:rsidRDefault="00C95B98">
      <w:pPr>
        <w:pStyle w:val="Paragraphedeliste"/>
        <w:numPr>
          <w:ilvl w:val="0"/>
          <w:numId w:val="2"/>
        </w:numPr>
        <w:rPr>
          <w:rFonts w:ascii="Century Gothic" w:cs="Arial" w:hAnsi="Century Gothic"/>
          <w:bCs/>
          <w:sz w:val="20"/>
          <w:szCs w:val="20"/>
        </w:rPr>
      </w:pPr>
      <w:r>
        <w:rPr>
          <w:rFonts w:ascii="Century Gothic" w:cs="Arial" w:hAnsi="Century Gothic"/>
          <w:b/>
          <w:sz w:val="20"/>
          <w:szCs w:val="20"/>
        </w:rPr>
        <w:t>CGT</w:t>
      </w:r>
      <w:r>
        <w:rPr>
          <w:rFonts w:ascii="Century Gothic" w:cs="Arial" w:hAnsi="Century Gothic"/>
          <w:bCs/>
          <w:sz w:val="20"/>
          <w:szCs w:val="20"/>
        </w:rPr>
        <w:t xml:space="preserve">, représentée par </w:t>
      </w:r>
    </w:p>
    <w:p w14:paraId="13806525" w14:textId="77777777" w:rsidP="000024C3" w:rsidR="000024C3" w:rsidRDefault="000024C3" w:rsidRPr="000024C3">
      <w:pPr>
        <w:pStyle w:val="Paragraphedeliste"/>
        <w:ind w:left="720"/>
        <w:rPr>
          <w:rFonts w:ascii="Century Gothic" w:cs="Arial" w:hAnsi="Century Gothic"/>
          <w:bCs/>
          <w:sz w:val="20"/>
          <w:szCs w:val="20"/>
        </w:rPr>
      </w:pPr>
    </w:p>
    <w:p w14:paraId="4ACE8A50" w14:textId="6E0BF41C" w:rsidP="00C95B98" w:rsidR="00C95B98" w:rsidRDefault="00C95B98">
      <w:pPr>
        <w:rPr>
          <w:rFonts w:cs="Arial"/>
          <w:bCs/>
          <w:szCs w:val="20"/>
        </w:rPr>
      </w:pPr>
      <w:r>
        <w:rPr>
          <w:rFonts w:cs="Arial"/>
          <w:bCs/>
          <w:szCs w:val="20"/>
        </w:rPr>
        <w:t>Ci-après désignée « </w:t>
      </w:r>
      <w:r w:rsidRPr="00975430">
        <w:rPr>
          <w:rFonts w:cs="Arial"/>
          <w:b/>
          <w:szCs w:val="20"/>
        </w:rPr>
        <w:t>l’organisation syndicale</w:t>
      </w:r>
      <w:r w:rsidR="00845E36">
        <w:rPr>
          <w:rFonts w:cs="Arial"/>
          <w:b/>
          <w:szCs w:val="20"/>
        </w:rPr>
        <w:t xml:space="preserve"> représentative</w:t>
      </w:r>
      <w:r>
        <w:rPr>
          <w:rFonts w:cs="Arial"/>
          <w:bCs/>
          <w:szCs w:val="20"/>
        </w:rPr>
        <w:t> »,</w:t>
      </w:r>
    </w:p>
    <w:p w14:paraId="51C8FECB" w14:textId="1301FDFC" w:rsidP="000024C3" w:rsidR="00C95B98" w:rsidRDefault="00C95B98" w:rsidRPr="000024C3">
      <w:pPr>
        <w:jc w:val="right"/>
        <w:rPr>
          <w:rFonts w:cs="Arial"/>
          <w:b/>
          <w:i/>
          <w:iCs/>
          <w:szCs w:val="20"/>
        </w:rPr>
      </w:pPr>
      <w:r>
        <w:rPr>
          <w:rFonts w:cs="Arial"/>
          <w:b/>
          <w:i/>
          <w:iCs/>
          <w:szCs w:val="20"/>
        </w:rPr>
        <w:t>d’autre part,</w:t>
      </w:r>
    </w:p>
    <w:p w14:paraId="26E3A5F6" w14:textId="77777777" w:rsidP="00C95B98" w:rsidR="00C95B98" w:rsidRDefault="00C95B98">
      <w:pPr>
        <w:rPr>
          <w:rFonts w:cs="Arial"/>
          <w:szCs w:val="20"/>
        </w:rPr>
      </w:pPr>
    </w:p>
    <w:p w14:paraId="06629DA5" w14:textId="0453C16F" w:rsidP="00C95B98" w:rsidR="00C95B98" w:rsidRDefault="00C95B98">
      <w:pPr>
        <w:suppressAutoHyphens/>
        <w:rPr>
          <w:rFonts w:cs="Calibri"/>
          <w:iCs/>
          <w:szCs w:val="20"/>
        </w:rPr>
      </w:pPr>
      <w:r>
        <w:rPr>
          <w:rFonts w:cs="Calibri"/>
          <w:iCs/>
          <w:szCs w:val="20"/>
        </w:rPr>
        <w:t>Ci-après ensemble également dénommées « </w:t>
      </w:r>
      <w:r w:rsidRPr="00975430">
        <w:rPr>
          <w:rFonts w:cs="Calibri"/>
          <w:b/>
          <w:bCs/>
          <w:iCs/>
          <w:szCs w:val="20"/>
        </w:rPr>
        <w:t>les Parties</w:t>
      </w:r>
      <w:r>
        <w:rPr>
          <w:rFonts w:cs="Calibri"/>
          <w:iCs/>
          <w:szCs w:val="20"/>
        </w:rPr>
        <w:t> »</w:t>
      </w:r>
      <w:r w:rsidR="003B3D16">
        <w:rPr>
          <w:rFonts w:cs="Calibri"/>
          <w:iCs/>
          <w:szCs w:val="20"/>
        </w:rPr>
        <w:t>,</w:t>
      </w:r>
    </w:p>
    <w:p w14:paraId="2FFE37A6" w14:textId="77777777" w:rsidR="000A3D78" w:rsidRDefault="000A3D78">
      <w:pPr>
        <w:spacing w:line="259" w:lineRule="auto"/>
        <w:jc w:val="left"/>
      </w:pPr>
      <w:r>
        <w:br w:type="page"/>
      </w:r>
    </w:p>
    <w:p w14:paraId="6312CA82" w14:textId="4F972B26" w:rsidP="00440441" w:rsidR="00440441" w:rsidRDefault="00692D02">
      <w:pPr>
        <w:pStyle w:val="TM2"/>
        <w:rPr>
          <w:rFonts w:asciiTheme="minorHAnsi" w:eastAsiaTheme="minorEastAsia" w:hAnsiTheme="minorHAnsi"/>
          <w:noProof/>
          <w:sz w:val="22"/>
          <w:lang w:eastAsia="fr-FR"/>
        </w:rPr>
      </w:pPr>
      <w:r>
        <w:lastRenderedPageBreak/>
        <w:fldChar w:fldCharType="begin"/>
      </w:r>
      <w:r>
        <w:instrText xml:space="preserve"> TOC \o "1-3" \h \z \u </w:instrText>
      </w:r>
      <w:r>
        <w:fldChar w:fldCharType="separate"/>
      </w:r>
      <w:hyperlink w:anchor="_Toc120610882" w:history="1">
        <w:r w:rsidR="00440441" w:rsidRPr="00BB211C">
          <w:rPr>
            <w:rStyle w:val="Lienhypertexte"/>
            <w:noProof/>
          </w:rPr>
          <w:t>Article 1.1.</w:t>
        </w:r>
        <w:r w:rsidR="00440441">
          <w:rPr>
            <w:rFonts w:asciiTheme="minorHAnsi" w:eastAsiaTheme="minorEastAsia" w:hAnsiTheme="minorHAnsi"/>
            <w:noProof/>
            <w:sz w:val="22"/>
            <w:lang w:eastAsia="fr-FR"/>
          </w:rPr>
          <w:tab/>
        </w:r>
        <w:r w:rsidR="00440441" w:rsidRPr="00BB211C">
          <w:rPr>
            <w:rStyle w:val="Lienhypertexte"/>
            <w:noProof/>
          </w:rPr>
          <w:t>CHAMP D’APPLICATION</w:t>
        </w:r>
        <w:r w:rsidR="00440441">
          <w:rPr>
            <w:noProof/>
            <w:webHidden/>
          </w:rPr>
          <w:tab/>
        </w:r>
        <w:r w:rsidR="00440441">
          <w:rPr>
            <w:noProof/>
            <w:webHidden/>
          </w:rPr>
          <w:fldChar w:fldCharType="begin"/>
        </w:r>
        <w:r w:rsidR="00440441">
          <w:rPr>
            <w:noProof/>
            <w:webHidden/>
          </w:rPr>
          <w:instrText xml:space="preserve"> PAGEREF _Toc120610882 \h </w:instrText>
        </w:r>
        <w:r w:rsidR="00440441">
          <w:rPr>
            <w:noProof/>
            <w:webHidden/>
          </w:rPr>
        </w:r>
        <w:r w:rsidR="00440441">
          <w:rPr>
            <w:noProof/>
            <w:webHidden/>
          </w:rPr>
          <w:fldChar w:fldCharType="separate"/>
        </w:r>
        <w:r w:rsidR="00572F61">
          <w:rPr>
            <w:noProof/>
            <w:webHidden/>
          </w:rPr>
          <w:t>3</w:t>
        </w:r>
        <w:r w:rsidR="00440441">
          <w:rPr>
            <w:noProof/>
            <w:webHidden/>
          </w:rPr>
          <w:fldChar w:fldCharType="end"/>
        </w:r>
      </w:hyperlink>
    </w:p>
    <w:p w14:paraId="62EFC4A0" w14:textId="13A160BC" w:rsidP="00440441" w:rsidR="00440441" w:rsidRDefault="0070114E">
      <w:pPr>
        <w:pStyle w:val="TM1"/>
        <w:rPr>
          <w:rFonts w:asciiTheme="minorHAnsi" w:eastAsiaTheme="minorEastAsia" w:hAnsiTheme="minorHAnsi"/>
          <w:noProof/>
          <w:sz w:val="22"/>
          <w:lang w:eastAsia="fr-FR"/>
        </w:rPr>
      </w:pPr>
      <w:hyperlink w:anchor="_Toc120610883" w:history="1">
        <w:r w:rsidR="00440441" w:rsidRPr="00BB211C">
          <w:rPr>
            <w:rStyle w:val="Lienhypertexte"/>
            <w:noProof/>
          </w:rPr>
          <w:t>CHAPITRE 1 -</w:t>
        </w:r>
        <w:r w:rsidR="00440441">
          <w:rPr>
            <w:rFonts w:asciiTheme="minorHAnsi" w:eastAsiaTheme="minorEastAsia" w:hAnsiTheme="minorHAnsi"/>
            <w:noProof/>
            <w:sz w:val="22"/>
            <w:lang w:eastAsia="fr-FR"/>
          </w:rPr>
          <w:tab/>
        </w:r>
        <w:r w:rsidR="00440441" w:rsidRPr="00BB211C">
          <w:rPr>
            <w:rStyle w:val="Lienhypertexte"/>
            <w:noProof/>
          </w:rPr>
          <w:t xml:space="preserve">MESURES PORTANT SUR LA </w:t>
        </w:r>
        <w:r w:rsidR="00440441" w:rsidRPr="00BB211C">
          <w:rPr>
            <w:rStyle w:val="Lienhypertexte"/>
            <w:caps/>
            <w:noProof/>
          </w:rPr>
          <w:t>REMUNérATION</w:t>
        </w:r>
        <w:r w:rsidR="00440441" w:rsidRPr="00BB211C">
          <w:rPr>
            <w:rStyle w:val="Lienhypertexte"/>
            <w:noProof/>
          </w:rPr>
          <w:t>, LE TEMPS DE TRAVAIL ET LE PARTAGE DE LA VALEUR</w:t>
        </w:r>
        <w:r w:rsidR="00440441">
          <w:rPr>
            <w:noProof/>
            <w:webHidden/>
          </w:rPr>
          <w:tab/>
        </w:r>
        <w:r w:rsidR="00440441">
          <w:rPr>
            <w:noProof/>
            <w:webHidden/>
          </w:rPr>
          <w:tab/>
        </w:r>
        <w:r w:rsidR="00440441">
          <w:rPr>
            <w:noProof/>
            <w:webHidden/>
          </w:rPr>
          <w:fldChar w:fldCharType="begin"/>
        </w:r>
        <w:r w:rsidR="00440441">
          <w:rPr>
            <w:noProof/>
            <w:webHidden/>
          </w:rPr>
          <w:instrText xml:space="preserve"> PAGEREF _Toc120610883 \h </w:instrText>
        </w:r>
        <w:r w:rsidR="00440441">
          <w:rPr>
            <w:noProof/>
            <w:webHidden/>
          </w:rPr>
        </w:r>
        <w:r w:rsidR="00440441">
          <w:rPr>
            <w:noProof/>
            <w:webHidden/>
          </w:rPr>
          <w:fldChar w:fldCharType="separate"/>
        </w:r>
        <w:r w:rsidR="00572F61">
          <w:rPr>
            <w:noProof/>
            <w:webHidden/>
          </w:rPr>
          <w:t>3</w:t>
        </w:r>
        <w:r w:rsidR="00440441">
          <w:rPr>
            <w:noProof/>
            <w:webHidden/>
          </w:rPr>
          <w:fldChar w:fldCharType="end"/>
        </w:r>
      </w:hyperlink>
    </w:p>
    <w:p w14:paraId="23572171" w14:textId="36982D47" w:rsidP="00440441" w:rsidR="00440441" w:rsidRDefault="0070114E">
      <w:pPr>
        <w:pStyle w:val="TM2"/>
        <w:rPr>
          <w:rFonts w:asciiTheme="minorHAnsi" w:eastAsiaTheme="minorEastAsia" w:hAnsiTheme="minorHAnsi"/>
          <w:noProof/>
          <w:sz w:val="22"/>
          <w:lang w:eastAsia="fr-FR"/>
        </w:rPr>
      </w:pPr>
      <w:hyperlink w:anchor="_Toc120610884" w:history="1">
        <w:r w:rsidR="00440441" w:rsidRPr="00BB211C">
          <w:rPr>
            <w:rStyle w:val="Lienhypertexte"/>
            <w:noProof/>
          </w:rPr>
          <w:t>Article 1.2.</w:t>
        </w:r>
        <w:r w:rsidR="00440441">
          <w:rPr>
            <w:rFonts w:asciiTheme="minorHAnsi" w:eastAsiaTheme="minorEastAsia" w:hAnsiTheme="minorHAnsi"/>
            <w:noProof/>
            <w:sz w:val="22"/>
            <w:lang w:eastAsia="fr-FR"/>
          </w:rPr>
          <w:tab/>
        </w:r>
        <w:r w:rsidR="00440441" w:rsidRPr="00BB211C">
          <w:rPr>
            <w:rStyle w:val="Lienhypertexte"/>
            <w:noProof/>
          </w:rPr>
          <w:t>Les salaires effectifs</w:t>
        </w:r>
        <w:r w:rsidR="00440441">
          <w:rPr>
            <w:noProof/>
            <w:webHidden/>
          </w:rPr>
          <w:tab/>
        </w:r>
        <w:r w:rsidR="00440441">
          <w:rPr>
            <w:noProof/>
            <w:webHidden/>
          </w:rPr>
          <w:fldChar w:fldCharType="begin"/>
        </w:r>
        <w:r w:rsidR="00440441">
          <w:rPr>
            <w:noProof/>
            <w:webHidden/>
          </w:rPr>
          <w:instrText xml:space="preserve"> PAGEREF _Toc120610884 \h </w:instrText>
        </w:r>
        <w:r w:rsidR="00440441">
          <w:rPr>
            <w:noProof/>
            <w:webHidden/>
          </w:rPr>
        </w:r>
        <w:r w:rsidR="00440441">
          <w:rPr>
            <w:noProof/>
            <w:webHidden/>
          </w:rPr>
          <w:fldChar w:fldCharType="separate"/>
        </w:r>
        <w:r w:rsidR="00572F61">
          <w:rPr>
            <w:noProof/>
            <w:webHidden/>
          </w:rPr>
          <w:t>3</w:t>
        </w:r>
        <w:r w:rsidR="00440441">
          <w:rPr>
            <w:noProof/>
            <w:webHidden/>
          </w:rPr>
          <w:fldChar w:fldCharType="end"/>
        </w:r>
      </w:hyperlink>
    </w:p>
    <w:p w14:paraId="60AAB46E" w14:textId="3626F699" w:rsidP="00440441" w:rsidR="00440441" w:rsidRDefault="0070114E">
      <w:pPr>
        <w:pStyle w:val="TM3"/>
        <w:rPr>
          <w:rFonts w:asciiTheme="minorHAnsi" w:eastAsiaTheme="minorEastAsia" w:hAnsiTheme="minorHAnsi"/>
          <w:noProof/>
          <w:sz w:val="22"/>
          <w:lang w:eastAsia="fr-FR"/>
        </w:rPr>
      </w:pPr>
      <w:hyperlink w:anchor="_Toc120610885" w:history="1">
        <w:r w:rsidR="00440441" w:rsidRPr="00BB211C">
          <w:rPr>
            <w:rStyle w:val="Lienhypertexte"/>
            <w:noProof/>
          </w:rPr>
          <w:t>Article 1.1.1.</w:t>
        </w:r>
        <w:r w:rsidR="00440441">
          <w:rPr>
            <w:rFonts w:asciiTheme="minorHAnsi" w:eastAsiaTheme="minorEastAsia" w:hAnsiTheme="minorHAnsi"/>
            <w:noProof/>
            <w:sz w:val="22"/>
            <w:lang w:eastAsia="fr-FR"/>
          </w:rPr>
          <w:tab/>
        </w:r>
        <w:r w:rsidR="00440441" w:rsidRPr="00BB211C">
          <w:rPr>
            <w:rStyle w:val="Lienhypertexte"/>
            <w:noProof/>
          </w:rPr>
          <w:t>Augmentation générale et collective</w:t>
        </w:r>
        <w:r w:rsidR="00440441">
          <w:rPr>
            <w:noProof/>
            <w:webHidden/>
          </w:rPr>
          <w:tab/>
        </w:r>
        <w:r w:rsidR="00440441">
          <w:rPr>
            <w:noProof/>
            <w:webHidden/>
          </w:rPr>
          <w:fldChar w:fldCharType="begin"/>
        </w:r>
        <w:r w:rsidR="00440441">
          <w:rPr>
            <w:noProof/>
            <w:webHidden/>
          </w:rPr>
          <w:instrText xml:space="preserve"> PAGEREF _Toc120610885 \h </w:instrText>
        </w:r>
        <w:r w:rsidR="00440441">
          <w:rPr>
            <w:noProof/>
            <w:webHidden/>
          </w:rPr>
        </w:r>
        <w:r w:rsidR="00440441">
          <w:rPr>
            <w:noProof/>
            <w:webHidden/>
          </w:rPr>
          <w:fldChar w:fldCharType="separate"/>
        </w:r>
        <w:r w:rsidR="00572F61">
          <w:rPr>
            <w:noProof/>
            <w:webHidden/>
          </w:rPr>
          <w:t>3</w:t>
        </w:r>
        <w:r w:rsidR="00440441">
          <w:rPr>
            <w:noProof/>
            <w:webHidden/>
          </w:rPr>
          <w:fldChar w:fldCharType="end"/>
        </w:r>
      </w:hyperlink>
    </w:p>
    <w:p w14:paraId="0FD8CBA3" w14:textId="16B94A7B" w:rsidP="00440441" w:rsidR="00440441" w:rsidRDefault="0070114E">
      <w:pPr>
        <w:pStyle w:val="TM3"/>
        <w:rPr>
          <w:rFonts w:asciiTheme="minorHAnsi" w:eastAsiaTheme="minorEastAsia" w:hAnsiTheme="minorHAnsi"/>
          <w:noProof/>
          <w:sz w:val="22"/>
          <w:lang w:eastAsia="fr-FR"/>
        </w:rPr>
      </w:pPr>
      <w:hyperlink w:anchor="_Toc120610886" w:history="1">
        <w:r w:rsidR="00440441" w:rsidRPr="00BB211C">
          <w:rPr>
            <w:rStyle w:val="Lienhypertexte"/>
            <w:noProof/>
          </w:rPr>
          <w:t>Article 1.1.2.</w:t>
        </w:r>
        <w:r w:rsidR="00440441">
          <w:rPr>
            <w:rFonts w:asciiTheme="minorHAnsi" w:eastAsiaTheme="minorEastAsia" w:hAnsiTheme="minorHAnsi"/>
            <w:noProof/>
            <w:sz w:val="22"/>
            <w:lang w:eastAsia="fr-FR"/>
          </w:rPr>
          <w:tab/>
        </w:r>
        <w:r w:rsidR="00440441" w:rsidRPr="00BB211C">
          <w:rPr>
            <w:rStyle w:val="Lienhypertexte"/>
            <w:noProof/>
          </w:rPr>
          <w:t>Augmentations individuelles</w:t>
        </w:r>
        <w:r w:rsidR="00440441">
          <w:rPr>
            <w:noProof/>
            <w:webHidden/>
          </w:rPr>
          <w:tab/>
        </w:r>
        <w:r w:rsidR="00440441">
          <w:rPr>
            <w:noProof/>
            <w:webHidden/>
          </w:rPr>
          <w:fldChar w:fldCharType="begin"/>
        </w:r>
        <w:r w:rsidR="00440441">
          <w:rPr>
            <w:noProof/>
            <w:webHidden/>
          </w:rPr>
          <w:instrText xml:space="preserve"> PAGEREF _Toc120610886 \h </w:instrText>
        </w:r>
        <w:r w:rsidR="00440441">
          <w:rPr>
            <w:noProof/>
            <w:webHidden/>
          </w:rPr>
        </w:r>
        <w:r w:rsidR="00440441">
          <w:rPr>
            <w:noProof/>
            <w:webHidden/>
          </w:rPr>
          <w:fldChar w:fldCharType="separate"/>
        </w:r>
        <w:r w:rsidR="00572F61">
          <w:rPr>
            <w:noProof/>
            <w:webHidden/>
          </w:rPr>
          <w:t>4</w:t>
        </w:r>
        <w:r w:rsidR="00440441">
          <w:rPr>
            <w:noProof/>
            <w:webHidden/>
          </w:rPr>
          <w:fldChar w:fldCharType="end"/>
        </w:r>
      </w:hyperlink>
    </w:p>
    <w:p w14:paraId="0B08E05E" w14:textId="6FD5D02E" w:rsidP="00440441" w:rsidR="00440441" w:rsidRDefault="0070114E">
      <w:pPr>
        <w:pStyle w:val="TM3"/>
        <w:rPr>
          <w:rFonts w:asciiTheme="minorHAnsi" w:eastAsiaTheme="minorEastAsia" w:hAnsiTheme="minorHAnsi"/>
          <w:noProof/>
          <w:sz w:val="22"/>
          <w:lang w:eastAsia="fr-FR"/>
        </w:rPr>
      </w:pPr>
      <w:hyperlink w:anchor="_Toc120610887" w:history="1">
        <w:r w:rsidR="00440441" w:rsidRPr="00BB211C">
          <w:rPr>
            <w:rStyle w:val="Lienhypertexte"/>
            <w:noProof/>
          </w:rPr>
          <w:t>Article 1.1.3.</w:t>
        </w:r>
        <w:r w:rsidR="00440441">
          <w:rPr>
            <w:rFonts w:asciiTheme="minorHAnsi" w:eastAsiaTheme="minorEastAsia" w:hAnsiTheme="minorHAnsi"/>
            <w:noProof/>
            <w:sz w:val="22"/>
            <w:lang w:eastAsia="fr-FR"/>
          </w:rPr>
          <w:tab/>
        </w:r>
        <w:r w:rsidR="00440441" w:rsidRPr="00BB211C">
          <w:rPr>
            <w:rStyle w:val="Lienhypertexte"/>
            <w:noProof/>
          </w:rPr>
          <w:t>Seconde augmentation et enveloppe globale des augmentations</w:t>
        </w:r>
        <w:r w:rsidR="00440441">
          <w:rPr>
            <w:noProof/>
            <w:webHidden/>
          </w:rPr>
          <w:tab/>
        </w:r>
        <w:r w:rsidR="00440441">
          <w:rPr>
            <w:noProof/>
            <w:webHidden/>
          </w:rPr>
          <w:fldChar w:fldCharType="begin"/>
        </w:r>
        <w:r w:rsidR="00440441">
          <w:rPr>
            <w:noProof/>
            <w:webHidden/>
          </w:rPr>
          <w:instrText xml:space="preserve"> PAGEREF _Toc120610887 \h </w:instrText>
        </w:r>
        <w:r w:rsidR="00440441">
          <w:rPr>
            <w:noProof/>
            <w:webHidden/>
          </w:rPr>
        </w:r>
        <w:r w:rsidR="00440441">
          <w:rPr>
            <w:noProof/>
            <w:webHidden/>
          </w:rPr>
          <w:fldChar w:fldCharType="separate"/>
        </w:r>
        <w:r w:rsidR="00572F61">
          <w:rPr>
            <w:noProof/>
            <w:webHidden/>
          </w:rPr>
          <w:t>4</w:t>
        </w:r>
        <w:r w:rsidR="00440441">
          <w:rPr>
            <w:noProof/>
            <w:webHidden/>
          </w:rPr>
          <w:fldChar w:fldCharType="end"/>
        </w:r>
      </w:hyperlink>
    </w:p>
    <w:p w14:paraId="6E9439CE" w14:textId="3F1F41D7" w:rsidP="00440441" w:rsidR="00440441" w:rsidRDefault="0070114E">
      <w:pPr>
        <w:pStyle w:val="TM2"/>
        <w:rPr>
          <w:rFonts w:asciiTheme="minorHAnsi" w:eastAsiaTheme="minorEastAsia" w:hAnsiTheme="minorHAnsi"/>
          <w:noProof/>
          <w:sz w:val="22"/>
          <w:lang w:eastAsia="fr-FR"/>
        </w:rPr>
      </w:pPr>
      <w:hyperlink w:anchor="_Toc120610888" w:history="1">
        <w:r w:rsidR="00440441" w:rsidRPr="00BB211C">
          <w:rPr>
            <w:rStyle w:val="Lienhypertexte"/>
            <w:noProof/>
          </w:rPr>
          <w:t>Article 1.2.</w:t>
        </w:r>
        <w:r w:rsidR="00440441">
          <w:rPr>
            <w:rFonts w:asciiTheme="minorHAnsi" w:eastAsiaTheme="minorEastAsia" w:hAnsiTheme="minorHAnsi"/>
            <w:noProof/>
            <w:sz w:val="22"/>
            <w:lang w:eastAsia="fr-FR"/>
          </w:rPr>
          <w:tab/>
        </w:r>
        <w:r w:rsidR="00440441" w:rsidRPr="00BB211C">
          <w:rPr>
            <w:rStyle w:val="Lienhypertexte"/>
            <w:noProof/>
          </w:rPr>
          <w:t>Revue des coefficients attachés à chaque poste de métier et revalorisations de salaires</w:t>
        </w:r>
        <w:r w:rsidR="00440441">
          <w:rPr>
            <w:noProof/>
            <w:webHidden/>
          </w:rPr>
          <w:tab/>
        </w:r>
        <w:r w:rsidR="00440441">
          <w:rPr>
            <w:noProof/>
            <w:webHidden/>
          </w:rPr>
          <w:tab/>
        </w:r>
        <w:r w:rsidR="00440441">
          <w:rPr>
            <w:noProof/>
            <w:webHidden/>
          </w:rPr>
          <w:fldChar w:fldCharType="begin"/>
        </w:r>
        <w:r w:rsidR="00440441">
          <w:rPr>
            <w:noProof/>
            <w:webHidden/>
          </w:rPr>
          <w:instrText xml:space="preserve"> PAGEREF _Toc120610888 \h </w:instrText>
        </w:r>
        <w:r w:rsidR="00440441">
          <w:rPr>
            <w:noProof/>
            <w:webHidden/>
          </w:rPr>
        </w:r>
        <w:r w:rsidR="00440441">
          <w:rPr>
            <w:noProof/>
            <w:webHidden/>
          </w:rPr>
          <w:fldChar w:fldCharType="separate"/>
        </w:r>
        <w:r w:rsidR="00572F61">
          <w:rPr>
            <w:noProof/>
            <w:webHidden/>
          </w:rPr>
          <w:t>4</w:t>
        </w:r>
        <w:r w:rsidR="00440441">
          <w:rPr>
            <w:noProof/>
            <w:webHidden/>
          </w:rPr>
          <w:fldChar w:fldCharType="end"/>
        </w:r>
      </w:hyperlink>
    </w:p>
    <w:p w14:paraId="477A94DD" w14:textId="4D2185A3" w:rsidP="00440441" w:rsidR="00440441" w:rsidRDefault="0070114E">
      <w:pPr>
        <w:pStyle w:val="TM2"/>
        <w:rPr>
          <w:rFonts w:asciiTheme="minorHAnsi" w:eastAsiaTheme="minorEastAsia" w:hAnsiTheme="minorHAnsi"/>
          <w:noProof/>
          <w:sz w:val="22"/>
          <w:lang w:eastAsia="fr-FR"/>
        </w:rPr>
      </w:pPr>
      <w:hyperlink w:anchor="_Toc120610889" w:history="1">
        <w:r w:rsidR="00440441" w:rsidRPr="00BB211C">
          <w:rPr>
            <w:rStyle w:val="Lienhypertexte"/>
            <w:noProof/>
          </w:rPr>
          <w:t>Article 1.3.</w:t>
        </w:r>
        <w:r w:rsidR="00440441">
          <w:rPr>
            <w:rFonts w:asciiTheme="minorHAnsi" w:eastAsiaTheme="minorEastAsia" w:hAnsiTheme="minorHAnsi"/>
            <w:noProof/>
            <w:sz w:val="22"/>
            <w:lang w:eastAsia="fr-FR"/>
          </w:rPr>
          <w:tab/>
        </w:r>
        <w:r w:rsidR="00440441" w:rsidRPr="00BB211C">
          <w:rPr>
            <w:rStyle w:val="Lienhypertexte"/>
            <w:noProof/>
          </w:rPr>
          <w:t>Mise en place de la prime de partage de la valeur (PPV)</w:t>
        </w:r>
        <w:r w:rsidR="00440441">
          <w:rPr>
            <w:noProof/>
            <w:webHidden/>
          </w:rPr>
          <w:tab/>
        </w:r>
        <w:r w:rsidR="00440441">
          <w:rPr>
            <w:noProof/>
            <w:webHidden/>
          </w:rPr>
          <w:fldChar w:fldCharType="begin"/>
        </w:r>
        <w:r w:rsidR="00440441">
          <w:rPr>
            <w:noProof/>
            <w:webHidden/>
          </w:rPr>
          <w:instrText xml:space="preserve"> PAGEREF _Toc120610889 \h </w:instrText>
        </w:r>
        <w:r w:rsidR="00440441">
          <w:rPr>
            <w:noProof/>
            <w:webHidden/>
          </w:rPr>
        </w:r>
        <w:r w:rsidR="00440441">
          <w:rPr>
            <w:noProof/>
            <w:webHidden/>
          </w:rPr>
          <w:fldChar w:fldCharType="separate"/>
        </w:r>
        <w:r w:rsidR="00572F61">
          <w:rPr>
            <w:noProof/>
            <w:webHidden/>
          </w:rPr>
          <w:t>5</w:t>
        </w:r>
        <w:r w:rsidR="00440441">
          <w:rPr>
            <w:noProof/>
            <w:webHidden/>
          </w:rPr>
          <w:fldChar w:fldCharType="end"/>
        </w:r>
      </w:hyperlink>
    </w:p>
    <w:p w14:paraId="44ADB408" w14:textId="09EB1FA8" w:rsidP="00440441" w:rsidR="00440441" w:rsidRDefault="0070114E">
      <w:pPr>
        <w:pStyle w:val="TM2"/>
        <w:rPr>
          <w:rFonts w:asciiTheme="minorHAnsi" w:eastAsiaTheme="minorEastAsia" w:hAnsiTheme="minorHAnsi"/>
          <w:noProof/>
          <w:sz w:val="22"/>
          <w:lang w:eastAsia="fr-FR"/>
        </w:rPr>
      </w:pPr>
      <w:hyperlink w:anchor="_Toc120610890" w:history="1">
        <w:r w:rsidR="00440441" w:rsidRPr="00BB211C">
          <w:rPr>
            <w:rStyle w:val="Lienhypertexte"/>
            <w:noProof/>
          </w:rPr>
          <w:t>Article 1.4.</w:t>
        </w:r>
        <w:r w:rsidR="00440441">
          <w:rPr>
            <w:rFonts w:asciiTheme="minorHAnsi" w:eastAsiaTheme="minorEastAsia" w:hAnsiTheme="minorHAnsi"/>
            <w:noProof/>
            <w:sz w:val="22"/>
            <w:lang w:eastAsia="fr-FR"/>
          </w:rPr>
          <w:tab/>
        </w:r>
        <w:r w:rsidR="00440441" w:rsidRPr="00BB211C">
          <w:rPr>
            <w:rStyle w:val="Lienhypertexte"/>
            <w:noProof/>
          </w:rPr>
          <w:t>La durée effective et organisation du temps de travail</w:t>
        </w:r>
        <w:r w:rsidR="00440441">
          <w:rPr>
            <w:noProof/>
            <w:webHidden/>
          </w:rPr>
          <w:tab/>
        </w:r>
        <w:r w:rsidR="00440441">
          <w:rPr>
            <w:noProof/>
            <w:webHidden/>
          </w:rPr>
          <w:fldChar w:fldCharType="begin"/>
        </w:r>
        <w:r w:rsidR="00440441">
          <w:rPr>
            <w:noProof/>
            <w:webHidden/>
          </w:rPr>
          <w:instrText xml:space="preserve"> PAGEREF _Toc120610890 \h </w:instrText>
        </w:r>
        <w:r w:rsidR="00440441">
          <w:rPr>
            <w:noProof/>
            <w:webHidden/>
          </w:rPr>
        </w:r>
        <w:r w:rsidR="00440441">
          <w:rPr>
            <w:noProof/>
            <w:webHidden/>
          </w:rPr>
          <w:fldChar w:fldCharType="separate"/>
        </w:r>
        <w:r w:rsidR="00572F61">
          <w:rPr>
            <w:noProof/>
            <w:webHidden/>
          </w:rPr>
          <w:t>5</w:t>
        </w:r>
        <w:r w:rsidR="00440441">
          <w:rPr>
            <w:noProof/>
            <w:webHidden/>
          </w:rPr>
          <w:fldChar w:fldCharType="end"/>
        </w:r>
      </w:hyperlink>
    </w:p>
    <w:p w14:paraId="56E07743" w14:textId="19FCA8BE" w:rsidP="00440441" w:rsidR="00440441" w:rsidRDefault="0070114E">
      <w:pPr>
        <w:pStyle w:val="TM3"/>
        <w:rPr>
          <w:rFonts w:asciiTheme="minorHAnsi" w:eastAsiaTheme="minorEastAsia" w:hAnsiTheme="minorHAnsi"/>
          <w:noProof/>
          <w:sz w:val="22"/>
          <w:lang w:eastAsia="fr-FR"/>
        </w:rPr>
      </w:pPr>
      <w:hyperlink w:anchor="_Toc120610891" w:history="1">
        <w:r w:rsidR="00440441" w:rsidRPr="00BB211C">
          <w:rPr>
            <w:rStyle w:val="Lienhypertexte"/>
            <w:noProof/>
          </w:rPr>
          <w:t>Article 1.4.1.</w:t>
        </w:r>
        <w:r w:rsidR="00440441">
          <w:rPr>
            <w:rFonts w:asciiTheme="minorHAnsi" w:eastAsiaTheme="minorEastAsia" w:hAnsiTheme="minorHAnsi"/>
            <w:noProof/>
            <w:sz w:val="22"/>
            <w:lang w:eastAsia="fr-FR"/>
          </w:rPr>
          <w:tab/>
        </w:r>
        <w:r w:rsidR="00440441" w:rsidRPr="00BB211C">
          <w:rPr>
            <w:rStyle w:val="Lienhypertexte"/>
            <w:noProof/>
          </w:rPr>
          <w:t>La journée de la solidarité</w:t>
        </w:r>
        <w:r w:rsidR="00440441">
          <w:rPr>
            <w:noProof/>
            <w:webHidden/>
          </w:rPr>
          <w:tab/>
        </w:r>
        <w:r w:rsidR="00440441">
          <w:rPr>
            <w:noProof/>
            <w:webHidden/>
          </w:rPr>
          <w:fldChar w:fldCharType="begin"/>
        </w:r>
        <w:r w:rsidR="00440441">
          <w:rPr>
            <w:noProof/>
            <w:webHidden/>
          </w:rPr>
          <w:instrText xml:space="preserve"> PAGEREF _Toc120610891 \h </w:instrText>
        </w:r>
        <w:r w:rsidR="00440441">
          <w:rPr>
            <w:noProof/>
            <w:webHidden/>
          </w:rPr>
        </w:r>
        <w:r w:rsidR="00440441">
          <w:rPr>
            <w:noProof/>
            <w:webHidden/>
          </w:rPr>
          <w:fldChar w:fldCharType="separate"/>
        </w:r>
        <w:r w:rsidR="00572F61">
          <w:rPr>
            <w:noProof/>
            <w:webHidden/>
          </w:rPr>
          <w:t>5</w:t>
        </w:r>
        <w:r w:rsidR="00440441">
          <w:rPr>
            <w:noProof/>
            <w:webHidden/>
          </w:rPr>
          <w:fldChar w:fldCharType="end"/>
        </w:r>
      </w:hyperlink>
    </w:p>
    <w:p w14:paraId="7C4C35CE" w14:textId="5F7D47B8" w:rsidP="00440441" w:rsidR="00440441" w:rsidRDefault="0070114E">
      <w:pPr>
        <w:pStyle w:val="TM3"/>
        <w:rPr>
          <w:rFonts w:asciiTheme="minorHAnsi" w:eastAsiaTheme="minorEastAsia" w:hAnsiTheme="minorHAnsi"/>
          <w:noProof/>
          <w:sz w:val="22"/>
          <w:lang w:eastAsia="fr-FR"/>
        </w:rPr>
      </w:pPr>
      <w:hyperlink w:anchor="_Toc120610892" w:history="1">
        <w:r w:rsidR="00440441" w:rsidRPr="00BB211C">
          <w:rPr>
            <w:rStyle w:val="Lienhypertexte"/>
            <w:noProof/>
          </w:rPr>
          <w:t>Article 1.4.2.</w:t>
        </w:r>
        <w:r w:rsidR="00440441">
          <w:rPr>
            <w:rFonts w:asciiTheme="minorHAnsi" w:eastAsiaTheme="minorEastAsia" w:hAnsiTheme="minorHAnsi"/>
            <w:noProof/>
            <w:sz w:val="22"/>
            <w:lang w:eastAsia="fr-FR"/>
          </w:rPr>
          <w:tab/>
        </w:r>
        <w:r w:rsidR="00440441" w:rsidRPr="00BB211C">
          <w:rPr>
            <w:rStyle w:val="Lienhypertexte"/>
            <w:noProof/>
          </w:rPr>
          <w:t>La journée de repos pour anniversaire</w:t>
        </w:r>
        <w:r w:rsidR="00440441">
          <w:rPr>
            <w:noProof/>
            <w:webHidden/>
          </w:rPr>
          <w:tab/>
        </w:r>
        <w:r w:rsidR="00440441">
          <w:rPr>
            <w:noProof/>
            <w:webHidden/>
          </w:rPr>
          <w:fldChar w:fldCharType="begin"/>
        </w:r>
        <w:r w:rsidR="00440441">
          <w:rPr>
            <w:noProof/>
            <w:webHidden/>
          </w:rPr>
          <w:instrText xml:space="preserve"> PAGEREF _Toc120610892 \h </w:instrText>
        </w:r>
        <w:r w:rsidR="00440441">
          <w:rPr>
            <w:noProof/>
            <w:webHidden/>
          </w:rPr>
        </w:r>
        <w:r w:rsidR="00440441">
          <w:rPr>
            <w:noProof/>
            <w:webHidden/>
          </w:rPr>
          <w:fldChar w:fldCharType="separate"/>
        </w:r>
        <w:r w:rsidR="00572F61">
          <w:rPr>
            <w:noProof/>
            <w:webHidden/>
          </w:rPr>
          <w:t>5</w:t>
        </w:r>
        <w:r w:rsidR="00440441">
          <w:rPr>
            <w:noProof/>
            <w:webHidden/>
          </w:rPr>
          <w:fldChar w:fldCharType="end"/>
        </w:r>
      </w:hyperlink>
    </w:p>
    <w:p w14:paraId="12B91254" w14:textId="6AB12EB5" w:rsidP="00440441" w:rsidR="00440441" w:rsidRDefault="0070114E">
      <w:pPr>
        <w:pStyle w:val="TM1"/>
        <w:rPr>
          <w:rFonts w:asciiTheme="minorHAnsi" w:eastAsiaTheme="minorEastAsia" w:hAnsiTheme="minorHAnsi"/>
          <w:noProof/>
          <w:sz w:val="22"/>
          <w:lang w:eastAsia="fr-FR"/>
        </w:rPr>
      </w:pPr>
      <w:hyperlink w:anchor="_Toc120610893" w:history="1">
        <w:r w:rsidR="00440441" w:rsidRPr="00BB211C">
          <w:rPr>
            <w:rStyle w:val="Lienhypertexte"/>
            <w:noProof/>
          </w:rPr>
          <w:t>CHAPITRE 2 -</w:t>
        </w:r>
        <w:r w:rsidR="00440441">
          <w:rPr>
            <w:rFonts w:asciiTheme="minorHAnsi" w:eastAsiaTheme="minorEastAsia" w:hAnsiTheme="minorHAnsi"/>
            <w:noProof/>
            <w:sz w:val="22"/>
            <w:lang w:eastAsia="fr-FR"/>
          </w:rPr>
          <w:tab/>
        </w:r>
        <w:r w:rsidR="00440441" w:rsidRPr="00BB211C">
          <w:rPr>
            <w:rStyle w:val="Lienhypertexte"/>
            <w:noProof/>
          </w:rPr>
          <w:t>MESURES COMPLEMENTAIRES PORTANT SUR L’EGALITE PROFESSIONNELLE ET LA QUALITE DE VIE ET DES CONDITIONS DE TRAVAIL</w:t>
        </w:r>
        <w:r w:rsidR="00440441">
          <w:rPr>
            <w:noProof/>
            <w:webHidden/>
          </w:rPr>
          <w:tab/>
        </w:r>
        <w:r w:rsidR="00440441">
          <w:rPr>
            <w:noProof/>
            <w:webHidden/>
          </w:rPr>
          <w:fldChar w:fldCharType="begin"/>
        </w:r>
        <w:r w:rsidR="00440441">
          <w:rPr>
            <w:noProof/>
            <w:webHidden/>
          </w:rPr>
          <w:instrText xml:space="preserve"> PAGEREF _Toc120610893 \h </w:instrText>
        </w:r>
        <w:r w:rsidR="00440441">
          <w:rPr>
            <w:noProof/>
            <w:webHidden/>
          </w:rPr>
        </w:r>
        <w:r w:rsidR="00440441">
          <w:rPr>
            <w:noProof/>
            <w:webHidden/>
          </w:rPr>
          <w:fldChar w:fldCharType="separate"/>
        </w:r>
        <w:r w:rsidR="00572F61">
          <w:rPr>
            <w:noProof/>
            <w:webHidden/>
          </w:rPr>
          <w:t>6</w:t>
        </w:r>
        <w:r w:rsidR="00440441">
          <w:rPr>
            <w:noProof/>
            <w:webHidden/>
          </w:rPr>
          <w:fldChar w:fldCharType="end"/>
        </w:r>
      </w:hyperlink>
    </w:p>
    <w:p w14:paraId="6100E8F8" w14:textId="50360EEC" w:rsidP="00440441" w:rsidR="00440441" w:rsidRDefault="0070114E">
      <w:pPr>
        <w:pStyle w:val="TM2"/>
        <w:rPr>
          <w:rFonts w:asciiTheme="minorHAnsi" w:eastAsiaTheme="minorEastAsia" w:hAnsiTheme="minorHAnsi"/>
          <w:noProof/>
          <w:sz w:val="22"/>
          <w:lang w:eastAsia="fr-FR"/>
        </w:rPr>
      </w:pPr>
      <w:hyperlink w:anchor="_Toc120610894" w:history="1">
        <w:r w:rsidR="00440441" w:rsidRPr="00BB211C">
          <w:rPr>
            <w:rStyle w:val="Lienhypertexte"/>
            <w:noProof/>
          </w:rPr>
          <w:t>Article 2.1.</w:t>
        </w:r>
        <w:r w:rsidR="00440441">
          <w:rPr>
            <w:rFonts w:asciiTheme="minorHAnsi" w:eastAsiaTheme="minorEastAsia" w:hAnsiTheme="minorHAnsi"/>
            <w:noProof/>
            <w:sz w:val="22"/>
            <w:lang w:eastAsia="fr-FR"/>
          </w:rPr>
          <w:tab/>
        </w:r>
        <w:r w:rsidR="00440441" w:rsidRPr="00BB211C">
          <w:rPr>
            <w:rStyle w:val="Lienhypertexte"/>
            <w:noProof/>
          </w:rPr>
          <w:t>Suivi de la mise en œuvre des mesures relatives à l’égalité professionnelle entre les femmes et les hommes</w:t>
        </w:r>
        <w:r w:rsidR="00440441">
          <w:rPr>
            <w:noProof/>
            <w:webHidden/>
          </w:rPr>
          <w:tab/>
        </w:r>
        <w:r w:rsidR="00440441">
          <w:rPr>
            <w:noProof/>
            <w:webHidden/>
          </w:rPr>
          <w:fldChar w:fldCharType="begin"/>
        </w:r>
        <w:r w:rsidR="00440441">
          <w:rPr>
            <w:noProof/>
            <w:webHidden/>
          </w:rPr>
          <w:instrText xml:space="preserve"> PAGEREF _Toc120610894 \h </w:instrText>
        </w:r>
        <w:r w:rsidR="00440441">
          <w:rPr>
            <w:noProof/>
            <w:webHidden/>
          </w:rPr>
        </w:r>
        <w:r w:rsidR="00440441">
          <w:rPr>
            <w:noProof/>
            <w:webHidden/>
          </w:rPr>
          <w:fldChar w:fldCharType="separate"/>
        </w:r>
        <w:r w:rsidR="00572F61">
          <w:rPr>
            <w:noProof/>
            <w:webHidden/>
          </w:rPr>
          <w:t>6</w:t>
        </w:r>
        <w:r w:rsidR="00440441">
          <w:rPr>
            <w:noProof/>
            <w:webHidden/>
          </w:rPr>
          <w:fldChar w:fldCharType="end"/>
        </w:r>
      </w:hyperlink>
    </w:p>
    <w:p w14:paraId="7AF664BB" w14:textId="782A96FC" w:rsidP="00440441" w:rsidR="00440441" w:rsidRDefault="0070114E">
      <w:pPr>
        <w:pStyle w:val="TM2"/>
        <w:rPr>
          <w:rFonts w:asciiTheme="minorHAnsi" w:eastAsiaTheme="minorEastAsia" w:hAnsiTheme="minorHAnsi"/>
          <w:noProof/>
          <w:sz w:val="22"/>
          <w:lang w:eastAsia="fr-FR"/>
        </w:rPr>
      </w:pPr>
      <w:hyperlink w:anchor="_Toc120610895" w:history="1">
        <w:r w:rsidR="00440441" w:rsidRPr="00BB211C">
          <w:rPr>
            <w:rStyle w:val="Lienhypertexte"/>
            <w:noProof/>
          </w:rPr>
          <w:t>Article 2.2.</w:t>
        </w:r>
        <w:r w:rsidR="00440441">
          <w:rPr>
            <w:rFonts w:asciiTheme="minorHAnsi" w:eastAsiaTheme="minorEastAsia" w:hAnsiTheme="minorHAnsi"/>
            <w:noProof/>
            <w:sz w:val="22"/>
            <w:lang w:eastAsia="fr-FR"/>
          </w:rPr>
          <w:tab/>
        </w:r>
        <w:r w:rsidR="00440441" w:rsidRPr="00BB211C">
          <w:rPr>
            <w:rStyle w:val="Lienhypertexte"/>
            <w:noProof/>
          </w:rPr>
          <w:t>Articulation vie personnelle et droit à la déconnexion</w:t>
        </w:r>
        <w:r w:rsidR="00440441">
          <w:rPr>
            <w:noProof/>
            <w:webHidden/>
          </w:rPr>
          <w:tab/>
        </w:r>
        <w:r w:rsidR="00440441">
          <w:rPr>
            <w:noProof/>
            <w:webHidden/>
          </w:rPr>
          <w:fldChar w:fldCharType="begin"/>
        </w:r>
        <w:r w:rsidR="00440441">
          <w:rPr>
            <w:noProof/>
            <w:webHidden/>
          </w:rPr>
          <w:instrText xml:space="preserve"> PAGEREF _Toc120610895 \h </w:instrText>
        </w:r>
        <w:r w:rsidR="00440441">
          <w:rPr>
            <w:noProof/>
            <w:webHidden/>
          </w:rPr>
        </w:r>
        <w:r w:rsidR="00440441">
          <w:rPr>
            <w:noProof/>
            <w:webHidden/>
          </w:rPr>
          <w:fldChar w:fldCharType="separate"/>
        </w:r>
        <w:r w:rsidR="00572F61">
          <w:rPr>
            <w:noProof/>
            <w:webHidden/>
          </w:rPr>
          <w:t>6</w:t>
        </w:r>
        <w:r w:rsidR="00440441">
          <w:rPr>
            <w:noProof/>
            <w:webHidden/>
          </w:rPr>
          <w:fldChar w:fldCharType="end"/>
        </w:r>
      </w:hyperlink>
    </w:p>
    <w:p w14:paraId="598356B0" w14:textId="3A21AFD7" w:rsidP="00440441" w:rsidR="00440441" w:rsidRDefault="0070114E">
      <w:pPr>
        <w:pStyle w:val="TM3"/>
        <w:rPr>
          <w:rFonts w:asciiTheme="minorHAnsi" w:eastAsiaTheme="minorEastAsia" w:hAnsiTheme="minorHAnsi"/>
          <w:noProof/>
          <w:sz w:val="22"/>
          <w:lang w:eastAsia="fr-FR"/>
        </w:rPr>
      </w:pPr>
      <w:hyperlink w:anchor="_Toc120610896" w:history="1">
        <w:r w:rsidR="00440441" w:rsidRPr="00BB211C">
          <w:rPr>
            <w:rStyle w:val="Lienhypertexte"/>
            <w:noProof/>
          </w:rPr>
          <w:t>Article 2.2.1.</w:t>
        </w:r>
        <w:r w:rsidR="00440441">
          <w:rPr>
            <w:rFonts w:asciiTheme="minorHAnsi" w:eastAsiaTheme="minorEastAsia" w:hAnsiTheme="minorHAnsi"/>
            <w:noProof/>
            <w:sz w:val="22"/>
            <w:lang w:eastAsia="fr-FR"/>
          </w:rPr>
          <w:tab/>
        </w:r>
        <w:r w:rsidR="00440441" w:rsidRPr="00BB211C">
          <w:rPr>
            <w:rStyle w:val="Lienhypertexte"/>
            <w:noProof/>
          </w:rPr>
          <w:t>Articulation entre vie privée et vie professionnelle</w:t>
        </w:r>
        <w:r w:rsidR="00440441">
          <w:rPr>
            <w:noProof/>
            <w:webHidden/>
          </w:rPr>
          <w:tab/>
        </w:r>
        <w:r w:rsidR="00440441">
          <w:rPr>
            <w:noProof/>
            <w:webHidden/>
          </w:rPr>
          <w:fldChar w:fldCharType="begin"/>
        </w:r>
        <w:r w:rsidR="00440441">
          <w:rPr>
            <w:noProof/>
            <w:webHidden/>
          </w:rPr>
          <w:instrText xml:space="preserve"> PAGEREF _Toc120610896 \h </w:instrText>
        </w:r>
        <w:r w:rsidR="00440441">
          <w:rPr>
            <w:noProof/>
            <w:webHidden/>
          </w:rPr>
        </w:r>
        <w:r w:rsidR="00440441">
          <w:rPr>
            <w:noProof/>
            <w:webHidden/>
          </w:rPr>
          <w:fldChar w:fldCharType="separate"/>
        </w:r>
        <w:r w:rsidR="00572F61">
          <w:rPr>
            <w:noProof/>
            <w:webHidden/>
          </w:rPr>
          <w:t>6</w:t>
        </w:r>
        <w:r w:rsidR="00440441">
          <w:rPr>
            <w:noProof/>
            <w:webHidden/>
          </w:rPr>
          <w:fldChar w:fldCharType="end"/>
        </w:r>
      </w:hyperlink>
    </w:p>
    <w:p w14:paraId="1EA1886A" w14:textId="4079358A" w:rsidP="00440441" w:rsidR="00440441" w:rsidRDefault="0070114E">
      <w:pPr>
        <w:pStyle w:val="TM3"/>
        <w:rPr>
          <w:rFonts w:asciiTheme="minorHAnsi" w:eastAsiaTheme="minorEastAsia" w:hAnsiTheme="minorHAnsi"/>
          <w:noProof/>
          <w:sz w:val="22"/>
          <w:lang w:eastAsia="fr-FR"/>
        </w:rPr>
      </w:pPr>
      <w:hyperlink w:anchor="_Toc120610897" w:history="1">
        <w:r w:rsidR="00440441" w:rsidRPr="00BB211C">
          <w:rPr>
            <w:rStyle w:val="Lienhypertexte"/>
            <w:noProof/>
          </w:rPr>
          <w:t>Article 2.2.2.</w:t>
        </w:r>
        <w:r w:rsidR="00440441">
          <w:rPr>
            <w:rFonts w:asciiTheme="minorHAnsi" w:eastAsiaTheme="minorEastAsia" w:hAnsiTheme="minorHAnsi"/>
            <w:noProof/>
            <w:sz w:val="22"/>
            <w:lang w:eastAsia="fr-FR"/>
          </w:rPr>
          <w:tab/>
        </w:r>
        <w:r w:rsidR="00440441" w:rsidRPr="00BB211C">
          <w:rPr>
            <w:rStyle w:val="Lienhypertexte"/>
            <w:noProof/>
          </w:rPr>
          <w:t>Droit à la déconnexion</w:t>
        </w:r>
        <w:r w:rsidR="00440441">
          <w:rPr>
            <w:noProof/>
            <w:webHidden/>
          </w:rPr>
          <w:tab/>
        </w:r>
        <w:r w:rsidR="00440441">
          <w:rPr>
            <w:noProof/>
            <w:webHidden/>
          </w:rPr>
          <w:fldChar w:fldCharType="begin"/>
        </w:r>
        <w:r w:rsidR="00440441">
          <w:rPr>
            <w:noProof/>
            <w:webHidden/>
          </w:rPr>
          <w:instrText xml:space="preserve"> PAGEREF _Toc120610897 \h </w:instrText>
        </w:r>
        <w:r w:rsidR="00440441">
          <w:rPr>
            <w:noProof/>
            <w:webHidden/>
          </w:rPr>
        </w:r>
        <w:r w:rsidR="00440441">
          <w:rPr>
            <w:noProof/>
            <w:webHidden/>
          </w:rPr>
          <w:fldChar w:fldCharType="separate"/>
        </w:r>
        <w:r w:rsidR="00572F61">
          <w:rPr>
            <w:noProof/>
            <w:webHidden/>
          </w:rPr>
          <w:t>7</w:t>
        </w:r>
        <w:r w:rsidR="00440441">
          <w:rPr>
            <w:noProof/>
            <w:webHidden/>
          </w:rPr>
          <w:fldChar w:fldCharType="end"/>
        </w:r>
      </w:hyperlink>
    </w:p>
    <w:p w14:paraId="35FB0241" w14:textId="18A713C2" w:rsidP="00440441" w:rsidR="00440441" w:rsidRDefault="0070114E">
      <w:pPr>
        <w:pStyle w:val="TM3"/>
        <w:rPr>
          <w:rFonts w:asciiTheme="minorHAnsi" w:eastAsiaTheme="minorEastAsia" w:hAnsiTheme="minorHAnsi"/>
          <w:noProof/>
          <w:sz w:val="22"/>
          <w:lang w:eastAsia="fr-FR"/>
        </w:rPr>
      </w:pPr>
      <w:hyperlink w:anchor="_Toc120610898" w:history="1">
        <w:r w:rsidR="00440441" w:rsidRPr="00BB211C">
          <w:rPr>
            <w:rStyle w:val="Lienhypertexte"/>
            <w:noProof/>
          </w:rPr>
          <w:t>Article 2.2.1.</w:t>
        </w:r>
        <w:r w:rsidR="00440441">
          <w:rPr>
            <w:rFonts w:asciiTheme="minorHAnsi" w:eastAsiaTheme="minorEastAsia" w:hAnsiTheme="minorHAnsi"/>
            <w:noProof/>
            <w:sz w:val="22"/>
            <w:lang w:eastAsia="fr-FR"/>
          </w:rPr>
          <w:tab/>
        </w:r>
        <w:r w:rsidR="00440441" w:rsidRPr="00BB211C">
          <w:rPr>
            <w:rStyle w:val="Lienhypertexte"/>
            <w:noProof/>
          </w:rPr>
          <w:t>Le temps partiel</w:t>
        </w:r>
        <w:r w:rsidR="00440441">
          <w:rPr>
            <w:noProof/>
            <w:webHidden/>
          </w:rPr>
          <w:tab/>
        </w:r>
        <w:r w:rsidR="00440441">
          <w:rPr>
            <w:noProof/>
            <w:webHidden/>
          </w:rPr>
          <w:fldChar w:fldCharType="begin"/>
        </w:r>
        <w:r w:rsidR="00440441">
          <w:rPr>
            <w:noProof/>
            <w:webHidden/>
          </w:rPr>
          <w:instrText xml:space="preserve"> PAGEREF _Toc120610898 \h </w:instrText>
        </w:r>
        <w:r w:rsidR="00440441">
          <w:rPr>
            <w:noProof/>
            <w:webHidden/>
          </w:rPr>
        </w:r>
        <w:r w:rsidR="00440441">
          <w:rPr>
            <w:noProof/>
            <w:webHidden/>
          </w:rPr>
          <w:fldChar w:fldCharType="separate"/>
        </w:r>
        <w:r w:rsidR="00572F61">
          <w:rPr>
            <w:noProof/>
            <w:webHidden/>
          </w:rPr>
          <w:t>7</w:t>
        </w:r>
        <w:r w:rsidR="00440441">
          <w:rPr>
            <w:noProof/>
            <w:webHidden/>
          </w:rPr>
          <w:fldChar w:fldCharType="end"/>
        </w:r>
      </w:hyperlink>
    </w:p>
    <w:p w14:paraId="799256D8" w14:textId="1023E38C" w:rsidP="00440441" w:rsidR="00440441" w:rsidRDefault="0070114E">
      <w:pPr>
        <w:pStyle w:val="TM3"/>
        <w:rPr>
          <w:rFonts w:asciiTheme="minorHAnsi" w:eastAsiaTheme="minorEastAsia" w:hAnsiTheme="minorHAnsi"/>
          <w:noProof/>
          <w:sz w:val="22"/>
          <w:lang w:eastAsia="fr-FR"/>
        </w:rPr>
      </w:pPr>
      <w:hyperlink w:anchor="_Toc120610899" w:history="1">
        <w:r w:rsidR="00440441" w:rsidRPr="00BB211C">
          <w:rPr>
            <w:rStyle w:val="Lienhypertexte"/>
            <w:noProof/>
          </w:rPr>
          <w:t>Article 2.2.1.</w:t>
        </w:r>
        <w:r w:rsidR="00440441">
          <w:rPr>
            <w:rFonts w:asciiTheme="minorHAnsi" w:eastAsiaTheme="minorEastAsia" w:hAnsiTheme="minorHAnsi"/>
            <w:noProof/>
            <w:sz w:val="22"/>
            <w:lang w:eastAsia="fr-FR"/>
          </w:rPr>
          <w:tab/>
        </w:r>
        <w:r w:rsidR="00440441" w:rsidRPr="00BB211C">
          <w:rPr>
            <w:rStyle w:val="Lienhypertexte"/>
            <w:noProof/>
          </w:rPr>
          <w:t>Congé rémunéré post naissance</w:t>
        </w:r>
        <w:r w:rsidR="00440441">
          <w:rPr>
            <w:noProof/>
            <w:webHidden/>
          </w:rPr>
          <w:tab/>
        </w:r>
        <w:r w:rsidR="00440441">
          <w:rPr>
            <w:noProof/>
            <w:webHidden/>
          </w:rPr>
          <w:fldChar w:fldCharType="begin"/>
        </w:r>
        <w:r w:rsidR="00440441">
          <w:rPr>
            <w:noProof/>
            <w:webHidden/>
          </w:rPr>
          <w:instrText xml:space="preserve"> PAGEREF _Toc120610899 \h </w:instrText>
        </w:r>
        <w:r w:rsidR="00440441">
          <w:rPr>
            <w:noProof/>
            <w:webHidden/>
          </w:rPr>
        </w:r>
        <w:r w:rsidR="00440441">
          <w:rPr>
            <w:noProof/>
            <w:webHidden/>
          </w:rPr>
          <w:fldChar w:fldCharType="separate"/>
        </w:r>
        <w:r w:rsidR="00572F61">
          <w:rPr>
            <w:noProof/>
            <w:webHidden/>
          </w:rPr>
          <w:t>7</w:t>
        </w:r>
        <w:r w:rsidR="00440441">
          <w:rPr>
            <w:noProof/>
            <w:webHidden/>
          </w:rPr>
          <w:fldChar w:fldCharType="end"/>
        </w:r>
      </w:hyperlink>
    </w:p>
    <w:p w14:paraId="7E1A977F" w14:textId="7C811656" w:rsidP="00440441" w:rsidR="00440441" w:rsidRDefault="0070114E">
      <w:pPr>
        <w:pStyle w:val="TM2"/>
        <w:rPr>
          <w:rFonts w:asciiTheme="minorHAnsi" w:eastAsiaTheme="minorEastAsia" w:hAnsiTheme="minorHAnsi"/>
          <w:noProof/>
          <w:sz w:val="22"/>
          <w:lang w:eastAsia="fr-FR"/>
        </w:rPr>
      </w:pPr>
      <w:hyperlink w:anchor="_Toc120610900" w:history="1">
        <w:r w:rsidR="00440441" w:rsidRPr="00BB211C">
          <w:rPr>
            <w:rStyle w:val="Lienhypertexte"/>
            <w:noProof/>
          </w:rPr>
          <w:t>Article 2.3.</w:t>
        </w:r>
        <w:r w:rsidR="00440441">
          <w:rPr>
            <w:rFonts w:asciiTheme="minorHAnsi" w:eastAsiaTheme="minorEastAsia" w:hAnsiTheme="minorHAnsi"/>
            <w:noProof/>
            <w:sz w:val="22"/>
            <w:lang w:eastAsia="fr-FR"/>
          </w:rPr>
          <w:tab/>
        </w:r>
        <w:r w:rsidR="00440441" w:rsidRPr="00BB211C">
          <w:rPr>
            <w:rStyle w:val="Lienhypertexte"/>
            <w:noProof/>
          </w:rPr>
          <w:t>Insertion professionnelle et maintien dans l’emploi des travailleurs handicapés</w:t>
        </w:r>
        <w:r w:rsidR="00440441">
          <w:rPr>
            <w:noProof/>
            <w:webHidden/>
          </w:rPr>
          <w:tab/>
        </w:r>
        <w:r w:rsidR="00440441">
          <w:rPr>
            <w:noProof/>
            <w:webHidden/>
          </w:rPr>
          <w:fldChar w:fldCharType="begin"/>
        </w:r>
        <w:r w:rsidR="00440441">
          <w:rPr>
            <w:noProof/>
            <w:webHidden/>
          </w:rPr>
          <w:instrText xml:space="preserve"> PAGEREF _Toc120610900 \h </w:instrText>
        </w:r>
        <w:r w:rsidR="00440441">
          <w:rPr>
            <w:noProof/>
            <w:webHidden/>
          </w:rPr>
        </w:r>
        <w:r w:rsidR="00440441">
          <w:rPr>
            <w:noProof/>
            <w:webHidden/>
          </w:rPr>
          <w:fldChar w:fldCharType="separate"/>
        </w:r>
        <w:r w:rsidR="00572F61">
          <w:rPr>
            <w:noProof/>
            <w:webHidden/>
          </w:rPr>
          <w:t>7</w:t>
        </w:r>
        <w:r w:rsidR="00440441">
          <w:rPr>
            <w:noProof/>
            <w:webHidden/>
          </w:rPr>
          <w:fldChar w:fldCharType="end"/>
        </w:r>
      </w:hyperlink>
    </w:p>
    <w:p w14:paraId="5D32ED3A" w14:textId="41B05CAE" w:rsidP="00440441" w:rsidR="00440441" w:rsidRDefault="0070114E">
      <w:pPr>
        <w:pStyle w:val="TM2"/>
        <w:rPr>
          <w:rFonts w:asciiTheme="minorHAnsi" w:eastAsiaTheme="minorEastAsia" w:hAnsiTheme="minorHAnsi"/>
          <w:noProof/>
          <w:sz w:val="22"/>
          <w:lang w:eastAsia="fr-FR"/>
        </w:rPr>
      </w:pPr>
      <w:hyperlink w:anchor="_Toc120610901" w:history="1">
        <w:r w:rsidR="00440441" w:rsidRPr="00BB211C">
          <w:rPr>
            <w:rStyle w:val="Lienhypertexte"/>
            <w:noProof/>
          </w:rPr>
          <w:t>Article 2.4.</w:t>
        </w:r>
        <w:r w:rsidR="00440441">
          <w:rPr>
            <w:rFonts w:asciiTheme="minorHAnsi" w:eastAsiaTheme="minorEastAsia" w:hAnsiTheme="minorHAnsi"/>
            <w:noProof/>
            <w:sz w:val="22"/>
            <w:lang w:eastAsia="fr-FR"/>
          </w:rPr>
          <w:tab/>
        </w:r>
        <w:r w:rsidR="00440441" w:rsidRPr="00BB211C">
          <w:rPr>
            <w:rStyle w:val="Lienhypertexte"/>
            <w:noProof/>
          </w:rPr>
          <w:t>Protection sociale complémentaire des collaborateurs</w:t>
        </w:r>
        <w:r w:rsidR="00440441">
          <w:rPr>
            <w:noProof/>
            <w:webHidden/>
          </w:rPr>
          <w:tab/>
        </w:r>
        <w:r w:rsidR="00440441">
          <w:rPr>
            <w:noProof/>
            <w:webHidden/>
          </w:rPr>
          <w:fldChar w:fldCharType="begin"/>
        </w:r>
        <w:r w:rsidR="00440441">
          <w:rPr>
            <w:noProof/>
            <w:webHidden/>
          </w:rPr>
          <w:instrText xml:space="preserve"> PAGEREF _Toc120610901 \h </w:instrText>
        </w:r>
        <w:r w:rsidR="00440441">
          <w:rPr>
            <w:noProof/>
            <w:webHidden/>
          </w:rPr>
        </w:r>
        <w:r w:rsidR="00440441">
          <w:rPr>
            <w:noProof/>
            <w:webHidden/>
          </w:rPr>
          <w:fldChar w:fldCharType="separate"/>
        </w:r>
        <w:r w:rsidR="00572F61">
          <w:rPr>
            <w:noProof/>
            <w:webHidden/>
          </w:rPr>
          <w:t>8</w:t>
        </w:r>
        <w:r w:rsidR="00440441">
          <w:rPr>
            <w:noProof/>
            <w:webHidden/>
          </w:rPr>
          <w:fldChar w:fldCharType="end"/>
        </w:r>
      </w:hyperlink>
    </w:p>
    <w:p w14:paraId="05C3C149" w14:textId="28CB3028" w:rsidP="00440441" w:rsidR="00440441" w:rsidRDefault="0070114E">
      <w:pPr>
        <w:pStyle w:val="TM2"/>
        <w:rPr>
          <w:rFonts w:asciiTheme="minorHAnsi" w:eastAsiaTheme="minorEastAsia" w:hAnsiTheme="minorHAnsi"/>
          <w:noProof/>
          <w:sz w:val="22"/>
          <w:lang w:eastAsia="fr-FR"/>
        </w:rPr>
      </w:pPr>
      <w:hyperlink w:anchor="_Toc120610902" w:history="1">
        <w:r w:rsidR="00440441" w:rsidRPr="00BB211C">
          <w:rPr>
            <w:rStyle w:val="Lienhypertexte"/>
            <w:noProof/>
          </w:rPr>
          <w:t>Article 2.5.</w:t>
        </w:r>
        <w:r w:rsidR="00440441">
          <w:rPr>
            <w:rFonts w:asciiTheme="minorHAnsi" w:eastAsiaTheme="minorEastAsia" w:hAnsiTheme="minorHAnsi"/>
            <w:noProof/>
            <w:sz w:val="22"/>
            <w:lang w:eastAsia="fr-FR"/>
          </w:rPr>
          <w:tab/>
        </w:r>
        <w:r w:rsidR="00440441" w:rsidRPr="00BB211C">
          <w:rPr>
            <w:rStyle w:val="Lienhypertexte"/>
            <w:noProof/>
          </w:rPr>
          <w:t>Droit d’expression</w:t>
        </w:r>
        <w:r w:rsidR="00440441">
          <w:rPr>
            <w:noProof/>
            <w:webHidden/>
          </w:rPr>
          <w:tab/>
        </w:r>
        <w:r w:rsidR="00440441">
          <w:rPr>
            <w:noProof/>
            <w:webHidden/>
          </w:rPr>
          <w:fldChar w:fldCharType="begin"/>
        </w:r>
        <w:r w:rsidR="00440441">
          <w:rPr>
            <w:noProof/>
            <w:webHidden/>
          </w:rPr>
          <w:instrText xml:space="preserve"> PAGEREF _Toc120610902 \h </w:instrText>
        </w:r>
        <w:r w:rsidR="00440441">
          <w:rPr>
            <w:noProof/>
            <w:webHidden/>
          </w:rPr>
        </w:r>
        <w:r w:rsidR="00440441">
          <w:rPr>
            <w:noProof/>
            <w:webHidden/>
          </w:rPr>
          <w:fldChar w:fldCharType="separate"/>
        </w:r>
        <w:r w:rsidR="00572F61">
          <w:rPr>
            <w:noProof/>
            <w:webHidden/>
          </w:rPr>
          <w:t>8</w:t>
        </w:r>
        <w:r w:rsidR="00440441">
          <w:rPr>
            <w:noProof/>
            <w:webHidden/>
          </w:rPr>
          <w:fldChar w:fldCharType="end"/>
        </w:r>
      </w:hyperlink>
    </w:p>
    <w:p w14:paraId="41DAC09F" w14:textId="1660FD2C" w:rsidP="00440441" w:rsidR="00440441" w:rsidRDefault="0070114E">
      <w:pPr>
        <w:pStyle w:val="TM2"/>
        <w:rPr>
          <w:rFonts w:asciiTheme="minorHAnsi" w:eastAsiaTheme="minorEastAsia" w:hAnsiTheme="minorHAnsi"/>
          <w:noProof/>
          <w:sz w:val="22"/>
          <w:lang w:eastAsia="fr-FR"/>
        </w:rPr>
      </w:pPr>
      <w:hyperlink w:anchor="_Toc120610903" w:history="1">
        <w:r w:rsidR="00440441" w:rsidRPr="00BB211C">
          <w:rPr>
            <w:rStyle w:val="Lienhypertexte"/>
            <w:noProof/>
          </w:rPr>
          <w:t>Article 2.6.</w:t>
        </w:r>
        <w:r w:rsidR="00440441">
          <w:rPr>
            <w:rFonts w:asciiTheme="minorHAnsi" w:eastAsiaTheme="minorEastAsia" w:hAnsiTheme="minorHAnsi"/>
            <w:noProof/>
            <w:sz w:val="22"/>
            <w:lang w:eastAsia="fr-FR"/>
          </w:rPr>
          <w:tab/>
        </w:r>
        <w:r w:rsidR="00440441" w:rsidRPr="00BB211C">
          <w:rPr>
            <w:rStyle w:val="Lienhypertexte"/>
            <w:noProof/>
          </w:rPr>
          <w:t>Prévention au travail</w:t>
        </w:r>
        <w:r w:rsidR="00440441">
          <w:rPr>
            <w:noProof/>
            <w:webHidden/>
          </w:rPr>
          <w:tab/>
        </w:r>
        <w:r w:rsidR="00440441">
          <w:rPr>
            <w:noProof/>
            <w:webHidden/>
          </w:rPr>
          <w:fldChar w:fldCharType="begin"/>
        </w:r>
        <w:r w:rsidR="00440441">
          <w:rPr>
            <w:noProof/>
            <w:webHidden/>
          </w:rPr>
          <w:instrText xml:space="preserve"> PAGEREF _Toc120610903 \h </w:instrText>
        </w:r>
        <w:r w:rsidR="00440441">
          <w:rPr>
            <w:noProof/>
            <w:webHidden/>
          </w:rPr>
        </w:r>
        <w:r w:rsidR="00440441">
          <w:rPr>
            <w:noProof/>
            <w:webHidden/>
          </w:rPr>
          <w:fldChar w:fldCharType="separate"/>
        </w:r>
        <w:r w:rsidR="00572F61">
          <w:rPr>
            <w:noProof/>
            <w:webHidden/>
          </w:rPr>
          <w:t>8</w:t>
        </w:r>
        <w:r w:rsidR="00440441">
          <w:rPr>
            <w:noProof/>
            <w:webHidden/>
          </w:rPr>
          <w:fldChar w:fldCharType="end"/>
        </w:r>
      </w:hyperlink>
    </w:p>
    <w:p w14:paraId="001C68F6" w14:textId="3CFBF282" w:rsidP="00440441" w:rsidR="00440441" w:rsidRDefault="0070114E">
      <w:pPr>
        <w:pStyle w:val="TM1"/>
        <w:rPr>
          <w:rFonts w:asciiTheme="minorHAnsi" w:eastAsiaTheme="minorEastAsia" w:hAnsiTheme="minorHAnsi"/>
          <w:noProof/>
          <w:sz w:val="22"/>
          <w:lang w:eastAsia="fr-FR"/>
        </w:rPr>
      </w:pPr>
      <w:hyperlink w:anchor="_Toc120610904" w:history="1">
        <w:r w:rsidR="00440441" w:rsidRPr="00BB211C">
          <w:rPr>
            <w:rStyle w:val="Lienhypertexte"/>
            <w:noProof/>
          </w:rPr>
          <w:t>CHAPITRE 3 -</w:t>
        </w:r>
        <w:r w:rsidR="00440441">
          <w:rPr>
            <w:rFonts w:asciiTheme="minorHAnsi" w:eastAsiaTheme="minorEastAsia" w:hAnsiTheme="minorHAnsi"/>
            <w:noProof/>
            <w:sz w:val="22"/>
            <w:lang w:eastAsia="fr-FR"/>
          </w:rPr>
          <w:tab/>
        </w:r>
        <w:r w:rsidR="00440441" w:rsidRPr="00BB211C">
          <w:rPr>
            <w:rStyle w:val="Lienhypertexte"/>
            <w:noProof/>
          </w:rPr>
          <w:t>DISPOSITIONS FINALES</w:t>
        </w:r>
        <w:r w:rsidR="00440441">
          <w:rPr>
            <w:noProof/>
            <w:webHidden/>
          </w:rPr>
          <w:tab/>
        </w:r>
        <w:r w:rsidR="00440441">
          <w:rPr>
            <w:noProof/>
            <w:webHidden/>
          </w:rPr>
          <w:fldChar w:fldCharType="begin"/>
        </w:r>
        <w:r w:rsidR="00440441">
          <w:rPr>
            <w:noProof/>
            <w:webHidden/>
          </w:rPr>
          <w:instrText xml:space="preserve"> PAGEREF _Toc120610904 \h </w:instrText>
        </w:r>
        <w:r w:rsidR="00440441">
          <w:rPr>
            <w:noProof/>
            <w:webHidden/>
          </w:rPr>
        </w:r>
        <w:r w:rsidR="00440441">
          <w:rPr>
            <w:noProof/>
            <w:webHidden/>
          </w:rPr>
          <w:fldChar w:fldCharType="separate"/>
        </w:r>
        <w:r w:rsidR="00572F61">
          <w:rPr>
            <w:noProof/>
            <w:webHidden/>
          </w:rPr>
          <w:t>9</w:t>
        </w:r>
        <w:r w:rsidR="00440441">
          <w:rPr>
            <w:noProof/>
            <w:webHidden/>
          </w:rPr>
          <w:fldChar w:fldCharType="end"/>
        </w:r>
      </w:hyperlink>
    </w:p>
    <w:p w14:paraId="5CF346A2" w14:textId="318B9C02" w:rsidP="00440441" w:rsidR="00440441" w:rsidRDefault="0070114E">
      <w:pPr>
        <w:pStyle w:val="TM2"/>
        <w:rPr>
          <w:rFonts w:asciiTheme="minorHAnsi" w:eastAsiaTheme="minorEastAsia" w:hAnsiTheme="minorHAnsi"/>
          <w:noProof/>
          <w:sz w:val="22"/>
          <w:lang w:eastAsia="fr-FR"/>
        </w:rPr>
      </w:pPr>
      <w:hyperlink w:anchor="_Toc120610905" w:history="1">
        <w:r w:rsidR="00440441" w:rsidRPr="00BB211C">
          <w:rPr>
            <w:rStyle w:val="Lienhypertexte"/>
            <w:noProof/>
          </w:rPr>
          <w:t>Article 3.1.</w:t>
        </w:r>
        <w:r w:rsidR="00440441">
          <w:rPr>
            <w:rFonts w:asciiTheme="minorHAnsi" w:eastAsiaTheme="minorEastAsia" w:hAnsiTheme="minorHAnsi"/>
            <w:noProof/>
            <w:sz w:val="22"/>
            <w:lang w:eastAsia="fr-FR"/>
          </w:rPr>
          <w:tab/>
        </w:r>
        <w:r w:rsidR="00440441" w:rsidRPr="00BB211C">
          <w:rPr>
            <w:rStyle w:val="Lienhypertexte"/>
            <w:noProof/>
          </w:rPr>
          <w:t>Evolution de l’environnement légal ou réglementaire</w:t>
        </w:r>
        <w:r w:rsidR="00440441">
          <w:rPr>
            <w:noProof/>
            <w:webHidden/>
          </w:rPr>
          <w:tab/>
        </w:r>
        <w:r w:rsidR="00440441">
          <w:rPr>
            <w:noProof/>
            <w:webHidden/>
          </w:rPr>
          <w:fldChar w:fldCharType="begin"/>
        </w:r>
        <w:r w:rsidR="00440441">
          <w:rPr>
            <w:noProof/>
            <w:webHidden/>
          </w:rPr>
          <w:instrText xml:space="preserve"> PAGEREF _Toc120610905 \h </w:instrText>
        </w:r>
        <w:r w:rsidR="00440441">
          <w:rPr>
            <w:noProof/>
            <w:webHidden/>
          </w:rPr>
        </w:r>
        <w:r w:rsidR="00440441">
          <w:rPr>
            <w:noProof/>
            <w:webHidden/>
          </w:rPr>
          <w:fldChar w:fldCharType="separate"/>
        </w:r>
        <w:r w:rsidR="00572F61">
          <w:rPr>
            <w:noProof/>
            <w:webHidden/>
          </w:rPr>
          <w:t>9</w:t>
        </w:r>
        <w:r w:rsidR="00440441">
          <w:rPr>
            <w:noProof/>
            <w:webHidden/>
          </w:rPr>
          <w:fldChar w:fldCharType="end"/>
        </w:r>
      </w:hyperlink>
    </w:p>
    <w:p w14:paraId="7BE9A791" w14:textId="3CBBF45A" w:rsidP="00440441" w:rsidR="00440441" w:rsidRDefault="0070114E">
      <w:pPr>
        <w:pStyle w:val="TM2"/>
        <w:rPr>
          <w:rFonts w:asciiTheme="minorHAnsi" w:eastAsiaTheme="minorEastAsia" w:hAnsiTheme="minorHAnsi"/>
          <w:noProof/>
          <w:sz w:val="22"/>
          <w:lang w:eastAsia="fr-FR"/>
        </w:rPr>
      </w:pPr>
      <w:hyperlink w:anchor="_Toc120610906" w:history="1">
        <w:r w:rsidR="00440441" w:rsidRPr="00BB211C">
          <w:rPr>
            <w:rStyle w:val="Lienhypertexte"/>
            <w:noProof/>
          </w:rPr>
          <w:t>Article 3.2.</w:t>
        </w:r>
        <w:r w:rsidR="00440441">
          <w:rPr>
            <w:rFonts w:asciiTheme="minorHAnsi" w:eastAsiaTheme="minorEastAsia" w:hAnsiTheme="minorHAnsi"/>
            <w:noProof/>
            <w:sz w:val="22"/>
            <w:lang w:eastAsia="fr-FR"/>
          </w:rPr>
          <w:tab/>
        </w:r>
        <w:r w:rsidR="00440441" w:rsidRPr="00BB211C">
          <w:rPr>
            <w:rStyle w:val="Lienhypertexte"/>
            <w:noProof/>
          </w:rPr>
          <w:t>Suivi de l’accord</w:t>
        </w:r>
        <w:r w:rsidR="00440441">
          <w:rPr>
            <w:noProof/>
            <w:webHidden/>
          </w:rPr>
          <w:tab/>
        </w:r>
        <w:r w:rsidR="00440441">
          <w:rPr>
            <w:noProof/>
            <w:webHidden/>
          </w:rPr>
          <w:fldChar w:fldCharType="begin"/>
        </w:r>
        <w:r w:rsidR="00440441">
          <w:rPr>
            <w:noProof/>
            <w:webHidden/>
          </w:rPr>
          <w:instrText xml:space="preserve"> PAGEREF _Toc120610906 \h </w:instrText>
        </w:r>
        <w:r w:rsidR="00440441">
          <w:rPr>
            <w:noProof/>
            <w:webHidden/>
          </w:rPr>
        </w:r>
        <w:r w:rsidR="00440441">
          <w:rPr>
            <w:noProof/>
            <w:webHidden/>
          </w:rPr>
          <w:fldChar w:fldCharType="separate"/>
        </w:r>
        <w:r w:rsidR="00572F61">
          <w:rPr>
            <w:noProof/>
            <w:webHidden/>
          </w:rPr>
          <w:t>9</w:t>
        </w:r>
        <w:r w:rsidR="00440441">
          <w:rPr>
            <w:noProof/>
            <w:webHidden/>
          </w:rPr>
          <w:fldChar w:fldCharType="end"/>
        </w:r>
      </w:hyperlink>
    </w:p>
    <w:p w14:paraId="4DCE516C" w14:textId="5AA8F164" w:rsidP="00440441" w:rsidR="00440441" w:rsidRDefault="0070114E">
      <w:pPr>
        <w:pStyle w:val="TM2"/>
        <w:rPr>
          <w:rFonts w:asciiTheme="minorHAnsi" w:eastAsiaTheme="minorEastAsia" w:hAnsiTheme="minorHAnsi"/>
          <w:noProof/>
          <w:sz w:val="22"/>
          <w:lang w:eastAsia="fr-FR"/>
        </w:rPr>
      </w:pPr>
      <w:hyperlink w:anchor="_Toc120610907" w:history="1">
        <w:r w:rsidR="00440441" w:rsidRPr="00BB211C">
          <w:rPr>
            <w:rStyle w:val="Lienhypertexte"/>
            <w:noProof/>
          </w:rPr>
          <w:t>Article 3.3.</w:t>
        </w:r>
        <w:r w:rsidR="00440441">
          <w:rPr>
            <w:rFonts w:asciiTheme="minorHAnsi" w:eastAsiaTheme="minorEastAsia" w:hAnsiTheme="minorHAnsi"/>
            <w:noProof/>
            <w:sz w:val="22"/>
            <w:lang w:eastAsia="fr-FR"/>
          </w:rPr>
          <w:tab/>
        </w:r>
        <w:r w:rsidR="00440441" w:rsidRPr="00BB211C">
          <w:rPr>
            <w:rStyle w:val="Lienhypertexte"/>
            <w:noProof/>
          </w:rPr>
          <w:t>Durée de l’accord</w:t>
        </w:r>
        <w:r w:rsidR="00440441">
          <w:rPr>
            <w:noProof/>
            <w:webHidden/>
          </w:rPr>
          <w:tab/>
        </w:r>
        <w:r w:rsidR="00440441">
          <w:rPr>
            <w:noProof/>
            <w:webHidden/>
          </w:rPr>
          <w:fldChar w:fldCharType="begin"/>
        </w:r>
        <w:r w:rsidR="00440441">
          <w:rPr>
            <w:noProof/>
            <w:webHidden/>
          </w:rPr>
          <w:instrText xml:space="preserve"> PAGEREF _Toc120610907 \h </w:instrText>
        </w:r>
        <w:r w:rsidR="00440441">
          <w:rPr>
            <w:noProof/>
            <w:webHidden/>
          </w:rPr>
        </w:r>
        <w:r w:rsidR="00440441">
          <w:rPr>
            <w:noProof/>
            <w:webHidden/>
          </w:rPr>
          <w:fldChar w:fldCharType="separate"/>
        </w:r>
        <w:r w:rsidR="00572F61">
          <w:rPr>
            <w:noProof/>
            <w:webHidden/>
          </w:rPr>
          <w:t>9</w:t>
        </w:r>
        <w:r w:rsidR="00440441">
          <w:rPr>
            <w:noProof/>
            <w:webHidden/>
          </w:rPr>
          <w:fldChar w:fldCharType="end"/>
        </w:r>
      </w:hyperlink>
    </w:p>
    <w:p w14:paraId="7F167DDD" w14:textId="4D1EBEF3" w:rsidP="00440441" w:rsidR="00440441" w:rsidRDefault="0070114E">
      <w:pPr>
        <w:pStyle w:val="TM2"/>
        <w:rPr>
          <w:rFonts w:asciiTheme="minorHAnsi" w:eastAsiaTheme="minorEastAsia" w:hAnsiTheme="minorHAnsi"/>
          <w:noProof/>
          <w:sz w:val="22"/>
          <w:lang w:eastAsia="fr-FR"/>
        </w:rPr>
      </w:pPr>
      <w:hyperlink w:anchor="_Toc120610908" w:history="1">
        <w:r w:rsidR="00440441" w:rsidRPr="00BB211C">
          <w:rPr>
            <w:rStyle w:val="Lienhypertexte"/>
            <w:noProof/>
          </w:rPr>
          <w:t>Article 3.4.</w:t>
        </w:r>
        <w:r w:rsidR="00440441">
          <w:rPr>
            <w:rFonts w:asciiTheme="minorHAnsi" w:eastAsiaTheme="minorEastAsia" w:hAnsiTheme="minorHAnsi"/>
            <w:noProof/>
            <w:sz w:val="22"/>
            <w:lang w:eastAsia="fr-FR"/>
          </w:rPr>
          <w:tab/>
        </w:r>
        <w:r w:rsidR="00440441" w:rsidRPr="00BB211C">
          <w:rPr>
            <w:rStyle w:val="Lienhypertexte"/>
            <w:noProof/>
          </w:rPr>
          <w:t>Révision de l’accord</w:t>
        </w:r>
        <w:r w:rsidR="00440441">
          <w:rPr>
            <w:noProof/>
            <w:webHidden/>
          </w:rPr>
          <w:tab/>
        </w:r>
        <w:r w:rsidR="00440441">
          <w:rPr>
            <w:noProof/>
            <w:webHidden/>
          </w:rPr>
          <w:fldChar w:fldCharType="begin"/>
        </w:r>
        <w:r w:rsidR="00440441">
          <w:rPr>
            <w:noProof/>
            <w:webHidden/>
          </w:rPr>
          <w:instrText xml:space="preserve"> PAGEREF _Toc120610908 \h </w:instrText>
        </w:r>
        <w:r w:rsidR="00440441">
          <w:rPr>
            <w:noProof/>
            <w:webHidden/>
          </w:rPr>
        </w:r>
        <w:r w:rsidR="00440441">
          <w:rPr>
            <w:noProof/>
            <w:webHidden/>
          </w:rPr>
          <w:fldChar w:fldCharType="separate"/>
        </w:r>
        <w:r w:rsidR="00572F61">
          <w:rPr>
            <w:noProof/>
            <w:webHidden/>
          </w:rPr>
          <w:t>9</w:t>
        </w:r>
        <w:r w:rsidR="00440441">
          <w:rPr>
            <w:noProof/>
            <w:webHidden/>
          </w:rPr>
          <w:fldChar w:fldCharType="end"/>
        </w:r>
      </w:hyperlink>
    </w:p>
    <w:p w14:paraId="1CE77B20" w14:textId="4CA37C24" w:rsidP="00440441" w:rsidR="00440441" w:rsidRDefault="0070114E">
      <w:pPr>
        <w:pStyle w:val="TM2"/>
        <w:rPr>
          <w:rFonts w:asciiTheme="minorHAnsi" w:eastAsiaTheme="minorEastAsia" w:hAnsiTheme="minorHAnsi"/>
          <w:noProof/>
          <w:sz w:val="22"/>
          <w:lang w:eastAsia="fr-FR"/>
        </w:rPr>
      </w:pPr>
      <w:hyperlink w:anchor="_Toc120610909" w:history="1">
        <w:r w:rsidR="00440441" w:rsidRPr="00BB211C">
          <w:rPr>
            <w:rStyle w:val="Lienhypertexte"/>
            <w:noProof/>
          </w:rPr>
          <w:t>Article 3.5.</w:t>
        </w:r>
        <w:r w:rsidR="00440441">
          <w:rPr>
            <w:rFonts w:asciiTheme="minorHAnsi" w:eastAsiaTheme="minorEastAsia" w:hAnsiTheme="minorHAnsi"/>
            <w:noProof/>
            <w:sz w:val="22"/>
            <w:lang w:eastAsia="fr-FR"/>
          </w:rPr>
          <w:tab/>
        </w:r>
        <w:r w:rsidR="00440441" w:rsidRPr="00BB211C">
          <w:rPr>
            <w:rStyle w:val="Lienhypertexte"/>
            <w:noProof/>
          </w:rPr>
          <w:t>Dépôt et publicité de l’accord</w:t>
        </w:r>
        <w:r w:rsidR="00440441">
          <w:rPr>
            <w:noProof/>
            <w:webHidden/>
          </w:rPr>
          <w:tab/>
        </w:r>
        <w:r w:rsidR="00440441">
          <w:rPr>
            <w:noProof/>
            <w:webHidden/>
          </w:rPr>
          <w:fldChar w:fldCharType="begin"/>
        </w:r>
        <w:r w:rsidR="00440441">
          <w:rPr>
            <w:noProof/>
            <w:webHidden/>
          </w:rPr>
          <w:instrText xml:space="preserve"> PAGEREF _Toc120610909 \h </w:instrText>
        </w:r>
        <w:r w:rsidR="00440441">
          <w:rPr>
            <w:noProof/>
            <w:webHidden/>
          </w:rPr>
        </w:r>
        <w:r w:rsidR="00440441">
          <w:rPr>
            <w:noProof/>
            <w:webHidden/>
          </w:rPr>
          <w:fldChar w:fldCharType="separate"/>
        </w:r>
        <w:r w:rsidR="00572F61">
          <w:rPr>
            <w:noProof/>
            <w:webHidden/>
          </w:rPr>
          <w:t>10</w:t>
        </w:r>
        <w:r w:rsidR="00440441">
          <w:rPr>
            <w:noProof/>
            <w:webHidden/>
          </w:rPr>
          <w:fldChar w:fldCharType="end"/>
        </w:r>
      </w:hyperlink>
    </w:p>
    <w:p w14:paraId="3F33F5FE" w14:textId="776B4D91" w:rsidP="000A3D78" w:rsidR="00616EC2" w:rsidRDefault="00692D02">
      <w:pPr>
        <w:pStyle w:val="Sous-titre"/>
      </w:pPr>
      <w:r>
        <w:fldChar w:fldCharType="end"/>
      </w:r>
      <w:bookmarkStart w:id="0" w:name="_Toc119583594"/>
      <w:bookmarkStart w:id="1" w:name="_Toc119585217"/>
    </w:p>
    <w:p w14:paraId="517A0EE6" w14:textId="77777777" w:rsidR="00616EC2" w:rsidRDefault="00616EC2">
      <w:pPr>
        <w:spacing w:line="259" w:lineRule="auto"/>
        <w:jc w:val="left"/>
        <w:rPr>
          <w:rFonts w:asciiTheme="minorHAnsi" w:eastAsiaTheme="minorEastAsia" w:hAnsiTheme="minorHAnsi"/>
          <w:color w:themeColor="text1" w:themeTint="A5" w:val="5A5A5A"/>
          <w:spacing w:val="15"/>
          <w:sz w:val="22"/>
        </w:rPr>
      </w:pPr>
      <w:r>
        <w:br w:type="page"/>
      </w:r>
    </w:p>
    <w:p w14:paraId="495097A7" w14:textId="4770E7D1" w:rsidP="000A3D78" w:rsidR="008B281A" w:rsidRDefault="00F404A1" w:rsidRPr="000A3D78">
      <w:pPr>
        <w:pStyle w:val="Sous-titre"/>
        <w:rPr>
          <w:caps/>
        </w:rPr>
      </w:pPr>
      <w:r w:rsidRPr="000A3D78">
        <w:rPr>
          <w:caps/>
        </w:rPr>
        <w:t>Etant préalablement exposé ce qui suit</w:t>
      </w:r>
      <w:r w:rsidR="00CE1DBA" w:rsidRPr="000A3D78">
        <w:rPr>
          <w:caps/>
        </w:rPr>
        <w:t> :</w:t>
      </w:r>
      <w:bookmarkEnd w:id="0"/>
      <w:bookmarkEnd w:id="1"/>
      <w:r w:rsidR="00CE1DBA" w:rsidRPr="000A3D78">
        <w:rPr>
          <w:caps/>
        </w:rPr>
        <w:t xml:space="preserve"> </w:t>
      </w:r>
    </w:p>
    <w:p w14:paraId="38ADDBB2" w14:textId="6900E9D9" w:rsidP="003C0C44" w:rsidR="00650BEB" w:rsidRDefault="00896879">
      <w:pPr>
        <w:rPr>
          <w:szCs w:val="20"/>
        </w:rPr>
      </w:pPr>
      <w:r>
        <w:t>Conformément aux articles L. 2242-1 et suivants du code du travail</w:t>
      </w:r>
      <w:r w:rsidR="00FE480E">
        <w:t>,</w:t>
      </w:r>
      <w:r>
        <w:t xml:space="preserve"> </w:t>
      </w:r>
      <w:r w:rsidR="004027FD">
        <w:t>l</w:t>
      </w:r>
      <w:r w:rsidR="00C92455">
        <w:t xml:space="preserve">’organisation syndicale représentative </w:t>
      </w:r>
      <w:r w:rsidR="009E79A7">
        <w:t xml:space="preserve">au sein </w:t>
      </w:r>
      <w:r w:rsidR="00E678DB">
        <w:t xml:space="preserve">de CMC MATERIALS </w:t>
      </w:r>
      <w:r w:rsidR="00505CBB">
        <w:t>UPC</w:t>
      </w:r>
      <w:r w:rsidR="009E79A7">
        <w:t xml:space="preserve"> a été invitée </w:t>
      </w:r>
      <w:r w:rsidR="00B12467">
        <w:rPr>
          <w:szCs w:val="20"/>
        </w:rPr>
        <w:t xml:space="preserve">à une première réunion de négociation le </w:t>
      </w:r>
      <w:r w:rsidR="00FA7122">
        <w:rPr>
          <w:szCs w:val="20"/>
        </w:rPr>
        <w:t>21 octobre 2022</w:t>
      </w:r>
      <w:r w:rsidR="00B12467">
        <w:rPr>
          <w:szCs w:val="20"/>
        </w:rPr>
        <w:t xml:space="preserve"> par la Direction dans le cadre </w:t>
      </w:r>
      <w:r w:rsidR="00F126C9">
        <w:rPr>
          <w:szCs w:val="20"/>
        </w:rPr>
        <w:t>des</w:t>
      </w:r>
      <w:r w:rsidR="00B12467">
        <w:rPr>
          <w:szCs w:val="20"/>
        </w:rPr>
        <w:t xml:space="preserve"> </w:t>
      </w:r>
      <w:r w:rsidR="00F126C9">
        <w:rPr>
          <w:szCs w:val="20"/>
        </w:rPr>
        <w:t>N</w:t>
      </w:r>
      <w:r w:rsidR="00B12467">
        <w:rPr>
          <w:szCs w:val="20"/>
        </w:rPr>
        <w:t>égociation</w:t>
      </w:r>
      <w:r w:rsidR="00F126C9">
        <w:rPr>
          <w:szCs w:val="20"/>
        </w:rPr>
        <w:t>s</w:t>
      </w:r>
      <w:r w:rsidR="00B12467">
        <w:rPr>
          <w:szCs w:val="20"/>
        </w:rPr>
        <w:t xml:space="preserve"> </w:t>
      </w:r>
      <w:r w:rsidR="00F126C9">
        <w:rPr>
          <w:szCs w:val="20"/>
        </w:rPr>
        <w:t>O</w:t>
      </w:r>
      <w:r w:rsidR="00B12467">
        <w:rPr>
          <w:szCs w:val="20"/>
        </w:rPr>
        <w:t>bligatoire</w:t>
      </w:r>
      <w:r w:rsidR="00F126C9">
        <w:rPr>
          <w:szCs w:val="20"/>
        </w:rPr>
        <w:t>s (NO)</w:t>
      </w:r>
      <w:r w:rsidR="00B12467">
        <w:rPr>
          <w:szCs w:val="20"/>
        </w:rPr>
        <w:t>.</w:t>
      </w:r>
    </w:p>
    <w:p w14:paraId="6D44D3AF" w14:textId="0560F5E7" w:rsidP="007C48BF" w:rsidR="00BB3D7D" w:rsidRDefault="00650BEB">
      <w:r>
        <w:t>Les Parties se sont</w:t>
      </w:r>
      <w:r w:rsidR="000A3D78">
        <w:t xml:space="preserve"> ensuite</w:t>
      </w:r>
      <w:r>
        <w:t xml:space="preserve"> réunies</w:t>
      </w:r>
      <w:r w:rsidR="006905A8">
        <w:t xml:space="preserve"> aux dates suivantes : </w:t>
      </w:r>
    </w:p>
    <w:p w14:paraId="41C0328E" w14:textId="4174750A" w:rsidP="006905A8" w:rsidR="006905A8" w:rsidRDefault="00FA7122" w:rsidRPr="006905A8">
      <w:pPr>
        <w:pStyle w:val="Paragraphedeliste"/>
        <w:numPr>
          <w:ilvl w:val="0"/>
          <w:numId w:val="2"/>
        </w:numPr>
        <w:rPr>
          <w:rFonts w:ascii="Century Gothic" w:hAnsi="Century Gothic"/>
          <w:sz w:val="20"/>
          <w:szCs w:val="20"/>
        </w:rPr>
      </w:pPr>
      <w:r>
        <w:rPr>
          <w:rFonts w:ascii="Century Gothic" w:hAnsi="Century Gothic"/>
          <w:sz w:val="20"/>
          <w:szCs w:val="20"/>
        </w:rPr>
        <w:t>8 novembre 2022</w:t>
      </w:r>
    </w:p>
    <w:p w14:paraId="2D9896E8" w14:textId="0A6768C6" w:rsidP="006905A8" w:rsidR="006905A8" w:rsidRDefault="00FA7122">
      <w:pPr>
        <w:pStyle w:val="Paragraphedeliste"/>
        <w:numPr>
          <w:ilvl w:val="0"/>
          <w:numId w:val="2"/>
        </w:numPr>
      </w:pPr>
      <w:r>
        <w:rPr>
          <w:rFonts w:ascii="Century Gothic" w:hAnsi="Century Gothic"/>
          <w:sz w:val="20"/>
          <w:szCs w:val="20"/>
        </w:rPr>
        <w:t>21 novembre 2022</w:t>
      </w:r>
    </w:p>
    <w:p w14:paraId="5E6ABC83" w14:textId="77777777" w:rsidP="003C0C44" w:rsidR="000A3D78" w:rsidRDefault="000A3D78"/>
    <w:p w14:paraId="4AD99DE3" w14:textId="73B94EFA" w:rsidP="003C0C44" w:rsidR="00416C90" w:rsidRDefault="000A3D78">
      <w:r>
        <w:t xml:space="preserve">Conformément à la loi, les négociations ont porté sur les thèmes suivants : </w:t>
      </w:r>
    </w:p>
    <w:p w14:paraId="2B31D87D" w14:textId="1FF34897" w:rsidP="000A3D78" w:rsidR="000A3D78" w:rsidRDefault="000A3D78" w:rsidRPr="000A3D78">
      <w:pPr>
        <w:numPr>
          <w:ilvl w:val="0"/>
          <w:numId w:val="20"/>
        </w:numPr>
      </w:pPr>
      <w:r w:rsidRPr="000A3D78">
        <w:t>Rémunération, notamment les salaires effectifs, le temps de travail et le partage de la valeur ajoutée dans l'entreprise</w:t>
      </w:r>
      <w:r>
        <w:t> ;</w:t>
      </w:r>
    </w:p>
    <w:p w14:paraId="324AF832" w14:textId="5214CD2A" w:rsidP="000A3D78" w:rsidR="000A3D78" w:rsidRDefault="000A3D78" w:rsidRPr="000A3D78">
      <w:pPr>
        <w:numPr>
          <w:ilvl w:val="0"/>
          <w:numId w:val="20"/>
        </w:numPr>
      </w:pPr>
      <w:r>
        <w:t>L</w:t>
      </w:r>
      <w:r w:rsidRPr="000A3D78">
        <w:t>a qualité de vie et des conditions de travail</w:t>
      </w:r>
      <w:r>
        <w:t>.</w:t>
      </w:r>
    </w:p>
    <w:p w14:paraId="0EA21821" w14:textId="2181F6E4" w:rsidP="003C0C44" w:rsidR="00726FA2" w:rsidRDefault="000A3D78">
      <w:r>
        <w:t xml:space="preserve">Etant </w:t>
      </w:r>
      <w:r w:rsidR="007928EF">
        <w:t>rappelé qu’en date du 10 juin 2022, les Parti</w:t>
      </w:r>
      <w:r w:rsidR="00505CBB">
        <w:t>e</w:t>
      </w:r>
      <w:r w:rsidR="007928EF">
        <w:t xml:space="preserve">s ont conclu un accord relatif à l’égalité professionnelle entre les femmes et les hommes pour une durée déterminée de 3 ans. </w:t>
      </w:r>
      <w:r w:rsidR="00B4631A">
        <w:t xml:space="preserve">En conséquence, </w:t>
      </w:r>
      <w:r w:rsidR="00505CBB">
        <w:t xml:space="preserve">les thèmes obligatoires </w:t>
      </w:r>
      <w:r w:rsidR="002D28EA">
        <w:t>portant</w:t>
      </w:r>
      <w:r w:rsidR="00CF0EB2">
        <w:t xml:space="preserve"> sur</w:t>
      </w:r>
      <w:r w:rsidR="002B5B7A">
        <w:t xml:space="preserve"> la négociation obligatoire au titre de</w:t>
      </w:r>
      <w:r w:rsidR="00A20233" w:rsidRPr="00A20233">
        <w:t xml:space="preserve"> l'égalité professionnelle entre les femmes et les hommes</w:t>
      </w:r>
      <w:r w:rsidR="005D10A2">
        <w:t xml:space="preserve"> </w:t>
      </w:r>
      <w:r>
        <w:t xml:space="preserve">ne sont pas abordés dans le cadre du </w:t>
      </w:r>
      <w:r w:rsidR="002D28EA">
        <w:t>présent accord</w:t>
      </w:r>
      <w:r w:rsidR="00613674">
        <w:t>.</w:t>
      </w:r>
    </w:p>
    <w:p w14:paraId="37BB8793" w14:textId="7D24FC58" w:rsidR="001F2ABB" w:rsidRDefault="001F2ABB">
      <w:pPr>
        <w:rPr>
          <w:b/>
          <w:bCs/>
        </w:rPr>
      </w:pPr>
    </w:p>
    <w:p w14:paraId="0EF1BF79" w14:textId="181D0D2F" w:rsidP="000A3D78" w:rsidR="00085F86" w:rsidRDefault="00085F86" w:rsidRPr="000A3D78">
      <w:pPr>
        <w:pStyle w:val="Sous-titre"/>
        <w:rPr>
          <w:caps/>
        </w:rPr>
      </w:pPr>
      <w:r w:rsidRPr="000A3D78">
        <w:rPr>
          <w:caps/>
        </w:rPr>
        <w:t>Il a été convenu ce qui suit :</w:t>
      </w:r>
    </w:p>
    <w:p w14:paraId="2D8F81D1" w14:textId="77777777" w:rsidR="00085F86" w:rsidRDefault="00085F86" w:rsidRPr="00B17955">
      <w:pPr>
        <w:rPr>
          <w:b/>
          <w:bCs/>
        </w:rPr>
      </w:pPr>
    </w:p>
    <w:p w14:paraId="5CC0B3D3" w14:textId="1281661E" w:rsidP="000A3D78" w:rsidR="00B17955" w:rsidRDefault="00F873F2" w:rsidRPr="007C7F23">
      <w:pPr>
        <w:pStyle w:val="Titre2"/>
        <w:numPr>
          <w:ilvl w:val="1"/>
          <w:numId w:val="6"/>
        </w:numPr>
        <w:ind w:hanging="431" w:left="715"/>
      </w:pPr>
      <w:bookmarkStart w:id="2" w:name="_Toc120610882"/>
      <w:r w:rsidRPr="007C7F23">
        <w:t>CHAMP D’APPLICATION</w:t>
      </w:r>
      <w:bookmarkEnd w:id="2"/>
    </w:p>
    <w:p w14:paraId="1C25625E" w14:textId="0E5B0912" w:rsidR="00F873F2" w:rsidRDefault="00F873F2" w:rsidRPr="006E56A9">
      <w:pPr>
        <w:rPr>
          <w:szCs w:val="20"/>
        </w:rPr>
      </w:pPr>
      <w:r>
        <w:t xml:space="preserve">Le présent accord est applicable à l’ensemble des </w:t>
      </w:r>
      <w:r w:rsidR="00585A9B">
        <w:t xml:space="preserve">établissements de CMC MATERIALS UPC, </w:t>
      </w:r>
      <w:r w:rsidR="006E56A9">
        <w:t xml:space="preserve">à </w:t>
      </w:r>
      <w:r w:rsidR="006E56A9" w:rsidRPr="006E56A9">
        <w:rPr>
          <w:szCs w:val="20"/>
        </w:rPr>
        <w:t>savoir, au jour des présentes</w:t>
      </w:r>
      <w:r w:rsidR="004F48DF">
        <w:rPr>
          <w:szCs w:val="20"/>
        </w:rPr>
        <w:t> :</w:t>
      </w:r>
    </w:p>
    <w:p w14:paraId="78FD72D6" w14:textId="281B2F4B" w:rsidP="006E56A9" w:rsidR="006E56A9" w:rsidRDefault="006E56A9" w:rsidRPr="006E56A9">
      <w:pPr>
        <w:pStyle w:val="Paragraphedeliste"/>
        <w:numPr>
          <w:ilvl w:val="0"/>
          <w:numId w:val="2"/>
        </w:numPr>
        <w:rPr>
          <w:rFonts w:ascii="Century Gothic" w:hAnsi="Century Gothic"/>
          <w:sz w:val="20"/>
          <w:szCs w:val="20"/>
        </w:rPr>
      </w:pPr>
      <w:r w:rsidRPr="006E56A9">
        <w:rPr>
          <w:rFonts w:ascii="Century Gothic" w:hAnsi="Century Gothic"/>
          <w:sz w:val="20"/>
          <w:szCs w:val="20"/>
        </w:rPr>
        <w:t>l’établissement de Saint Fromond (50320)</w:t>
      </w:r>
      <w:r w:rsidR="000A3D78">
        <w:rPr>
          <w:rFonts w:ascii="Century Gothic" w:hAnsi="Century Gothic"/>
          <w:sz w:val="20"/>
          <w:szCs w:val="20"/>
        </w:rPr>
        <w:t> ;</w:t>
      </w:r>
    </w:p>
    <w:p w14:paraId="1C1C5A98" w14:textId="23122486" w:rsidP="006E56A9" w:rsidR="006E56A9" w:rsidRDefault="006E56A9" w:rsidRPr="006E56A9">
      <w:pPr>
        <w:pStyle w:val="Paragraphedeliste"/>
        <w:numPr>
          <w:ilvl w:val="0"/>
          <w:numId w:val="2"/>
        </w:numPr>
        <w:rPr>
          <w:rFonts w:ascii="Century Gothic" w:hAnsi="Century Gothic"/>
          <w:sz w:val="20"/>
          <w:szCs w:val="20"/>
        </w:rPr>
      </w:pPr>
      <w:r w:rsidRPr="006E56A9">
        <w:rPr>
          <w:rFonts w:ascii="Century Gothic" w:hAnsi="Century Gothic"/>
          <w:sz w:val="20"/>
          <w:szCs w:val="20"/>
        </w:rPr>
        <w:t>l’établissement de Saint Chéron (91530)</w:t>
      </w:r>
      <w:r w:rsidR="000A3D78">
        <w:rPr>
          <w:rFonts w:ascii="Century Gothic" w:hAnsi="Century Gothic"/>
          <w:sz w:val="20"/>
          <w:szCs w:val="20"/>
        </w:rPr>
        <w:t> ;</w:t>
      </w:r>
    </w:p>
    <w:p w14:paraId="0C000769" w14:textId="45AE3150" w:rsidP="007526B0" w:rsidR="006E56A9" w:rsidRDefault="006E56A9">
      <w:pPr>
        <w:pStyle w:val="Paragraphedeliste"/>
        <w:numPr>
          <w:ilvl w:val="0"/>
          <w:numId w:val="2"/>
        </w:numPr>
        <w:rPr>
          <w:rFonts w:ascii="Century Gothic" w:hAnsi="Century Gothic"/>
          <w:sz w:val="20"/>
          <w:szCs w:val="20"/>
        </w:rPr>
      </w:pPr>
      <w:r w:rsidRPr="006E56A9">
        <w:rPr>
          <w:rFonts w:ascii="Century Gothic" w:hAnsi="Century Gothic"/>
          <w:sz w:val="20"/>
          <w:szCs w:val="20"/>
        </w:rPr>
        <w:t xml:space="preserve">l’établissement de Rousset (13790). </w:t>
      </w:r>
    </w:p>
    <w:p w14:paraId="46A6AB3F" w14:textId="77777777" w:rsidP="003B3D16" w:rsidR="003B3D16" w:rsidRDefault="003B3D16" w:rsidRPr="003B3D16">
      <w:pPr>
        <w:rPr>
          <w:szCs w:val="20"/>
        </w:rPr>
      </w:pPr>
    </w:p>
    <w:p w14:paraId="3C53DEE9" w14:textId="09BF5380" w:rsidP="00AA65C5" w:rsidR="002444D3" w:rsidRDefault="002444D3" w:rsidRPr="007C7F23">
      <w:pPr>
        <w:pStyle w:val="Titre1"/>
      </w:pPr>
      <w:bookmarkStart w:id="3" w:name="_Toc120610883"/>
      <w:r w:rsidRPr="007C7F23">
        <w:t xml:space="preserve">MESURES </w:t>
      </w:r>
      <w:r w:rsidR="0072266B">
        <w:t>PORT</w:t>
      </w:r>
      <w:r w:rsidR="008E4D4F">
        <w:t xml:space="preserve">ANT SUR LA </w:t>
      </w:r>
      <w:r w:rsidR="008E4D4F" w:rsidRPr="003B3D16">
        <w:rPr>
          <w:caps/>
        </w:rPr>
        <w:t>REMUN</w:t>
      </w:r>
      <w:r w:rsidR="003B3D16" w:rsidRPr="003B3D16">
        <w:rPr>
          <w:caps/>
        </w:rPr>
        <w:t>ér</w:t>
      </w:r>
      <w:r w:rsidR="008E4D4F" w:rsidRPr="003B3D16">
        <w:rPr>
          <w:caps/>
        </w:rPr>
        <w:t>ATION</w:t>
      </w:r>
      <w:r w:rsidR="008E4D4F">
        <w:t>, LE TEMPS DE TRAVAIL ET LE PARTAGE DE LA VALEUR</w:t>
      </w:r>
      <w:bookmarkEnd w:id="3"/>
    </w:p>
    <w:p w14:paraId="54BB2972" w14:textId="16F300ED" w:rsidP="009A693F" w:rsidR="00BC666E" w:rsidRDefault="001D5E5F">
      <w:pPr>
        <w:pStyle w:val="Titre2"/>
        <w:numPr>
          <w:ilvl w:val="1"/>
          <w:numId w:val="6"/>
        </w:numPr>
        <w:ind w:hanging="431" w:left="715"/>
      </w:pPr>
      <w:bookmarkStart w:id="4" w:name="_Toc120610884"/>
      <w:r>
        <w:t>Les salaires effectifs</w:t>
      </w:r>
      <w:bookmarkEnd w:id="4"/>
      <w:r>
        <w:t xml:space="preserve"> </w:t>
      </w:r>
    </w:p>
    <w:p w14:paraId="0377466A" w14:textId="77777777" w:rsidP="00BB1D64" w:rsidR="005018DD" w:rsidRDefault="005018DD" w:rsidRPr="005018DD">
      <w:pPr>
        <w:spacing w:after="0"/>
      </w:pPr>
    </w:p>
    <w:p w14:paraId="2705065C" w14:textId="2F11D03C" w:rsidP="005636A9" w:rsidR="0005723C" w:rsidRDefault="0005723C">
      <w:pPr>
        <w:pStyle w:val="Titre3"/>
        <w:ind w:hanging="504" w:left="1224"/>
      </w:pPr>
      <w:bookmarkStart w:id="5" w:name="_Toc120610885"/>
      <w:r>
        <w:t>Augmentation générale et collective</w:t>
      </w:r>
      <w:bookmarkEnd w:id="5"/>
      <w:r>
        <w:t xml:space="preserve"> </w:t>
      </w:r>
    </w:p>
    <w:p w14:paraId="135C2253" w14:textId="205009B6" w:rsidP="000C3F28" w:rsidR="000C3F28" w:rsidRDefault="000C3F28">
      <w:r>
        <w:t>Au 1</w:t>
      </w:r>
      <w:r w:rsidRPr="000C3F28">
        <w:rPr>
          <w:vertAlign w:val="superscript"/>
        </w:rPr>
        <w:t>er</w:t>
      </w:r>
      <w:r>
        <w:t xml:space="preserve"> janvier 2023, </w:t>
      </w:r>
      <w:r w:rsidR="00FA7122">
        <w:t>pour les</w:t>
      </w:r>
      <w:r w:rsidR="00FA7122" w:rsidRPr="000C3F28">
        <w:t xml:space="preserve"> salariés présents au </w:t>
      </w:r>
      <w:r w:rsidR="000F678F" w:rsidRPr="002D01E4">
        <w:t>01/01/2023</w:t>
      </w:r>
      <w:r w:rsidR="00FA7122" w:rsidRPr="0019186D">
        <w:t xml:space="preserve"> </w:t>
      </w:r>
      <w:r w:rsidR="00F45495">
        <w:t>l’augmentation générale et collective sera de</w:t>
      </w:r>
      <w:r w:rsidR="00FA7122">
        <w:t> :</w:t>
      </w:r>
    </w:p>
    <w:p w14:paraId="5E6E1451" w14:textId="5B917560" w:rsidP="00FA7122" w:rsidR="00FA7122" w:rsidRDefault="0019186D" w:rsidRPr="007C1778">
      <w:pPr>
        <w:pStyle w:val="Paragraphedeliste"/>
        <w:numPr>
          <w:ilvl w:val="0"/>
          <w:numId w:val="2"/>
        </w:numPr>
        <w:rPr>
          <w:rFonts w:ascii="Century Gothic" w:hAnsi="Century Gothic"/>
          <w:sz w:val="20"/>
          <w:szCs w:val="20"/>
        </w:rPr>
      </w:pPr>
      <w:r>
        <w:rPr>
          <w:rFonts w:ascii="Century Gothic" w:hAnsi="Century Gothic"/>
          <w:sz w:val="20"/>
          <w:szCs w:val="20"/>
        </w:rPr>
        <w:t>2,4</w:t>
      </w:r>
      <w:r w:rsidR="00FA7122">
        <w:rPr>
          <w:rFonts w:ascii="Century Gothic" w:hAnsi="Century Gothic"/>
          <w:sz w:val="20"/>
          <w:szCs w:val="20"/>
        </w:rPr>
        <w:t>%</w:t>
      </w:r>
      <w:r w:rsidR="00FA7122" w:rsidRPr="007C1778">
        <w:rPr>
          <w:rFonts w:ascii="Century Gothic" w:hAnsi="Century Gothic"/>
          <w:sz w:val="20"/>
          <w:szCs w:val="20"/>
        </w:rPr>
        <w:t xml:space="preserve"> pour le collège Ouvriers/Employés,</w:t>
      </w:r>
    </w:p>
    <w:p w14:paraId="400E56B2" w14:textId="58AB5409" w:rsidP="00FA7122" w:rsidR="00FA7122" w:rsidRDefault="0019186D" w:rsidRPr="007C1778">
      <w:pPr>
        <w:pStyle w:val="Paragraphedeliste"/>
        <w:numPr>
          <w:ilvl w:val="0"/>
          <w:numId w:val="2"/>
        </w:numPr>
        <w:rPr>
          <w:rFonts w:ascii="Century Gothic" w:hAnsi="Century Gothic"/>
          <w:sz w:val="20"/>
          <w:szCs w:val="20"/>
        </w:rPr>
      </w:pPr>
      <w:r>
        <w:rPr>
          <w:rFonts w:ascii="Century Gothic" w:hAnsi="Century Gothic"/>
          <w:sz w:val="20"/>
          <w:szCs w:val="20"/>
        </w:rPr>
        <w:t>2</w:t>
      </w:r>
      <w:r w:rsidR="00FA7122">
        <w:rPr>
          <w:rFonts w:ascii="Century Gothic" w:hAnsi="Century Gothic"/>
          <w:sz w:val="20"/>
          <w:szCs w:val="20"/>
        </w:rPr>
        <w:t>%</w:t>
      </w:r>
      <w:r w:rsidR="00FA7122" w:rsidRPr="007C1778">
        <w:rPr>
          <w:rFonts w:ascii="Century Gothic" w:hAnsi="Century Gothic"/>
          <w:sz w:val="20"/>
          <w:szCs w:val="20"/>
        </w:rPr>
        <w:t xml:space="preserve">  pour le collège Techniciens / Agents de maîtrise,</w:t>
      </w:r>
    </w:p>
    <w:p w14:paraId="0120BA64" w14:textId="726F27D3" w:rsidP="00FA7122" w:rsidR="00FA7122" w:rsidRDefault="0019186D">
      <w:pPr>
        <w:pStyle w:val="Paragraphedeliste"/>
        <w:numPr>
          <w:ilvl w:val="0"/>
          <w:numId w:val="2"/>
        </w:numPr>
        <w:rPr>
          <w:rFonts w:ascii="Century Gothic" w:hAnsi="Century Gothic"/>
          <w:sz w:val="20"/>
          <w:szCs w:val="20"/>
        </w:rPr>
      </w:pPr>
      <w:r>
        <w:rPr>
          <w:rFonts w:ascii="Century Gothic" w:hAnsi="Century Gothic"/>
          <w:sz w:val="20"/>
          <w:szCs w:val="20"/>
        </w:rPr>
        <w:t>1</w:t>
      </w:r>
      <w:r w:rsidR="00FA7122">
        <w:rPr>
          <w:rFonts w:ascii="Century Gothic" w:hAnsi="Century Gothic"/>
          <w:sz w:val="20"/>
          <w:szCs w:val="20"/>
        </w:rPr>
        <w:t>%</w:t>
      </w:r>
      <w:r w:rsidR="00FA7122" w:rsidRPr="007C1778">
        <w:rPr>
          <w:rFonts w:ascii="Century Gothic" w:hAnsi="Century Gothic"/>
          <w:sz w:val="20"/>
          <w:szCs w:val="20"/>
        </w:rPr>
        <w:t xml:space="preserve"> pour le collège Ingénieurs et Cadres.</w:t>
      </w:r>
    </w:p>
    <w:p w14:paraId="7D4F188F" w14:textId="2C533A31" w:rsidP="000C3F28" w:rsidR="00FA7122" w:rsidRDefault="00FA7122"/>
    <w:p w14:paraId="0FEC39E7" w14:textId="4B055358" w:rsidP="000C3F28" w:rsidR="000F678F" w:rsidRDefault="000F678F">
      <w:r>
        <w:t xml:space="preserve">Compte-tenu de leur statut particulier et du régime </w:t>
      </w:r>
      <w:r w:rsidR="005D4CDA">
        <w:t xml:space="preserve">spécifique </w:t>
      </w:r>
      <w:r>
        <w:t xml:space="preserve">de leur rémunération en application de l’article D. 622-26 du code du travail et des dispositions conventionnelles de Branche, ces augmentations générales et collectives ne seront pas applicables aux collaborateurs titulaires d’un contrat d’apprentissage. </w:t>
      </w:r>
    </w:p>
    <w:p w14:paraId="5BBB532F" w14:textId="150E5858" w:rsidP="00BB1D64" w:rsidR="001D00DB" w:rsidRDefault="003426FE" w:rsidRPr="002E2FF4">
      <w:pPr>
        <w:pStyle w:val="Titre3"/>
        <w:spacing w:before="160"/>
      </w:pPr>
      <w:bookmarkStart w:id="6" w:name="_Toc120610886"/>
      <w:r w:rsidRPr="009B6C46">
        <w:t>A</w:t>
      </w:r>
      <w:r w:rsidR="00E93BBA" w:rsidRPr="009B6C46">
        <w:t>ugmentations</w:t>
      </w:r>
      <w:r w:rsidR="00E93BBA" w:rsidRPr="002E2FF4">
        <w:t xml:space="preserve"> individuelles</w:t>
      </w:r>
      <w:bookmarkEnd w:id="6"/>
      <w:r w:rsidR="00E93BBA" w:rsidRPr="002E2FF4">
        <w:t xml:space="preserve"> </w:t>
      </w:r>
    </w:p>
    <w:p w14:paraId="3AAFEDDA" w14:textId="0C6AD78C" w:rsidP="007C1778" w:rsidR="007C1778" w:rsidRDefault="00E93BBA" w:rsidRPr="007C1778">
      <w:pPr>
        <w:rPr>
          <w:szCs w:val="20"/>
        </w:rPr>
      </w:pPr>
      <w:r>
        <w:t>Les augmentations</w:t>
      </w:r>
      <w:r w:rsidR="00C91194">
        <w:t xml:space="preserve"> individuelles prendront effet au 01/01/2023 et se feront </w:t>
      </w:r>
      <w:r w:rsidR="00E1263F">
        <w:t>à concurrence de</w:t>
      </w:r>
      <w:r w:rsidR="006B36D0" w:rsidRPr="007C1778">
        <w:rPr>
          <w:szCs w:val="20"/>
        </w:rPr>
        <w:t xml:space="preserve">: </w:t>
      </w:r>
    </w:p>
    <w:p w14:paraId="4AFF28A9" w14:textId="25FC4DDA" w:rsidP="007C1778" w:rsidR="007C1778" w:rsidRDefault="0019186D" w:rsidRPr="007C1778">
      <w:pPr>
        <w:pStyle w:val="Paragraphedeliste"/>
        <w:numPr>
          <w:ilvl w:val="0"/>
          <w:numId w:val="2"/>
        </w:numPr>
        <w:rPr>
          <w:rFonts w:ascii="Century Gothic" w:hAnsi="Century Gothic"/>
          <w:sz w:val="20"/>
          <w:szCs w:val="20"/>
        </w:rPr>
      </w:pPr>
      <w:r>
        <w:rPr>
          <w:rFonts w:ascii="Century Gothic" w:hAnsi="Century Gothic"/>
          <w:sz w:val="20"/>
          <w:szCs w:val="20"/>
        </w:rPr>
        <w:t>1,6</w:t>
      </w:r>
      <w:r w:rsidR="0008235A">
        <w:rPr>
          <w:rFonts w:ascii="Century Gothic" w:hAnsi="Century Gothic"/>
          <w:sz w:val="20"/>
          <w:szCs w:val="20"/>
        </w:rPr>
        <w:t>%</w:t>
      </w:r>
      <w:r w:rsidR="005766A8">
        <w:rPr>
          <w:rFonts w:ascii="Century Gothic" w:hAnsi="Century Gothic"/>
          <w:sz w:val="20"/>
          <w:szCs w:val="20"/>
        </w:rPr>
        <w:t xml:space="preserve"> de la masse salariale</w:t>
      </w:r>
      <w:r w:rsidR="007C1778" w:rsidRPr="007C1778">
        <w:rPr>
          <w:rFonts w:ascii="Century Gothic" w:hAnsi="Century Gothic"/>
          <w:sz w:val="20"/>
          <w:szCs w:val="20"/>
        </w:rPr>
        <w:t xml:space="preserve"> pour le collège Ouvriers/Employés,</w:t>
      </w:r>
    </w:p>
    <w:p w14:paraId="0290779E" w14:textId="46C6A128" w:rsidP="007C1778" w:rsidR="007C1778" w:rsidRDefault="0019186D" w:rsidRPr="007C1778">
      <w:pPr>
        <w:pStyle w:val="Paragraphedeliste"/>
        <w:numPr>
          <w:ilvl w:val="0"/>
          <w:numId w:val="2"/>
        </w:numPr>
        <w:rPr>
          <w:rFonts w:ascii="Century Gothic" w:hAnsi="Century Gothic"/>
          <w:sz w:val="20"/>
          <w:szCs w:val="20"/>
        </w:rPr>
      </w:pPr>
      <w:r>
        <w:rPr>
          <w:rFonts w:ascii="Century Gothic" w:hAnsi="Century Gothic"/>
          <w:sz w:val="20"/>
          <w:szCs w:val="20"/>
        </w:rPr>
        <w:t>2</w:t>
      </w:r>
      <w:r w:rsidR="00E55F8D">
        <w:rPr>
          <w:rFonts w:ascii="Century Gothic" w:hAnsi="Century Gothic"/>
          <w:sz w:val="20"/>
          <w:szCs w:val="20"/>
        </w:rPr>
        <w:t>%</w:t>
      </w:r>
      <w:r w:rsidR="007C1778" w:rsidRPr="007C1778">
        <w:rPr>
          <w:rFonts w:ascii="Century Gothic" w:hAnsi="Century Gothic"/>
          <w:sz w:val="20"/>
          <w:szCs w:val="20"/>
        </w:rPr>
        <w:t xml:space="preserve"> </w:t>
      </w:r>
      <w:r w:rsidR="005766A8">
        <w:rPr>
          <w:rFonts w:ascii="Century Gothic" w:hAnsi="Century Gothic"/>
          <w:sz w:val="20"/>
          <w:szCs w:val="20"/>
        </w:rPr>
        <w:t xml:space="preserve">   de la masse salariale</w:t>
      </w:r>
      <w:r w:rsidR="005766A8" w:rsidRPr="007C1778">
        <w:rPr>
          <w:rFonts w:ascii="Century Gothic" w:hAnsi="Century Gothic"/>
          <w:sz w:val="20"/>
          <w:szCs w:val="20"/>
        </w:rPr>
        <w:t xml:space="preserve"> </w:t>
      </w:r>
      <w:r w:rsidR="007C1778" w:rsidRPr="007C1778">
        <w:rPr>
          <w:rFonts w:ascii="Century Gothic" w:hAnsi="Century Gothic"/>
          <w:sz w:val="20"/>
          <w:szCs w:val="20"/>
        </w:rPr>
        <w:t>pour le collège Techniciens / Agents de maîtrise,</w:t>
      </w:r>
    </w:p>
    <w:p w14:paraId="4B674A5D" w14:textId="41BADEF2" w:rsidP="007C1778" w:rsidR="007C1778" w:rsidRDefault="0019186D">
      <w:pPr>
        <w:pStyle w:val="Paragraphedeliste"/>
        <w:numPr>
          <w:ilvl w:val="0"/>
          <w:numId w:val="2"/>
        </w:numPr>
        <w:rPr>
          <w:rFonts w:ascii="Century Gothic" w:hAnsi="Century Gothic"/>
          <w:sz w:val="20"/>
          <w:szCs w:val="20"/>
        </w:rPr>
      </w:pPr>
      <w:r>
        <w:rPr>
          <w:rFonts w:ascii="Century Gothic" w:hAnsi="Century Gothic"/>
          <w:sz w:val="20"/>
          <w:szCs w:val="20"/>
        </w:rPr>
        <w:t>3</w:t>
      </w:r>
      <w:r w:rsidR="00E55F8D">
        <w:rPr>
          <w:rFonts w:ascii="Century Gothic" w:hAnsi="Century Gothic"/>
          <w:sz w:val="20"/>
          <w:szCs w:val="20"/>
        </w:rPr>
        <w:t>%</w:t>
      </w:r>
      <w:r w:rsidR="007C1778" w:rsidRPr="007C1778">
        <w:rPr>
          <w:rFonts w:ascii="Century Gothic" w:hAnsi="Century Gothic"/>
          <w:sz w:val="20"/>
          <w:szCs w:val="20"/>
        </w:rPr>
        <w:t xml:space="preserve"> </w:t>
      </w:r>
      <w:r w:rsidR="005766A8">
        <w:rPr>
          <w:rFonts w:ascii="Century Gothic" w:hAnsi="Century Gothic"/>
          <w:sz w:val="20"/>
          <w:szCs w:val="20"/>
        </w:rPr>
        <w:t>de la masse salariale</w:t>
      </w:r>
      <w:r w:rsidR="005766A8" w:rsidRPr="007C1778">
        <w:rPr>
          <w:rFonts w:ascii="Century Gothic" w:hAnsi="Century Gothic"/>
          <w:sz w:val="20"/>
          <w:szCs w:val="20"/>
        </w:rPr>
        <w:t xml:space="preserve"> </w:t>
      </w:r>
      <w:r w:rsidR="007C1778" w:rsidRPr="007C1778">
        <w:rPr>
          <w:rFonts w:ascii="Century Gothic" w:hAnsi="Century Gothic"/>
          <w:sz w:val="20"/>
          <w:szCs w:val="20"/>
        </w:rPr>
        <w:t>pour le collège Ingénieurs et Cadres.</w:t>
      </w:r>
    </w:p>
    <w:p w14:paraId="3B4590ED" w14:textId="5E952CFD" w:rsidP="00932FBB" w:rsidR="00E76E2F" w:rsidRDefault="00533521">
      <w:pPr>
        <w:spacing w:before="160"/>
        <w:rPr>
          <w:szCs w:val="20"/>
        </w:rPr>
      </w:pPr>
      <w:r>
        <w:rPr>
          <w:szCs w:val="20"/>
        </w:rPr>
        <w:t>A date, l</w:t>
      </w:r>
      <w:r w:rsidR="00E76E2F" w:rsidRPr="00E76E2F">
        <w:rPr>
          <w:szCs w:val="20"/>
        </w:rPr>
        <w:t>’ensemble des salaires de base bruts en vigueur sont conformes aux minimas conventionnels</w:t>
      </w:r>
      <w:r w:rsidR="006B1A47">
        <w:rPr>
          <w:szCs w:val="20"/>
        </w:rPr>
        <w:t xml:space="preserve"> </w:t>
      </w:r>
      <w:r w:rsidR="00932FBB">
        <w:rPr>
          <w:szCs w:val="20"/>
        </w:rPr>
        <w:t>et</w:t>
      </w:r>
      <w:r w:rsidR="006B1A47">
        <w:rPr>
          <w:szCs w:val="20"/>
        </w:rPr>
        <w:t xml:space="preserve"> à l’accord</w:t>
      </w:r>
      <w:r w:rsidR="00932FBB">
        <w:rPr>
          <w:szCs w:val="20"/>
        </w:rPr>
        <w:t xml:space="preserve"> sur l’aménagement du temps de travail</w:t>
      </w:r>
      <w:r w:rsidR="00E76E2F">
        <w:rPr>
          <w:szCs w:val="20"/>
        </w:rPr>
        <w:t>. U</w:t>
      </w:r>
      <w:r w:rsidR="00E76E2F" w:rsidRPr="00E76E2F">
        <w:rPr>
          <w:szCs w:val="20"/>
        </w:rPr>
        <w:t>ne vérification aura lieu en janvier 202</w:t>
      </w:r>
      <w:r w:rsidR="00E76E2F">
        <w:rPr>
          <w:szCs w:val="20"/>
        </w:rPr>
        <w:t>3</w:t>
      </w:r>
      <w:r w:rsidR="00E76E2F" w:rsidRPr="00E76E2F">
        <w:rPr>
          <w:szCs w:val="20"/>
        </w:rPr>
        <w:t xml:space="preserve"> </w:t>
      </w:r>
      <w:r w:rsidR="00103B86">
        <w:rPr>
          <w:szCs w:val="20"/>
        </w:rPr>
        <w:t>à la suite de</w:t>
      </w:r>
      <w:r w:rsidR="00E76E2F" w:rsidRPr="00E76E2F">
        <w:rPr>
          <w:szCs w:val="20"/>
        </w:rPr>
        <w:t xml:space="preserve"> la revalorisation éventuelle de ces minimas, par accord paritaire. </w:t>
      </w:r>
    </w:p>
    <w:p w14:paraId="357901EC" w14:textId="66C9F8BE" w:rsidP="00E76E2F" w:rsidR="0008235A" w:rsidRDefault="000F678F" w:rsidRPr="000F678F">
      <w:r>
        <w:t xml:space="preserve">Compte-tenu de leur statut particulier et du régime </w:t>
      </w:r>
      <w:r w:rsidR="005D4CDA">
        <w:t xml:space="preserve">spécifique </w:t>
      </w:r>
      <w:r>
        <w:t>de leur rémunération</w:t>
      </w:r>
      <w:r w:rsidR="002D65E7">
        <w:t xml:space="preserve"> </w:t>
      </w:r>
      <w:r>
        <w:t xml:space="preserve">en application de l’article D. 622-26 du code du travail et des dispositions conventionnelles de Branche, ces augmentations individuelles ne seront pas applicables aux collaborateurs titulaires d’un contrat </w:t>
      </w:r>
      <w:r w:rsidR="005E1C92">
        <w:t>d’apprentissage</w:t>
      </w:r>
      <w:r>
        <w:t xml:space="preserve">. </w:t>
      </w:r>
    </w:p>
    <w:p w14:paraId="6BED8B07" w14:textId="6EC832D1" w:rsidP="00616EC2" w:rsidR="0008235A" w:rsidRDefault="008D0967" w:rsidRPr="005B2598">
      <w:pPr>
        <w:pStyle w:val="Titre3"/>
        <w:ind w:hanging="2126" w:left="2835"/>
      </w:pPr>
      <w:bookmarkStart w:id="7" w:name="_Toc120610887"/>
      <w:bookmarkStart w:id="8" w:name="_Hlk120535995"/>
      <w:r w:rsidRPr="005B2598">
        <w:t>Seconde augmentation et e</w:t>
      </w:r>
      <w:r w:rsidR="0008235A" w:rsidRPr="005B2598">
        <w:t>nveloppe globale des augmentations</w:t>
      </w:r>
      <w:bookmarkEnd w:id="7"/>
    </w:p>
    <w:p w14:paraId="100E1266" w14:textId="6E860D1A" w:rsidP="00923886" w:rsidR="00923886" w:rsidRDefault="0008235A" w:rsidRPr="005B2598">
      <w:pPr>
        <w:spacing w:after="0"/>
      </w:pPr>
      <w:bookmarkStart w:id="9" w:name="_Hlk120538579"/>
      <w:r w:rsidRPr="005B2598">
        <w:t>Au 1</w:t>
      </w:r>
      <w:r w:rsidRPr="005B2598">
        <w:rPr>
          <w:vertAlign w:val="superscript"/>
        </w:rPr>
        <w:t>er</w:t>
      </w:r>
      <w:r w:rsidRPr="005B2598">
        <w:t xml:space="preserve"> avril 2023, une seconde augmentation</w:t>
      </w:r>
      <w:r w:rsidR="000F678F" w:rsidRPr="005B2598">
        <w:t xml:space="preserve"> </w:t>
      </w:r>
      <w:r w:rsidRPr="005B2598">
        <w:t>sera effectuée à hauteur de 1/4 de l’augmentation</w:t>
      </w:r>
      <w:r w:rsidR="004B4C33" w:rsidRPr="005B2598">
        <w:t xml:space="preserve"> totale</w:t>
      </w:r>
      <w:r w:rsidRPr="005B2598">
        <w:t xml:space="preserve"> perçue par les salariés éligibles au 1</w:t>
      </w:r>
      <w:r w:rsidRPr="005B2598">
        <w:rPr>
          <w:vertAlign w:val="superscript"/>
        </w:rPr>
        <w:t>er</w:t>
      </w:r>
      <w:r w:rsidRPr="005B2598">
        <w:t xml:space="preserve"> janvier 2023</w:t>
      </w:r>
      <w:r w:rsidR="00923886" w:rsidRPr="005B2598">
        <w:rPr>
          <w:color w:val="000000"/>
        </w:rPr>
        <w:t>, en application des articles 1.1.1 et 1.1.2</w:t>
      </w:r>
      <w:r w:rsidRPr="005B2598">
        <w:t>.</w:t>
      </w:r>
      <w:r w:rsidR="005766A8" w:rsidRPr="005B2598">
        <w:t xml:space="preserve"> </w:t>
      </w:r>
    </w:p>
    <w:p w14:paraId="3378C99F" w14:textId="7C1FD65B" w:rsidP="0008235A" w:rsidR="0008235A" w:rsidRDefault="005B2598" w:rsidRPr="00616EC2">
      <w:pPr>
        <w:rPr>
          <w:strike/>
        </w:rPr>
      </w:pPr>
      <w:r w:rsidRPr="005B2598">
        <w:t>Il est convenu que l</w:t>
      </w:r>
      <w:r w:rsidR="005766A8" w:rsidRPr="005B2598">
        <w:t>es salariés qui aur</w:t>
      </w:r>
      <w:r w:rsidRPr="005B2598">
        <w:t>o</w:t>
      </w:r>
      <w:r w:rsidR="005766A8" w:rsidRPr="005B2598">
        <w:t>nt bénéficié</w:t>
      </w:r>
      <w:r w:rsidR="00923886" w:rsidRPr="005B2598">
        <w:t xml:space="preserve"> d’une</w:t>
      </w:r>
      <w:r w:rsidR="005766A8" w:rsidRPr="005B2598">
        <w:t xml:space="preserve"> revalorisation de salaire</w:t>
      </w:r>
      <w:r w:rsidR="009565AA" w:rsidRPr="005B2598">
        <w:t xml:space="preserve"> </w:t>
      </w:r>
      <w:r w:rsidR="005766A8" w:rsidRPr="005B2598">
        <w:t>au 1</w:t>
      </w:r>
      <w:r w:rsidR="005766A8" w:rsidRPr="005B2598">
        <w:rPr>
          <w:vertAlign w:val="superscript"/>
        </w:rPr>
        <w:t>er</w:t>
      </w:r>
      <w:r w:rsidR="005766A8" w:rsidRPr="005B2598">
        <w:t xml:space="preserve"> janvier 2023</w:t>
      </w:r>
      <w:r w:rsidR="00616EC2" w:rsidRPr="005B2598">
        <w:t xml:space="preserve"> </w:t>
      </w:r>
      <w:r w:rsidR="005766A8" w:rsidRPr="005B2598">
        <w:t xml:space="preserve">ne </w:t>
      </w:r>
      <w:r w:rsidR="00616EC2" w:rsidRPr="005B2598">
        <w:t>seront pas éligibles à cette seconde augmentation.</w:t>
      </w:r>
      <w:bookmarkEnd w:id="9"/>
      <w:r w:rsidR="00616EC2" w:rsidRPr="005B2598">
        <w:t xml:space="preserve"> </w:t>
      </w:r>
    </w:p>
    <w:bookmarkEnd w:id="8"/>
    <w:p w14:paraId="51108617" w14:textId="4F0B6DF0" w:rsidP="0008235A" w:rsidR="0008235A" w:rsidRDefault="0008235A">
      <w:r>
        <w:t>Cela porte l’enveloppe globale des augmentations à 4% au 1</w:t>
      </w:r>
      <w:r w:rsidRPr="0008235A">
        <w:rPr>
          <w:vertAlign w:val="superscript"/>
        </w:rPr>
        <w:t>er</w:t>
      </w:r>
      <w:r>
        <w:t xml:space="preserve"> janvier 2023 +1% au 1</w:t>
      </w:r>
      <w:r w:rsidRPr="0008235A">
        <w:rPr>
          <w:vertAlign w:val="superscript"/>
        </w:rPr>
        <w:t>er</w:t>
      </w:r>
      <w:r>
        <w:t xml:space="preserve"> avril 2023.</w:t>
      </w:r>
    </w:p>
    <w:p w14:paraId="3C4AEA6F" w14:textId="4DA9B283" w:rsidP="00E76E2F" w:rsidR="0099773C" w:rsidRDefault="00DF2420">
      <w:r w:rsidRPr="007C57F2">
        <w:t xml:space="preserve">Les Parties tiennent à </w:t>
      </w:r>
      <w:r w:rsidR="005E58AC" w:rsidRPr="007C57F2">
        <w:t xml:space="preserve">acter </w:t>
      </w:r>
      <w:r w:rsidR="00932FBB" w:rsidRPr="007C57F2">
        <w:t>dès à présent que</w:t>
      </w:r>
      <w:r w:rsidR="007C57F2">
        <w:t>,</w:t>
      </w:r>
      <w:r w:rsidR="005E58AC" w:rsidRPr="007C57F2">
        <w:t xml:space="preserve"> du fait de l’intégration de l’</w:t>
      </w:r>
      <w:r w:rsidR="00142970" w:rsidRPr="007C57F2">
        <w:t>entreprise</w:t>
      </w:r>
      <w:r w:rsidR="005E58AC" w:rsidRPr="007C57F2">
        <w:t xml:space="preserve"> au sein du groupe Entegris</w:t>
      </w:r>
      <w:r w:rsidR="00932FBB" w:rsidRPr="007C57F2">
        <w:t xml:space="preserve">, </w:t>
      </w:r>
      <w:r w:rsidR="007C57F2">
        <w:t xml:space="preserve">et </w:t>
      </w:r>
      <w:r w:rsidR="00932FBB" w:rsidRPr="007C57F2">
        <w:t>sans préjuger de la conclusion des négociations annuelles qui auront lieu pour l’année 2024</w:t>
      </w:r>
      <w:r w:rsidR="000F6087" w:rsidRPr="007C57F2">
        <w:t>, l</w:t>
      </w:r>
      <w:r w:rsidR="0099773C" w:rsidRPr="007C57F2">
        <w:t xml:space="preserve">es augmentations collectives et individuelles 2024 </w:t>
      </w:r>
      <w:r w:rsidR="00142970" w:rsidRPr="007C57F2">
        <w:t xml:space="preserve">seraient </w:t>
      </w:r>
      <w:r w:rsidR="0099773C" w:rsidRPr="007C57F2">
        <w:t xml:space="preserve">appliquées </w:t>
      </w:r>
      <w:r w:rsidR="00142970" w:rsidRPr="007C57F2">
        <w:t xml:space="preserve">à compter du </w:t>
      </w:r>
      <w:r w:rsidR="0099773C" w:rsidRPr="007C57F2">
        <w:t>1</w:t>
      </w:r>
      <w:r w:rsidR="0099773C" w:rsidRPr="007C57F2">
        <w:rPr>
          <w:vertAlign w:val="superscript"/>
        </w:rPr>
        <w:t>er</w:t>
      </w:r>
      <w:r w:rsidR="0099773C" w:rsidRPr="007C57F2">
        <w:t xml:space="preserve"> avril 2024.</w:t>
      </w:r>
    </w:p>
    <w:p w14:paraId="4084ADED" w14:textId="77777777" w:rsidP="00BB1D64" w:rsidR="00142970" w:rsidRDefault="00142970" w:rsidRPr="0099773C">
      <w:pPr>
        <w:spacing w:after="0"/>
      </w:pPr>
    </w:p>
    <w:p w14:paraId="087371DE" w14:textId="27B198E1" w:rsidP="00440441" w:rsidR="006F3C88" w:rsidRDefault="00C941A9" w:rsidRPr="00440441">
      <w:pPr>
        <w:pStyle w:val="Titre2"/>
        <w:ind w:hanging="1341" w:left="1701"/>
      </w:pPr>
      <w:bookmarkStart w:id="10" w:name="_Toc120610888"/>
      <w:r w:rsidRPr="00440441">
        <w:t>Revue des coefficients attachés à chaque poste de métier</w:t>
      </w:r>
      <w:r w:rsidR="003175A8" w:rsidRPr="00440441">
        <w:t xml:space="preserve"> </w:t>
      </w:r>
      <w:r w:rsidR="00933E22" w:rsidRPr="00440441">
        <w:t>et revalorisation</w:t>
      </w:r>
      <w:r w:rsidR="00440441" w:rsidRPr="00440441">
        <w:t>s</w:t>
      </w:r>
      <w:r w:rsidR="00933E22" w:rsidRPr="00440441">
        <w:t xml:space="preserve"> de salaires</w:t>
      </w:r>
      <w:bookmarkEnd w:id="10"/>
    </w:p>
    <w:p w14:paraId="7E5458C7" w14:textId="2328D075" w:rsidP="00DE2C83" w:rsidR="00606164" w:rsidRDefault="00443766">
      <w:r w:rsidRPr="00DE2C83">
        <w:t xml:space="preserve">La Direction finalisera, d’ici le </w:t>
      </w:r>
      <w:r w:rsidR="005766A8">
        <w:t>31 janvier</w:t>
      </w:r>
      <w:r w:rsidR="00DE2C83">
        <w:t xml:space="preserve"> 2023</w:t>
      </w:r>
      <w:r w:rsidRPr="00DE2C83">
        <w:t xml:space="preserve"> au plus tard, la revue des postes et coefficients afin de s’assurer des bonnes correspondances des classifications émanant de l</w:t>
      </w:r>
      <w:r w:rsidR="00606164">
        <w:t xml:space="preserve">a Convention collective </w:t>
      </w:r>
      <w:r w:rsidR="009274B0">
        <w:t xml:space="preserve">nationale </w:t>
      </w:r>
      <w:r w:rsidRPr="00DE2C83">
        <w:t xml:space="preserve">Industrie Chimique et de proposer aux salariés des possibilités d’évolution au cours de leur carrière. </w:t>
      </w:r>
    </w:p>
    <w:p w14:paraId="01078C71" w14:textId="4906E858" w:rsidP="00DE2C83" w:rsidR="00443766" w:rsidRDefault="00443766">
      <w:r w:rsidRPr="00DE2C83">
        <w:t>Les promotions et changements de classifications de chaque exercice sont contenues au sein de la BDESE.</w:t>
      </w:r>
    </w:p>
    <w:p w14:paraId="290C655E" w14:textId="29641526" w:rsidP="00DE2C83" w:rsidR="00933E22" w:rsidRDefault="00933E22" w:rsidRPr="00440441">
      <w:r w:rsidRPr="00440441">
        <w:t xml:space="preserve">La Direction a également prévu </w:t>
      </w:r>
      <w:r w:rsidR="00440441" w:rsidRPr="00440441">
        <w:t>d’effectuer au 1</w:t>
      </w:r>
      <w:r w:rsidR="00440441" w:rsidRPr="00440441">
        <w:rPr>
          <w:vertAlign w:val="superscript"/>
        </w:rPr>
        <w:t>er</w:t>
      </w:r>
      <w:r w:rsidR="00440441" w:rsidRPr="00440441">
        <w:t xml:space="preserve"> janvier 2023 </w:t>
      </w:r>
      <w:r w:rsidRPr="00440441">
        <w:t xml:space="preserve">des revalorisations de salaire, afin </w:t>
      </w:r>
      <w:r w:rsidR="00580B59" w:rsidRPr="00440441">
        <w:t>de tendre vers plus</w:t>
      </w:r>
      <w:r w:rsidRPr="00440441">
        <w:t xml:space="preserve"> </w:t>
      </w:r>
      <w:r w:rsidR="00580B59" w:rsidRPr="00440441">
        <w:t>d</w:t>
      </w:r>
      <w:r w:rsidRPr="00440441">
        <w:t xml:space="preserve">’équité entre les salariés et </w:t>
      </w:r>
      <w:r w:rsidR="00580B59" w:rsidRPr="00440441">
        <w:t>d</w:t>
      </w:r>
      <w:r w:rsidRPr="00440441">
        <w:t>’adéquation entre salaire et compétences utilisées par les salariés.</w:t>
      </w:r>
    </w:p>
    <w:p w14:paraId="171E3869" w14:textId="0D1E118E" w:rsidP="00DE2C83" w:rsidR="00933E22" w:rsidRDefault="00933E22">
      <w:r w:rsidRPr="00440441">
        <w:t>L’ensemble des promotions et revalorisations de salaires au titre de 2023 interviendront à concurrence de 0,8% de la masse salariale.</w:t>
      </w:r>
    </w:p>
    <w:p w14:paraId="58487658" w14:textId="77777777" w:rsidP="00BB1D64" w:rsidR="005018DD" w:rsidRDefault="005018DD" w:rsidRPr="00DE2C83">
      <w:pPr>
        <w:spacing w:after="0"/>
        <w:rPr>
          <w:b/>
        </w:rPr>
      </w:pPr>
    </w:p>
    <w:p w14:paraId="0600648E" w14:textId="29FDEFED" w:rsidP="009B6C46" w:rsidR="00443766" w:rsidRDefault="00443766" w:rsidRPr="00C941A9">
      <w:pPr>
        <w:pStyle w:val="Titre2"/>
      </w:pPr>
      <w:bookmarkStart w:id="11" w:name="_Toc120610889"/>
      <w:r>
        <w:t xml:space="preserve">Mise en place de la prime de partage de la valeur </w:t>
      </w:r>
      <w:r w:rsidR="00103B86">
        <w:t>(PPV)</w:t>
      </w:r>
      <w:bookmarkEnd w:id="11"/>
    </w:p>
    <w:p w14:paraId="15F7D140" w14:textId="3BB9BA3D" w:rsidR="00A247EF" w:rsidRDefault="00A247EF">
      <w:r>
        <w:t xml:space="preserve">Par décision unilatérale en date du </w:t>
      </w:r>
      <w:r w:rsidR="005766A8">
        <w:t>17 novembre 2022,</w:t>
      </w:r>
      <w:r>
        <w:t xml:space="preserve"> CMC MATERIALS UPC a fait le choix de verser une prime de partage de la valeur (PPV)</w:t>
      </w:r>
      <w:r w:rsidR="002656B5">
        <w:t xml:space="preserve"> </w:t>
      </w:r>
      <w:r w:rsidR="005766A8">
        <w:t xml:space="preserve">d’un montant de 250€ </w:t>
      </w:r>
      <w:r w:rsidR="00BE7A5E">
        <w:t>au bénéfice de certains salariés</w:t>
      </w:r>
      <w:r w:rsidR="004C5BC9">
        <w:t xml:space="preserve"> sur l’année 2022</w:t>
      </w:r>
      <w:r>
        <w:t xml:space="preserve">, en application des dispositions de l’article 1 de la loi n°2022-1158 du 16 août 2022 portant mesures d’urgence pour la protection du pouvoir d’achat. </w:t>
      </w:r>
    </w:p>
    <w:p w14:paraId="2ECB1377" w14:textId="7BF42F68" w:rsidR="00F0273D" w:rsidRDefault="00034FAF">
      <w:r>
        <w:t>Dans le prolongement de cette décision unilatérale, les Parties sont convenues du principe du versement d’une nouvelle Prime de Partage de la Valeur, qui fera l’objet</w:t>
      </w:r>
      <w:r w:rsidR="008458CD">
        <w:t xml:space="preserve"> soit</w:t>
      </w:r>
      <w:r>
        <w:t xml:space="preserve"> d’un accord collectif conclu ultérieurement, </w:t>
      </w:r>
      <w:r w:rsidR="008458CD">
        <w:t xml:space="preserve">soit </w:t>
      </w:r>
      <w:r>
        <w:t>d’une décision unilatérale de l’employeur</w:t>
      </w:r>
      <w:r w:rsidR="00EF1AF8">
        <w:t>.</w:t>
      </w:r>
      <w:r>
        <w:t xml:space="preserve"> </w:t>
      </w:r>
      <w:r w:rsidR="00EF1AF8">
        <w:t>L’enveloppe de cette prime correspondra à un</w:t>
      </w:r>
      <w:r>
        <w:t xml:space="preserve"> montant</w:t>
      </w:r>
      <w:r w:rsidR="00EF1AF8">
        <w:t xml:space="preserve"> de</w:t>
      </w:r>
      <w:r>
        <w:t xml:space="preserve"> </w:t>
      </w:r>
      <w:r w:rsidR="007C10B9">
        <w:t>8</w:t>
      </w:r>
      <w:r>
        <w:t>00€ par salarié</w:t>
      </w:r>
      <w:r w:rsidR="00C72B0D">
        <w:t>.</w:t>
      </w:r>
      <w:r w:rsidR="001A5CD4">
        <w:t xml:space="preserve"> </w:t>
      </w:r>
      <w:r w:rsidR="00C72B0D">
        <w:t>L</w:t>
      </w:r>
      <w:r w:rsidR="001A5CD4">
        <w:t>e montant</w:t>
      </w:r>
      <w:r w:rsidR="00EF1AF8">
        <w:t xml:space="preserve"> exact par salarié sera confirmé</w:t>
      </w:r>
      <w:r w:rsidR="001A5CD4">
        <w:t xml:space="preserve"> en fonction des critères de modulation qui ser</w:t>
      </w:r>
      <w:r w:rsidR="00C72B0D">
        <w:t>o</w:t>
      </w:r>
      <w:r w:rsidR="001A5CD4">
        <w:t>nt retenus, conformément à la loi</w:t>
      </w:r>
      <w:r>
        <w:t>.</w:t>
      </w:r>
      <w:r w:rsidR="00F0273D">
        <w:t xml:space="preserve"> </w:t>
      </w:r>
      <w:r w:rsidR="00F0273D" w:rsidRPr="00440441">
        <w:t>Cela représentera</w:t>
      </w:r>
      <w:r w:rsidR="00933E22" w:rsidRPr="00440441">
        <w:t xml:space="preserve">it </w:t>
      </w:r>
      <w:r w:rsidR="005B2598" w:rsidRPr="00440441">
        <w:t xml:space="preserve">un montant de l’ordre de </w:t>
      </w:r>
      <w:r w:rsidR="00933E22" w:rsidRPr="00440441">
        <w:t>2,</w:t>
      </w:r>
      <w:r w:rsidR="007C10B9">
        <w:t>4</w:t>
      </w:r>
      <w:r w:rsidR="00933E22" w:rsidRPr="00440441">
        <w:t>% de la masse salariale brute.</w:t>
      </w:r>
    </w:p>
    <w:p w14:paraId="1C34E98A" w14:textId="34F0112D" w:rsidP="00BB1D64" w:rsidR="00034FAF" w:rsidRDefault="00034FAF">
      <w:pPr>
        <w:spacing w:after="0"/>
      </w:pPr>
    </w:p>
    <w:p w14:paraId="387A6C53" w14:textId="0503E938" w:rsidP="009B6C46" w:rsidR="00C02E83" w:rsidRDefault="00C02E83">
      <w:pPr>
        <w:pStyle w:val="Titre2"/>
      </w:pPr>
      <w:bookmarkStart w:id="12" w:name="_Toc120610890"/>
      <w:r>
        <w:t xml:space="preserve">La durée </w:t>
      </w:r>
      <w:r w:rsidRPr="009B6C46">
        <w:t>effective</w:t>
      </w:r>
      <w:r>
        <w:t xml:space="preserve"> et organisation du temps de travail</w:t>
      </w:r>
      <w:bookmarkEnd w:id="12"/>
    </w:p>
    <w:p w14:paraId="5904191C" w14:textId="77777777" w:rsidP="00BB1D64" w:rsidR="00BB1D64" w:rsidRDefault="00BB1D64">
      <w:pPr>
        <w:spacing w:after="0"/>
      </w:pPr>
      <w:bookmarkStart w:id="13" w:name="_Toc120610891"/>
    </w:p>
    <w:p w14:paraId="021BD290" w14:textId="0224F421" w:rsidP="009B6C46" w:rsidR="00C02E83" w:rsidRDefault="00C02E83">
      <w:pPr>
        <w:pStyle w:val="Titre3"/>
      </w:pPr>
      <w:r>
        <w:t xml:space="preserve">La </w:t>
      </w:r>
      <w:r w:rsidRPr="009B6C46">
        <w:t>journée</w:t>
      </w:r>
      <w:r>
        <w:t xml:space="preserve"> de la solidarité</w:t>
      </w:r>
      <w:bookmarkEnd w:id="13"/>
      <w:r>
        <w:t xml:space="preserve"> </w:t>
      </w:r>
    </w:p>
    <w:p w14:paraId="5EB63468" w14:textId="7AC46871" w:rsidP="00C02E83" w:rsidR="00C02E83" w:rsidRDefault="004A5C20">
      <w:r>
        <w:t xml:space="preserve">En 2023, la journée travaillée de solidarité est fixée au </w:t>
      </w:r>
      <w:r w:rsidR="00364C1C">
        <w:t>29 mai 2023</w:t>
      </w:r>
      <w:r>
        <w:t xml:space="preserve">. Les demandes </w:t>
      </w:r>
      <w:r w:rsidR="00555620">
        <w:t>de congés payés et/ou RTT sur cette journée</w:t>
      </w:r>
      <w:r w:rsidR="004B4C33">
        <w:t xml:space="preserve"> </w:t>
      </w:r>
      <w:r w:rsidR="00555620">
        <w:t xml:space="preserve">sont gérées selon les règles de processus internes en vigueur. </w:t>
      </w:r>
    </w:p>
    <w:p w14:paraId="58E85F42" w14:textId="77777777" w:rsidP="00BB1D64" w:rsidR="00BB1D64" w:rsidRDefault="00BB1D64">
      <w:pPr>
        <w:spacing w:after="0"/>
      </w:pPr>
      <w:bookmarkStart w:id="14" w:name="_Toc120610892"/>
    </w:p>
    <w:p w14:paraId="6D552D51" w14:textId="3BCFE79C" w:rsidP="009B6C46" w:rsidR="00FE639D" w:rsidRDefault="00FE639D">
      <w:pPr>
        <w:pStyle w:val="Titre3"/>
      </w:pPr>
      <w:r w:rsidRPr="009B6C46">
        <w:t>La</w:t>
      </w:r>
      <w:r>
        <w:t xml:space="preserve"> journée de repos pour anniversaire</w:t>
      </w:r>
      <w:bookmarkEnd w:id="14"/>
    </w:p>
    <w:p w14:paraId="44A8C71B" w14:textId="13B19D16" w:rsidP="00CD6B11" w:rsidR="00CD6B11" w:rsidRDefault="00CD6B11">
      <w:r>
        <w:t>Chaque salarié en contrat à durée indéterminée, après période d’essai concluante, se voit attribuer une journée de repos le mois de son anniversaire selon les modalités ci-après</w:t>
      </w:r>
      <w:r w:rsidR="005018DD">
        <w:t> :</w:t>
      </w:r>
    </w:p>
    <w:p w14:paraId="00B2CDCB" w14:textId="0A7AFD4C" w:rsidP="001A043E" w:rsidR="00CD6B11" w:rsidRDefault="00CD6B11" w:rsidRPr="001A043E">
      <w:pPr>
        <w:pStyle w:val="Paragraphedeliste"/>
        <w:numPr>
          <w:ilvl w:val="0"/>
          <w:numId w:val="14"/>
        </w:numPr>
        <w:spacing w:after="120"/>
        <w:ind w:hanging="357" w:left="714"/>
        <w:jc w:val="both"/>
        <w:rPr>
          <w:rFonts w:ascii="Century Gothic" w:hAnsi="Century Gothic"/>
          <w:sz w:val="20"/>
          <w:szCs w:val="20"/>
        </w:rPr>
      </w:pPr>
      <w:r w:rsidRPr="001A043E">
        <w:rPr>
          <w:rFonts w:ascii="Century Gothic" w:hAnsi="Century Gothic"/>
          <w:sz w:val="20"/>
          <w:szCs w:val="20"/>
        </w:rPr>
        <w:t>à prendre impérativement au plus tôt le 1</w:t>
      </w:r>
      <w:r w:rsidR="00A741F8" w:rsidRPr="00A741F8">
        <w:rPr>
          <w:rFonts w:ascii="Century Gothic" w:hAnsi="Century Gothic"/>
          <w:sz w:val="20"/>
          <w:szCs w:val="20"/>
          <w:vertAlign w:val="superscript"/>
        </w:rPr>
        <w:t>er</w:t>
      </w:r>
      <w:r w:rsidR="00A741F8">
        <w:rPr>
          <w:rFonts w:ascii="Century Gothic" w:hAnsi="Century Gothic"/>
          <w:sz w:val="20"/>
          <w:szCs w:val="20"/>
        </w:rPr>
        <w:t xml:space="preserve"> </w:t>
      </w:r>
      <w:r w:rsidRPr="001A043E">
        <w:rPr>
          <w:rFonts w:ascii="Century Gothic" w:hAnsi="Century Gothic"/>
          <w:sz w:val="20"/>
          <w:szCs w:val="20"/>
        </w:rPr>
        <w:t xml:space="preserve">jour, au plus tard le dernier jour de son mois d’anniversaire, </w:t>
      </w:r>
    </w:p>
    <w:p w14:paraId="0A47D90D" w14:textId="5FE7BF73" w:rsidP="001A043E" w:rsidR="00CD6B11" w:rsidRDefault="00CD6B11" w:rsidRPr="001A043E">
      <w:pPr>
        <w:pStyle w:val="Paragraphedeliste"/>
        <w:numPr>
          <w:ilvl w:val="0"/>
          <w:numId w:val="14"/>
        </w:numPr>
        <w:spacing w:after="120"/>
        <w:ind w:hanging="357" w:left="714"/>
        <w:jc w:val="both"/>
        <w:rPr>
          <w:rFonts w:ascii="Century Gothic" w:hAnsi="Century Gothic"/>
          <w:sz w:val="20"/>
          <w:szCs w:val="20"/>
        </w:rPr>
      </w:pPr>
      <w:r w:rsidRPr="001A043E">
        <w:rPr>
          <w:rFonts w:ascii="Century Gothic" w:hAnsi="Century Gothic"/>
          <w:sz w:val="20"/>
          <w:szCs w:val="20"/>
        </w:rPr>
        <w:t>à prendre impérativement le mois de sa reprise de travail si exclusivement arrêt maladie ou accident du travail tout au long de son mois d’anniversaire, ou survenance d’un arrêt maladie ou accident du travail empêchant la prise sur le mois d’anniversaire,</w:t>
      </w:r>
    </w:p>
    <w:p w14:paraId="65A6A714" w14:textId="60E08A2C" w:rsidP="001A043E" w:rsidR="00CD6B11" w:rsidRDefault="00CD6B11" w:rsidRPr="001A043E">
      <w:pPr>
        <w:pStyle w:val="Paragraphedeliste"/>
        <w:numPr>
          <w:ilvl w:val="0"/>
          <w:numId w:val="14"/>
        </w:numPr>
        <w:spacing w:after="120"/>
        <w:ind w:hanging="357" w:left="714"/>
        <w:jc w:val="both"/>
        <w:rPr>
          <w:rFonts w:ascii="Century Gothic" w:hAnsi="Century Gothic"/>
          <w:sz w:val="20"/>
          <w:szCs w:val="20"/>
        </w:rPr>
      </w:pPr>
      <w:r w:rsidRPr="001A043E">
        <w:rPr>
          <w:rFonts w:ascii="Century Gothic" w:hAnsi="Century Gothic"/>
          <w:sz w:val="20"/>
          <w:szCs w:val="20"/>
        </w:rPr>
        <w:t>à prendre impérativement le mois de sa reprise de travail après congé maternité ou paternité,</w:t>
      </w:r>
    </w:p>
    <w:p w14:paraId="56668005" w14:textId="77777777" w:rsidP="001A043E" w:rsidR="00CD6B11" w:rsidRDefault="00CD6B11" w:rsidRPr="001A043E">
      <w:pPr>
        <w:pStyle w:val="Paragraphedeliste"/>
        <w:numPr>
          <w:ilvl w:val="0"/>
          <w:numId w:val="14"/>
        </w:numPr>
        <w:spacing w:after="120"/>
        <w:ind w:hanging="357" w:left="714"/>
        <w:jc w:val="both"/>
        <w:rPr>
          <w:rFonts w:ascii="Century Gothic" w:hAnsi="Century Gothic"/>
          <w:sz w:val="20"/>
          <w:szCs w:val="20"/>
        </w:rPr>
      </w:pPr>
      <w:r w:rsidRPr="001A043E">
        <w:rPr>
          <w:rFonts w:ascii="Century Gothic" w:hAnsi="Century Gothic"/>
          <w:sz w:val="20"/>
          <w:szCs w:val="20"/>
        </w:rPr>
        <w:t>attribution d’une journée y compris pour les salariés à temps partiel supérieur à un mi-temps,</w:t>
      </w:r>
    </w:p>
    <w:p w14:paraId="31506854" w14:textId="77777777" w:rsidP="001A043E" w:rsidR="00CD6B11" w:rsidRDefault="00CD6B11" w:rsidRPr="001A043E">
      <w:pPr>
        <w:pStyle w:val="Paragraphedeliste"/>
        <w:numPr>
          <w:ilvl w:val="0"/>
          <w:numId w:val="14"/>
        </w:numPr>
        <w:spacing w:after="120"/>
        <w:ind w:hanging="357" w:left="714"/>
        <w:jc w:val="both"/>
        <w:rPr>
          <w:rFonts w:ascii="Century Gothic" w:hAnsi="Century Gothic"/>
          <w:sz w:val="20"/>
          <w:szCs w:val="20"/>
        </w:rPr>
      </w:pPr>
      <w:r w:rsidRPr="001A043E">
        <w:rPr>
          <w:rFonts w:ascii="Century Gothic" w:hAnsi="Century Gothic"/>
          <w:sz w:val="20"/>
          <w:szCs w:val="20"/>
        </w:rPr>
        <w:t>le jour d’anniversaire peut être accolé aux limites mensuelles de prise de RTT (2 jours) et congés payés (mai),</w:t>
      </w:r>
    </w:p>
    <w:p w14:paraId="5F1FDBC5" w14:textId="77777777" w:rsidP="001A043E" w:rsidR="00CD6B11" w:rsidRDefault="00CD6B11" w:rsidRPr="001A043E">
      <w:pPr>
        <w:pStyle w:val="Paragraphedeliste"/>
        <w:numPr>
          <w:ilvl w:val="0"/>
          <w:numId w:val="14"/>
        </w:numPr>
        <w:spacing w:after="120"/>
        <w:ind w:hanging="357" w:left="714"/>
        <w:jc w:val="both"/>
        <w:rPr>
          <w:rFonts w:ascii="Century Gothic" w:hAnsi="Century Gothic"/>
          <w:sz w:val="20"/>
          <w:szCs w:val="20"/>
        </w:rPr>
      </w:pPr>
      <w:r w:rsidRPr="001A043E">
        <w:rPr>
          <w:rFonts w:ascii="Century Gothic" w:hAnsi="Century Gothic"/>
          <w:sz w:val="20"/>
          <w:szCs w:val="20"/>
        </w:rPr>
        <w:t>le jour d’anniversaire ne peut être pris qu’en journée entière,</w:t>
      </w:r>
    </w:p>
    <w:p w14:paraId="31F50EA9" w14:textId="730854DB" w:rsidP="001A043E" w:rsidR="00FE639D" w:rsidRDefault="00CD6B11">
      <w:pPr>
        <w:pStyle w:val="Paragraphedeliste"/>
        <w:numPr>
          <w:ilvl w:val="0"/>
          <w:numId w:val="14"/>
        </w:numPr>
        <w:spacing w:after="120"/>
        <w:ind w:hanging="357" w:left="714"/>
        <w:jc w:val="both"/>
        <w:rPr>
          <w:rFonts w:ascii="Century Gothic" w:hAnsi="Century Gothic"/>
          <w:sz w:val="20"/>
          <w:szCs w:val="20"/>
        </w:rPr>
      </w:pPr>
      <w:r w:rsidRPr="001A043E">
        <w:rPr>
          <w:rFonts w:ascii="Century Gothic" w:hAnsi="Century Gothic"/>
          <w:sz w:val="20"/>
          <w:szCs w:val="20"/>
        </w:rPr>
        <w:t>une journée d’anniversaire non prise ne peut en aucun cas entraîner paiement et indemnité compensatrice.</w:t>
      </w:r>
    </w:p>
    <w:p w14:paraId="21AC4BF3" w14:textId="0F1C1F81" w:rsidP="00EC43A9" w:rsidR="00EC43A9" w:rsidRDefault="00364C1C">
      <w:pPr>
        <w:spacing w:after="120"/>
        <w:rPr>
          <w:szCs w:val="20"/>
        </w:rPr>
      </w:pPr>
      <w:r w:rsidRPr="007C57F2">
        <w:rPr>
          <w:szCs w:val="20"/>
        </w:rPr>
        <w:t xml:space="preserve">Cet avantage pour les salariés restera en vigueur tant qu’il fera partie de la politique du Groupe Entegris. Si la politique du groupe évoluait, le jour de repos pour anniversaire pourrait disparaître. </w:t>
      </w:r>
      <w:r w:rsidR="00932FBB" w:rsidRPr="007C57F2">
        <w:rPr>
          <w:szCs w:val="20"/>
        </w:rPr>
        <w:t xml:space="preserve">Dans cette éventualité, la journée anniversaire perdurera néanmoins sur </w:t>
      </w:r>
      <w:r w:rsidR="00793CB1" w:rsidRPr="007C57F2">
        <w:rPr>
          <w:szCs w:val="20"/>
        </w:rPr>
        <w:t xml:space="preserve">toute la durée d’application du présent accord, soit sur </w:t>
      </w:r>
      <w:r w:rsidR="00932FBB" w:rsidRPr="007C57F2">
        <w:rPr>
          <w:szCs w:val="20"/>
        </w:rPr>
        <w:t>l’ensemble de l’année 2023</w:t>
      </w:r>
      <w:r w:rsidRPr="007C57F2">
        <w:rPr>
          <w:szCs w:val="20"/>
        </w:rPr>
        <w:t>.</w:t>
      </w:r>
    </w:p>
    <w:p w14:paraId="6D09A7D4" w14:textId="77777777" w:rsidP="00EC43A9" w:rsidR="00364C1C" w:rsidRDefault="00364C1C" w:rsidRPr="00EC43A9">
      <w:pPr>
        <w:spacing w:after="120"/>
        <w:rPr>
          <w:szCs w:val="20"/>
        </w:rPr>
      </w:pPr>
    </w:p>
    <w:p w14:paraId="7CF9563E" w14:textId="7FADE362" w:rsidP="001C5199" w:rsidR="008C5957" w:rsidRDefault="00614E3A">
      <w:pPr>
        <w:pStyle w:val="Titre1"/>
      </w:pPr>
      <w:bookmarkStart w:id="15" w:name="_Toc120610893"/>
      <w:r>
        <w:t xml:space="preserve">MESURES </w:t>
      </w:r>
      <w:r w:rsidR="00E43168">
        <w:t>COMPLEMENTAIRES</w:t>
      </w:r>
      <w:r w:rsidR="00BE41F4">
        <w:t xml:space="preserve"> </w:t>
      </w:r>
      <w:r w:rsidR="000D0D58">
        <w:t xml:space="preserve">PORTANT </w:t>
      </w:r>
      <w:r w:rsidR="00D74E17">
        <w:t>SUR L’EGALITE PROFESSIONNELLE</w:t>
      </w:r>
      <w:r w:rsidR="008C5A9F">
        <w:t xml:space="preserve"> ET LA QUALITE DE VIE </w:t>
      </w:r>
      <w:r w:rsidR="005A2E8E">
        <w:t>ET DES CONDITIONS DE</w:t>
      </w:r>
      <w:r w:rsidR="008C5A9F">
        <w:t xml:space="preserve"> TRAVAIL</w:t>
      </w:r>
      <w:bookmarkEnd w:id="15"/>
    </w:p>
    <w:p w14:paraId="002E783A" w14:textId="39D5D11E" w:rsidP="00E43168" w:rsidR="00E43168" w:rsidRDefault="00E43168">
      <w:r>
        <w:t xml:space="preserve">Comme rappelé, </w:t>
      </w:r>
      <w:r w:rsidR="009C0C21">
        <w:t>d</w:t>
      </w:r>
      <w:r w:rsidR="00CD016C">
        <w:t>es négociations</w:t>
      </w:r>
      <w:r w:rsidR="00BE41F4">
        <w:t xml:space="preserve"> portant sur l’égalité professionnelle entre les femmes et les hommes </w:t>
      </w:r>
      <w:r w:rsidR="00CD016C">
        <w:t xml:space="preserve">ont </w:t>
      </w:r>
      <w:r w:rsidR="00D9293B">
        <w:t>conduit à la conclusion d’un</w:t>
      </w:r>
      <w:r w:rsidR="009C0C21">
        <w:t xml:space="preserve"> accord en date du 10 juin 2022</w:t>
      </w:r>
      <w:r w:rsidR="00CE3476">
        <w:t>, pour une durée de 3 ans</w:t>
      </w:r>
      <w:r w:rsidR="009C0C21">
        <w:t>.</w:t>
      </w:r>
    </w:p>
    <w:p w14:paraId="0C68E156" w14:textId="426C3ED8" w:rsidP="00E43168" w:rsidR="00EB352E" w:rsidRDefault="005E4785">
      <w:r>
        <w:t>Certains thèmes afférents à cette négociation obligatoire</w:t>
      </w:r>
      <w:r w:rsidR="00EB352E">
        <w:t xml:space="preserve"> ont </w:t>
      </w:r>
      <w:r w:rsidR="00E404FA">
        <w:t xml:space="preserve">toutefois </w:t>
      </w:r>
      <w:r w:rsidR="00EB352E">
        <w:t>fait l’objet</w:t>
      </w:r>
      <w:r w:rsidR="00CE3476">
        <w:t xml:space="preserve"> de</w:t>
      </w:r>
      <w:r w:rsidR="00EB352E">
        <w:t xml:space="preserve"> discussions </w:t>
      </w:r>
      <w:r w:rsidR="00B22C59">
        <w:t>supplémentaire</w:t>
      </w:r>
      <w:r w:rsidR="00EB352E">
        <w:t xml:space="preserve">s </w:t>
      </w:r>
      <w:r w:rsidR="00E710BE">
        <w:t>qui sont retranscrit</w:t>
      </w:r>
      <w:r w:rsidR="00035485">
        <w:t xml:space="preserve">es dans le présent </w:t>
      </w:r>
      <w:r w:rsidR="00B22C59">
        <w:t>accord.</w:t>
      </w:r>
    </w:p>
    <w:p w14:paraId="659B41DD" w14:textId="77777777" w:rsidP="00BB1D64" w:rsidR="00BB1D64" w:rsidRDefault="00BB1D64">
      <w:pPr>
        <w:spacing w:after="0"/>
      </w:pPr>
      <w:bookmarkStart w:id="16" w:name="_Toc120610894"/>
    </w:p>
    <w:p w14:paraId="174A3829" w14:textId="72A9B508" w:rsidP="00D74E17" w:rsidR="00D74E17" w:rsidRDefault="00563382" w:rsidRPr="00D74E17">
      <w:pPr>
        <w:pStyle w:val="Titre2"/>
      </w:pPr>
      <w:r>
        <w:t xml:space="preserve">Suivi de la mise en œuvre des mesures </w:t>
      </w:r>
      <w:r w:rsidR="00354E60">
        <w:t>relatives à l’égalité professionnelle</w:t>
      </w:r>
      <w:r>
        <w:t xml:space="preserve"> entre les femmes et les hommes</w:t>
      </w:r>
      <w:bookmarkEnd w:id="16"/>
      <w:r>
        <w:t xml:space="preserve"> </w:t>
      </w:r>
    </w:p>
    <w:p w14:paraId="77667077" w14:textId="50D97C6D" w:rsidR="00857C4C" w:rsidRDefault="006460D1">
      <w:r>
        <w:t xml:space="preserve">Les Parties </w:t>
      </w:r>
      <w:r w:rsidR="008D4A12">
        <w:t>rappellent que</w:t>
      </w:r>
      <w:r>
        <w:t xml:space="preserve"> la bonne application </w:t>
      </w:r>
      <w:r w:rsidR="008D4A12">
        <w:t>des mesures résultant de</w:t>
      </w:r>
      <w:r>
        <w:t xml:space="preserve"> </w:t>
      </w:r>
      <w:r w:rsidR="00A9509D">
        <w:t>l’accord relatif à l’égalité professionnelle entre les femmes et les hommes en date d</w:t>
      </w:r>
      <w:r>
        <w:t>u 10 juin 2022</w:t>
      </w:r>
      <w:r w:rsidR="00CE3476">
        <w:t xml:space="preserve"> fait l’objet d’un suivi dans le cadre des modalités définies par ledit accord</w:t>
      </w:r>
      <w:r>
        <w:t>.</w:t>
      </w:r>
    </w:p>
    <w:p w14:paraId="103AA1CA" w14:textId="77777777" w:rsidP="00BB1D64" w:rsidR="00BB1D64" w:rsidRDefault="00BB1D64">
      <w:pPr>
        <w:spacing w:after="0"/>
      </w:pPr>
      <w:bookmarkStart w:id="17" w:name="_Toc120610895"/>
    </w:p>
    <w:p w14:paraId="228A4077" w14:textId="23FDB303" w:rsidP="00D9317B" w:rsidR="00D9317B" w:rsidRDefault="006D693A">
      <w:pPr>
        <w:pStyle w:val="Titre2"/>
      </w:pPr>
      <w:r>
        <w:t>Articulation vie personnell</w:t>
      </w:r>
      <w:r w:rsidR="00215C86">
        <w:t>e et droit à la déconnexion</w:t>
      </w:r>
      <w:bookmarkEnd w:id="17"/>
      <w:r w:rsidR="00215C86">
        <w:t xml:space="preserve"> </w:t>
      </w:r>
    </w:p>
    <w:p w14:paraId="56C94252" w14:textId="2CFF1708" w:rsidP="00215C86" w:rsidR="00215C86" w:rsidRDefault="00D17DBB">
      <w:r w:rsidRPr="00D17DBB">
        <w:t xml:space="preserve">Les technologies de l’information et de la communication font partie intégrante de l’environnement de travail et sont nécessaires au bon fonctionnement de l’entreprise. Néanmoins, </w:t>
      </w:r>
      <w:r w:rsidR="00CE3476">
        <w:t>les Parties</w:t>
      </w:r>
      <w:r w:rsidRPr="00D17DBB">
        <w:t xml:space="preserve"> rappelle</w:t>
      </w:r>
      <w:r w:rsidR="00CE3476">
        <w:t>nt</w:t>
      </w:r>
      <w:r w:rsidRPr="00D17DBB">
        <w:t xml:space="preserve"> l’importance d’un bon usage des outils informatiques (TIC) notamment lorsqu’ils sont nomades, afin d’assurer le respect de l’équilibre vie privée/vie professionnelle.</w:t>
      </w:r>
    </w:p>
    <w:p w14:paraId="345D8871" w14:textId="77777777" w:rsidP="00BB1D64" w:rsidR="00BB1D64" w:rsidRDefault="00BB1D64">
      <w:pPr>
        <w:spacing w:after="0"/>
      </w:pPr>
      <w:bookmarkStart w:id="18" w:name="_Toc120610896"/>
    </w:p>
    <w:p w14:paraId="5CC9BCC0" w14:textId="20852BBE" w:rsidP="00D17DBB" w:rsidR="00D17DBB" w:rsidRDefault="00D17DBB">
      <w:pPr>
        <w:pStyle w:val="Titre3"/>
      </w:pPr>
      <w:r>
        <w:t>Articulation entre vie privée et vie professionnelle</w:t>
      </w:r>
      <w:bookmarkEnd w:id="18"/>
      <w:r>
        <w:t xml:space="preserve"> </w:t>
      </w:r>
    </w:p>
    <w:p w14:paraId="116C6B83" w14:textId="07C0FC74" w:rsidP="0004730C" w:rsidR="0004730C" w:rsidRDefault="0004730C">
      <w:r>
        <w:t xml:space="preserve">La </w:t>
      </w:r>
      <w:r w:rsidR="00CF31EF">
        <w:t>S</w:t>
      </w:r>
      <w:r>
        <w:t>ociété met en place un certain nombre d’actions et de mesures permettant de favoriser l’articulation entre la vie privée et la vie professionnelle</w:t>
      </w:r>
      <w:r w:rsidR="003B3D16">
        <w:t> :</w:t>
      </w:r>
    </w:p>
    <w:p w14:paraId="0765399D" w14:textId="58790455" w:rsidP="0004730C" w:rsidR="0004730C" w:rsidRDefault="0004730C">
      <w:r>
        <w:t>-</w:t>
      </w:r>
      <w:r>
        <w:tab/>
        <w:t>Plages flexibles « entrée/sorties » pour les agents de maitrise et techniciens</w:t>
      </w:r>
      <w:r w:rsidR="004B263E">
        <w:t>,</w:t>
      </w:r>
    </w:p>
    <w:p w14:paraId="515FF847" w14:textId="35A814FC" w:rsidP="0004730C" w:rsidR="0004730C" w:rsidRDefault="0004730C">
      <w:r>
        <w:t>-</w:t>
      </w:r>
      <w:r>
        <w:tab/>
        <w:t>Forfait jours pour le personnel cadre autonome</w:t>
      </w:r>
      <w:r w:rsidR="004B263E">
        <w:t>,</w:t>
      </w:r>
    </w:p>
    <w:p w14:paraId="69C49721" w14:textId="21A57A5E" w:rsidP="0004730C" w:rsidR="0004730C" w:rsidRDefault="0004730C">
      <w:r>
        <w:t>-</w:t>
      </w:r>
      <w:r>
        <w:tab/>
        <w:t>Réponse favorable aux demandes de temps partiel</w:t>
      </w:r>
      <w:r w:rsidR="004B263E">
        <w:t>,</w:t>
      </w:r>
    </w:p>
    <w:p w14:paraId="35E6B6F0" w14:textId="64541CF9" w:rsidP="0004730C" w:rsidR="0004730C" w:rsidRDefault="0004730C">
      <w:r>
        <w:t>-</w:t>
      </w:r>
      <w:r>
        <w:tab/>
        <w:t>Pause de journées RTT majoritairement à l’initiative des collaborateurs</w:t>
      </w:r>
      <w:r w:rsidR="004B263E">
        <w:t>,</w:t>
      </w:r>
      <w:r>
        <w:t xml:space="preserve"> </w:t>
      </w:r>
    </w:p>
    <w:p w14:paraId="6F04E8E1" w14:textId="09E85879" w:rsidP="0004730C" w:rsidR="0004730C" w:rsidRDefault="0004730C">
      <w:r>
        <w:t>-</w:t>
      </w:r>
      <w:r>
        <w:tab/>
        <w:t>Prise des congés payés dans le cadre des règles et Accord en vigueur</w:t>
      </w:r>
      <w:r w:rsidR="004B263E">
        <w:t>,</w:t>
      </w:r>
      <w:r>
        <w:t xml:space="preserve"> </w:t>
      </w:r>
    </w:p>
    <w:p w14:paraId="2A66FBD2" w14:textId="01A46961" w:rsidP="0004730C" w:rsidR="0004730C" w:rsidRDefault="0004730C">
      <w:r>
        <w:t>-</w:t>
      </w:r>
      <w:r>
        <w:tab/>
        <w:t>3 journées rémunérées pour enfants (moins de 16 ans) ou conjoint hospitalisés</w:t>
      </w:r>
      <w:r w:rsidR="004B263E">
        <w:t>,</w:t>
      </w:r>
    </w:p>
    <w:p w14:paraId="4BD77956" w14:textId="1B6B60F8" w:rsidP="0004730C" w:rsidR="0004730C" w:rsidRDefault="0004730C">
      <w:r>
        <w:t>-</w:t>
      </w:r>
      <w:r>
        <w:tab/>
        <w:t>Départ en congés facilité en situation de couple</w:t>
      </w:r>
      <w:r w:rsidR="004B263E">
        <w:t>,</w:t>
      </w:r>
    </w:p>
    <w:p w14:paraId="2456AE1D" w14:textId="0173BC73" w:rsidP="0004730C" w:rsidR="0004730C" w:rsidRDefault="0004730C">
      <w:r>
        <w:t>-</w:t>
      </w:r>
      <w:r>
        <w:tab/>
        <w:t>Jours de repos compensateurs pour le personnel posté</w:t>
      </w:r>
      <w:r w:rsidR="004B263E">
        <w:t>,</w:t>
      </w:r>
    </w:p>
    <w:p w14:paraId="12958E4A" w14:textId="75D4BA69" w:rsidP="0004730C" w:rsidR="0004730C" w:rsidRDefault="0004730C">
      <w:r>
        <w:t>-</w:t>
      </w:r>
      <w:r>
        <w:tab/>
        <w:t>Journée de repos anniversaire depuis 2020</w:t>
      </w:r>
      <w:r w:rsidR="00D8310E">
        <w:t>.</w:t>
      </w:r>
    </w:p>
    <w:p w14:paraId="42E61388" w14:textId="5E0F6C13" w:rsidP="0004730C" w:rsidR="00D8310E" w:rsidRDefault="00D8310E">
      <w:r>
        <w:t xml:space="preserve">En outre, </w:t>
      </w:r>
      <w:r w:rsidR="0039620C">
        <w:t xml:space="preserve">un accord portant sur la mise en œuvre du télétravail a été signé le </w:t>
      </w:r>
      <w:r w:rsidR="001F5A91">
        <w:t>9 mars 2022</w:t>
      </w:r>
      <w:r w:rsidR="008C5A9F">
        <w:t xml:space="preserve"> dans l’objectif</w:t>
      </w:r>
      <w:r w:rsidR="00E404FA">
        <w:t xml:space="preserve"> notamment</w:t>
      </w:r>
      <w:r w:rsidR="008C5A9F">
        <w:t xml:space="preserve"> de poursuivre l’amélioration de la qualité de vie au travail</w:t>
      </w:r>
      <w:r w:rsidR="00CF264A">
        <w:t xml:space="preserve"> et </w:t>
      </w:r>
      <w:r w:rsidR="00B04B09">
        <w:t xml:space="preserve">de contribuer à un meilleur </w:t>
      </w:r>
      <w:r w:rsidR="00CF264A">
        <w:t>équilibre entre la vie privée et la vie professionnelle.</w:t>
      </w:r>
    </w:p>
    <w:p w14:paraId="10B1F424" w14:textId="77777777" w:rsidP="0004730C" w:rsidR="00CE3476" w:rsidRDefault="00CE3476"/>
    <w:p w14:paraId="0E806468" w14:textId="0CBF928B" w:rsidP="00D8310E" w:rsidR="0004730C" w:rsidRDefault="0004730C">
      <w:pPr>
        <w:pStyle w:val="Titre3"/>
      </w:pPr>
      <w:bookmarkStart w:id="19" w:name="_Toc120610897"/>
      <w:r>
        <w:t>Droit à la déconnexion</w:t>
      </w:r>
      <w:bookmarkEnd w:id="19"/>
    </w:p>
    <w:p w14:paraId="6E98B41C" w14:textId="5EC9684D" w:rsidP="0004730C" w:rsidR="0004730C" w:rsidRDefault="00CF31EF">
      <w:r>
        <w:t>Les Parties</w:t>
      </w:r>
      <w:r w:rsidR="0004730C">
        <w:t xml:space="preserve"> accordent </w:t>
      </w:r>
      <w:r w:rsidR="003B3D16">
        <w:t>une</w:t>
      </w:r>
      <w:r w:rsidR="0004730C">
        <w:t xml:space="preserve"> vigilance </w:t>
      </w:r>
      <w:r w:rsidR="003B3D16">
        <w:t xml:space="preserve">particulière </w:t>
      </w:r>
      <w:r w:rsidR="0004730C">
        <w:t>quant au droit à la déconnexion. Elle concerne une démarche de régulation et d’utilisation des outils numériques, en vue d’assurer le respect des temps de repos et de congés, ainsi que la vie personnelle et familiale.</w:t>
      </w:r>
    </w:p>
    <w:p w14:paraId="73427734" w14:textId="18D9991B" w:rsidP="0004730C" w:rsidR="0004730C" w:rsidRDefault="0004730C">
      <w:r>
        <w:t xml:space="preserve">Conformément aux dispositions de la loi </w:t>
      </w:r>
      <w:r w:rsidR="00112C17">
        <w:t>n°</w:t>
      </w:r>
      <w:r w:rsidR="003F590A">
        <w:t xml:space="preserve">2016-1088 </w:t>
      </w:r>
      <w:r>
        <w:t>du 8 août 2016, le principe d’interdiction d’émission de mails par un collaborateur sur ses journées non travaillées (repos hebdomadaire, jours férié, congés payés/RTT…) est reconduit et renforcé sauf cas de force majeure mettant en péril la continuité de l’activité.</w:t>
      </w:r>
    </w:p>
    <w:p w14:paraId="2FEBCE59" w14:textId="51234880" w:rsidP="0004730C" w:rsidR="00D17DBB" w:rsidRDefault="00D9293B">
      <w:r>
        <w:t>La Société</w:t>
      </w:r>
      <w:r w:rsidR="0004730C">
        <w:t xml:space="preserve"> et les salariés de CMC Materials UPC s’engagent à la vigilance pour le respect de cet article et du temps de travail.</w:t>
      </w:r>
    </w:p>
    <w:p w14:paraId="03482A86" w14:textId="77777777" w:rsidP="00BB1D64" w:rsidR="00BB1D64" w:rsidRDefault="00BB1D64">
      <w:pPr>
        <w:spacing w:after="0"/>
      </w:pPr>
      <w:bookmarkStart w:id="20" w:name="_Toc120610898"/>
    </w:p>
    <w:p w14:paraId="6EC4F025" w14:textId="77777777" w:rsidP="00423008" w:rsidR="00423008" w:rsidRDefault="00423008">
      <w:pPr>
        <w:pStyle w:val="Titre3"/>
        <w:numPr>
          <w:ilvl w:val="2"/>
          <w:numId w:val="18"/>
        </w:numPr>
      </w:pPr>
      <w:r>
        <w:t xml:space="preserve">Le temps </w:t>
      </w:r>
      <w:r w:rsidRPr="009B6C46">
        <w:t>partiel</w:t>
      </w:r>
      <w:bookmarkEnd w:id="20"/>
      <w:r>
        <w:t xml:space="preserve"> </w:t>
      </w:r>
    </w:p>
    <w:p w14:paraId="143DA35F" w14:textId="2E27DC54" w:rsidP="00423008" w:rsidR="00423008" w:rsidRDefault="00423008">
      <w:r>
        <w:t xml:space="preserve">La </w:t>
      </w:r>
      <w:r w:rsidR="00383DB7">
        <w:t>S</w:t>
      </w:r>
      <w:r>
        <w:t xml:space="preserve">ociété compte aujourd’hui </w:t>
      </w:r>
      <w:r w:rsidR="005C7B9F">
        <w:t xml:space="preserve">3 </w:t>
      </w:r>
      <w:r>
        <w:t xml:space="preserve">temps partiels choisis, le dernier a été mis en place au mois </w:t>
      </w:r>
      <w:r w:rsidR="005C7B9F">
        <w:t>d’octobre 2021</w:t>
      </w:r>
      <w:r>
        <w:t>.</w:t>
      </w:r>
    </w:p>
    <w:p w14:paraId="1BB12498" w14:textId="3007886F" w:rsidP="00423008" w:rsidR="00423008" w:rsidRDefault="00423008">
      <w:r>
        <w:t>Toutes les demandes de temps partiel sont étudiées par la Direction sans discrimination aucune. Il n’y a pas de temps partiel subi et la société s’engage à ne pas y avoir recours si cela n’est pas nécessaire pour le bon fonctionnement de l’entreprise. Une attention particulière sera apportée aux demandes de temps partiel, dans le cadre des modalités d’équilibre entre vie professionnelle et vie personnelle. Les collaborateurs faisant l’objet d’un passage à temps partiel se verront proposer un avenant à leur contrat de travail.</w:t>
      </w:r>
    </w:p>
    <w:p w14:paraId="0294177F" w14:textId="77777777" w:rsidP="00BB1D64" w:rsidR="00BB1D64" w:rsidRDefault="00BB1D64">
      <w:pPr>
        <w:spacing w:after="0"/>
      </w:pPr>
      <w:bookmarkStart w:id="21" w:name="_Toc120610899"/>
    </w:p>
    <w:p w14:paraId="3F955EAB" w14:textId="77777777" w:rsidP="00423008" w:rsidR="00423008" w:rsidRDefault="00423008">
      <w:pPr>
        <w:pStyle w:val="Titre3"/>
        <w:numPr>
          <w:ilvl w:val="2"/>
          <w:numId w:val="19"/>
        </w:numPr>
      </w:pPr>
      <w:r>
        <w:t>Congé rémunéré post naissance</w:t>
      </w:r>
      <w:bookmarkEnd w:id="21"/>
      <w:r>
        <w:t xml:space="preserve"> </w:t>
      </w:r>
    </w:p>
    <w:p w14:paraId="605D9312" w14:textId="77777777" w:rsidP="00423008" w:rsidR="00423008" w:rsidRDefault="00423008">
      <w:r>
        <w:t>CMC Materials UPC octroie au salarié devenant père ou mère, un congé post naissance rémunéré, pour une durée de 12 semaines.</w:t>
      </w:r>
    </w:p>
    <w:p w14:paraId="00E0084A" w14:textId="77777777" w:rsidP="00423008" w:rsidR="00423008" w:rsidRDefault="00423008">
      <w:r>
        <w:t xml:space="preserve">Cette disposition ne se cumule pas avec les dispositions légales ou conventionnelles relatives au congé maternité, au congé de paternité et d’accueil de l’enfant, ou encore au congé pour naissance ou adoption. </w:t>
      </w:r>
    </w:p>
    <w:p w14:paraId="2DAA9DD4" w14:textId="77777777" w:rsidP="00423008" w:rsidR="00423008" w:rsidRDefault="00423008">
      <w:r>
        <w:t>Ainsi, en pratique, cette disposition bénéficie aux salariés devenant père, qui voient cette mesure se substituer au congé de paternité et d’accueil de l’enfant, ainsi qu’au congé pour naissance ou adoption.</w:t>
      </w:r>
    </w:p>
    <w:p w14:paraId="22D252B1" w14:textId="09005D1D" w:rsidP="0004730C" w:rsidR="00423008" w:rsidRDefault="00423008">
      <w:r>
        <w:t>Ce congé rémunéré post naissance est fractionnable par accord avec l</w:t>
      </w:r>
      <w:r w:rsidR="00D127FC">
        <w:t>a Société</w:t>
      </w:r>
      <w:r>
        <w:t xml:space="preserve"> dans la limite d’une année post évènement, suivant les modalités en vigueur dans le groupe.</w:t>
      </w:r>
    </w:p>
    <w:p w14:paraId="6E00D442" w14:textId="14AF6835" w:rsidP="005C7B9F" w:rsidR="005C7B9F" w:rsidRDefault="00793CB1" w:rsidRPr="005C7B9F">
      <w:pPr>
        <w:spacing w:after="120"/>
        <w:rPr>
          <w:szCs w:val="20"/>
        </w:rPr>
      </w:pPr>
      <w:r w:rsidRPr="007C57F2">
        <w:rPr>
          <w:szCs w:val="20"/>
        </w:rPr>
        <w:t xml:space="preserve">Par exception à la durée du présent accord, </w:t>
      </w:r>
      <w:r w:rsidR="00CA1A62" w:rsidRPr="007C57F2">
        <w:rPr>
          <w:szCs w:val="20"/>
        </w:rPr>
        <w:t>cet article est conclu pour une durée de 6 mois, de sorte que l’</w:t>
      </w:r>
      <w:r w:rsidR="005C7B9F" w:rsidRPr="007C57F2">
        <w:rPr>
          <w:szCs w:val="20"/>
        </w:rPr>
        <w:t>avantage</w:t>
      </w:r>
      <w:r w:rsidR="00CA1A62" w:rsidRPr="007C57F2">
        <w:rPr>
          <w:szCs w:val="20"/>
        </w:rPr>
        <w:t xml:space="preserve"> qui en résulte</w:t>
      </w:r>
      <w:r w:rsidR="005C7B9F" w:rsidRPr="007C57F2">
        <w:rPr>
          <w:szCs w:val="20"/>
        </w:rPr>
        <w:t xml:space="preserve"> </w:t>
      </w:r>
      <w:r w:rsidR="009B3140" w:rsidRPr="007C57F2">
        <w:rPr>
          <w:szCs w:val="20"/>
        </w:rPr>
        <w:t>sera</w:t>
      </w:r>
      <w:r w:rsidR="005C7B9F" w:rsidRPr="007C57F2">
        <w:rPr>
          <w:szCs w:val="20"/>
        </w:rPr>
        <w:t xml:space="preserve"> en vigueur</w:t>
      </w:r>
      <w:r w:rsidR="009B3140" w:rsidRPr="007C57F2">
        <w:rPr>
          <w:szCs w:val="20"/>
        </w:rPr>
        <w:t xml:space="preserve"> du 1</w:t>
      </w:r>
      <w:r w:rsidR="009B3140" w:rsidRPr="007C57F2">
        <w:rPr>
          <w:szCs w:val="20"/>
          <w:vertAlign w:val="superscript"/>
        </w:rPr>
        <w:t>er</w:t>
      </w:r>
      <w:r w:rsidR="009B3140" w:rsidRPr="007C57F2">
        <w:rPr>
          <w:szCs w:val="20"/>
        </w:rPr>
        <w:t xml:space="preserve"> janvier 2023 au 30 juin 2023, </w:t>
      </w:r>
      <w:r w:rsidR="00FD73E2" w:rsidRPr="007C57F2">
        <w:rPr>
          <w:szCs w:val="20"/>
        </w:rPr>
        <w:t xml:space="preserve">du fait </w:t>
      </w:r>
      <w:r w:rsidR="009B3140" w:rsidRPr="007C57F2">
        <w:rPr>
          <w:szCs w:val="20"/>
        </w:rPr>
        <w:t>de l’acquisition de CMC Materials par Entegris.</w:t>
      </w:r>
      <w:r w:rsidR="005C7B9F" w:rsidRPr="007C57F2">
        <w:rPr>
          <w:szCs w:val="20"/>
        </w:rPr>
        <w:t xml:space="preserve"> </w:t>
      </w:r>
      <w:r w:rsidR="009B3140" w:rsidRPr="007C57F2">
        <w:rPr>
          <w:szCs w:val="20"/>
        </w:rPr>
        <w:t>Il deviendra caduque à compter du 1</w:t>
      </w:r>
      <w:r w:rsidR="009B3140" w:rsidRPr="007C57F2">
        <w:rPr>
          <w:szCs w:val="20"/>
          <w:vertAlign w:val="superscript"/>
        </w:rPr>
        <w:t>er</w:t>
      </w:r>
      <w:r w:rsidR="009B3140" w:rsidRPr="007C57F2">
        <w:rPr>
          <w:szCs w:val="20"/>
        </w:rPr>
        <w:t xml:space="preserve"> juillet 2023</w:t>
      </w:r>
      <w:r w:rsidR="00FD73E2" w:rsidRPr="009C2159">
        <w:rPr>
          <w:szCs w:val="20"/>
        </w:rPr>
        <w:t>.</w:t>
      </w:r>
    </w:p>
    <w:p w14:paraId="06561B30" w14:textId="77777777" w:rsidP="00BB1D64" w:rsidR="00BB1D64" w:rsidRDefault="00BB1D64">
      <w:pPr>
        <w:spacing w:after="0"/>
      </w:pPr>
      <w:bookmarkStart w:id="22" w:name="_Toc120610900"/>
    </w:p>
    <w:p w14:paraId="1ED659CA" w14:textId="1F0086C5" w:rsidP="00C6514B" w:rsidR="009F4CD8" w:rsidRDefault="00C6514B">
      <w:pPr>
        <w:pStyle w:val="Titre2"/>
      </w:pPr>
      <w:r>
        <w:t>Insertion professionnelle et maintien dans l’emploi des travailleurs handicapés</w:t>
      </w:r>
      <w:bookmarkEnd w:id="22"/>
      <w:r>
        <w:t xml:space="preserve"> </w:t>
      </w:r>
    </w:p>
    <w:p w14:paraId="2BEAC3C5" w14:textId="688C2006" w:rsidP="00151204" w:rsidR="00151204" w:rsidRDefault="00151204">
      <w:r>
        <w:t xml:space="preserve">Au cours de l’année 2022, CMC Materials UPC a compté </w:t>
      </w:r>
      <w:r w:rsidR="005C7B9F">
        <w:t>2</w:t>
      </w:r>
      <w:r>
        <w:t xml:space="preserve"> </w:t>
      </w:r>
      <w:r w:rsidRPr="005C7B9F">
        <w:t>personnes reconnues</w:t>
      </w:r>
      <w:r>
        <w:t xml:space="preserve"> en situation de handicap</w:t>
      </w:r>
      <w:r w:rsidR="00046F4C">
        <w:t xml:space="preserve"> </w:t>
      </w:r>
      <w:r w:rsidR="005C7B9F">
        <w:t>sur l’établissement de Saint Fromond.</w:t>
      </w:r>
      <w:r>
        <w:t xml:space="preserve"> La Direction n’a jamais émis d’avis négatif sur l’emploi de travailleurs en situation de handicap.</w:t>
      </w:r>
    </w:p>
    <w:p w14:paraId="0C8EF4D9" w14:textId="0EE924D9" w:rsidP="00151204" w:rsidR="00151204" w:rsidRDefault="00151204">
      <w:r>
        <w:t>Quand cela est possible, la Direction peut avoir recours à de la prestation de service de centres d’aide par le travail.</w:t>
      </w:r>
    </w:p>
    <w:p w14:paraId="21E74381" w14:textId="17840E7E" w:rsidP="00151204" w:rsidR="00151204" w:rsidRDefault="00151204">
      <w:r>
        <w:t xml:space="preserve">La Direction s’engage à étudier sérieusement toute demande d’aménagement de poste émanant du collaborateur lui-même, du CSE et de la CSSCT, ou du médecin du Travail. </w:t>
      </w:r>
    </w:p>
    <w:p w14:paraId="723EFAE5" w14:textId="38BCE679" w:rsidP="00151204" w:rsidR="00C6514B" w:rsidRDefault="00094A89">
      <w:r>
        <w:t>Les Parties</w:t>
      </w:r>
      <w:r w:rsidR="00151204">
        <w:t xml:space="preserve"> s’accordent à dire qu’il n’y a pas de discrimination quant à l’accès à la formation et à l’emploi des travailleurs en situation de handicap.</w:t>
      </w:r>
    </w:p>
    <w:p w14:paraId="305DC5D1" w14:textId="77777777" w:rsidP="00BB1D64" w:rsidR="00BB1D64" w:rsidRDefault="00BB1D64">
      <w:pPr>
        <w:spacing w:after="0"/>
      </w:pPr>
      <w:bookmarkStart w:id="23" w:name="_Toc120610901"/>
    </w:p>
    <w:p w14:paraId="3A60C2A7" w14:textId="20F38867" w:rsidP="00820A64" w:rsidR="009F4CD8" w:rsidRDefault="00820A64">
      <w:pPr>
        <w:pStyle w:val="Titre2"/>
      </w:pPr>
      <w:r>
        <w:t>Protection sociale complémentaire des collaborateurs</w:t>
      </w:r>
      <w:bookmarkEnd w:id="23"/>
      <w:r>
        <w:t xml:space="preserve"> </w:t>
      </w:r>
    </w:p>
    <w:p w14:paraId="5ED398D2" w14:textId="7D212451" w:rsidP="00BF6528" w:rsidR="00BF6528" w:rsidRDefault="00BF6528">
      <w:r>
        <w:t xml:space="preserve">Il est rappelé que la société dispose d’un contrat instituant un régime Obligatoire, Collectif et Responsable de complémentaire santé. La cotisation est prise en charge à hauteur de </w:t>
      </w:r>
      <w:r w:rsidRPr="005C7B9F">
        <w:t>60 % par l’entreprise et 40 % par chaque collaborateur. Le régime responsable qui est en pl</w:t>
      </w:r>
      <w:r>
        <w:t>ace depuis le 1</w:t>
      </w:r>
      <w:r w:rsidR="000F56CB" w:rsidRPr="000F56CB">
        <w:rPr>
          <w:vertAlign w:val="superscript"/>
        </w:rPr>
        <w:t>er</w:t>
      </w:r>
      <w:r w:rsidR="000F56CB">
        <w:t xml:space="preserve"> </w:t>
      </w:r>
      <w:r>
        <w:t>janvier 2018, après consultation des instances sociales, s’articule autour d’un tronc commun harmonisé pour toutes catégories sociales et de deux options complémentaires facultatives.</w:t>
      </w:r>
    </w:p>
    <w:p w14:paraId="24EDC06B" w14:textId="7E864963" w:rsidP="00BF6528" w:rsidR="00BF6528" w:rsidRDefault="00BF6528">
      <w:r>
        <w:t>Au 1</w:t>
      </w:r>
      <w:r w:rsidR="000F56CB" w:rsidRPr="000F56CB">
        <w:rPr>
          <w:vertAlign w:val="superscript"/>
        </w:rPr>
        <w:t>er</w:t>
      </w:r>
      <w:r w:rsidR="000F56CB">
        <w:t xml:space="preserve"> </w:t>
      </w:r>
      <w:r>
        <w:t xml:space="preserve">Janvier 2020, la Direction a proposé d’adapter les modalités de ce contrat pour prendre en compte les exigences du « zéro reste à charge » tout en maintenant l’ensemble de la </w:t>
      </w:r>
      <w:r w:rsidRPr="00923886">
        <w:t>couverture offerte. Les Représentants du Personnel ont validé favorablement cette mesure.</w:t>
      </w:r>
    </w:p>
    <w:p w14:paraId="00BA5E65" w14:textId="3464BE6E" w:rsidP="00BF6528" w:rsidR="004B4C33" w:rsidRDefault="00923886">
      <w:r>
        <w:t>Les Parties rappellent également</w:t>
      </w:r>
      <w:r w:rsidR="004B4C33" w:rsidRPr="00923886">
        <w:t xml:space="preserve"> </w:t>
      </w:r>
      <w:r>
        <w:t>qu’</w:t>
      </w:r>
      <w:r w:rsidR="004B4C33" w:rsidRPr="00923886">
        <w:t xml:space="preserve">à la </w:t>
      </w:r>
      <w:r>
        <w:t xml:space="preserve">suite de la </w:t>
      </w:r>
      <w:r w:rsidR="004B4C33" w:rsidRPr="00923886">
        <w:t>proposition du courtier en charge du dossier de CMC Materials</w:t>
      </w:r>
      <w:r w:rsidR="00440FE2" w:rsidRPr="00923886">
        <w:t xml:space="preserve"> et après avis favorable du CSE</w:t>
      </w:r>
      <w:r w:rsidR="004B4C33" w:rsidRPr="00923886">
        <w:t>,</w:t>
      </w:r>
      <w:r w:rsidR="00440FE2" w:rsidRPr="00923886">
        <w:t xml:space="preserve"> à compter du 1</w:t>
      </w:r>
      <w:r w:rsidR="00440FE2" w:rsidRPr="00923886">
        <w:rPr>
          <w:vertAlign w:val="superscript"/>
        </w:rPr>
        <w:t>er</w:t>
      </w:r>
      <w:r w:rsidR="00440FE2" w:rsidRPr="00923886">
        <w:t xml:space="preserve"> mai 2022,</w:t>
      </w:r>
      <w:r w:rsidR="004B4C33" w:rsidRPr="00923886">
        <w:t xml:space="preserve"> l</w:t>
      </w:r>
      <w:r w:rsidR="00440FE2" w:rsidRPr="00923886">
        <w:t xml:space="preserve">es garanties du contrat de complémentaire santé ont été améliorées à cotisations égales. Cela a été rendu possible en intégrant </w:t>
      </w:r>
      <w:r w:rsidR="00255646" w:rsidRPr="00923886">
        <w:t>un</w:t>
      </w:r>
      <w:r w:rsidR="00440FE2" w:rsidRPr="00923886">
        <w:t xml:space="preserve"> contrat </w:t>
      </w:r>
      <w:r w:rsidR="00255646" w:rsidRPr="00923886">
        <w:t>groupé</w:t>
      </w:r>
      <w:r w:rsidR="00440FE2" w:rsidRPr="00923886">
        <w:t xml:space="preserve"> </w:t>
      </w:r>
      <w:r w:rsidR="00255646" w:rsidRPr="00923886">
        <w:t xml:space="preserve">avec d’autres </w:t>
      </w:r>
      <w:r w:rsidR="00440FE2" w:rsidRPr="00923886">
        <w:t>entreprises.</w:t>
      </w:r>
    </w:p>
    <w:p w14:paraId="4A0C3596" w14:textId="1D6F9878" w:rsidR="004360D0" w:rsidRDefault="00BF6528">
      <w:r>
        <w:t>Un régime de prévoyance obligatoire est en place par décision unilatérale de l’employeur. La cotisation est prise en charge dans les mêmes proportions que le régime de complémentaire santé.</w:t>
      </w:r>
    </w:p>
    <w:p w14:paraId="187ABCC8" w14:textId="77777777" w:rsidP="00BB1D64" w:rsidR="00BB1D64" w:rsidRDefault="00BB1D64">
      <w:pPr>
        <w:spacing w:after="0"/>
      </w:pPr>
      <w:bookmarkStart w:id="24" w:name="_Toc120610902"/>
    </w:p>
    <w:p w14:paraId="349F01EB" w14:textId="70A503BD" w:rsidP="00175E27" w:rsidR="00C03218" w:rsidRDefault="00175E27">
      <w:pPr>
        <w:pStyle w:val="Titre2"/>
      </w:pPr>
      <w:r>
        <w:t>Droit d’expression</w:t>
      </w:r>
      <w:bookmarkEnd w:id="24"/>
      <w:r>
        <w:t xml:space="preserve"> </w:t>
      </w:r>
    </w:p>
    <w:p w14:paraId="1732F65D" w14:textId="470DE276" w:rsidP="0092135E" w:rsidR="0092135E" w:rsidRDefault="0092135E">
      <w:r>
        <w:t xml:space="preserve">La </w:t>
      </w:r>
      <w:r w:rsidR="000E01FD">
        <w:t>S</w:t>
      </w:r>
      <w:r>
        <w:t>ociété a toujours respecté le droit d’expression de chacun. Les collaborateurs ont la possibilité de pouvoir émettre leurs idées et/ou suggestions auprès de leur manager notamment lors de réunions de service mises en place sur chacun des sites ou réunion inter-sites (exemple : réunion AQS, réunion de site, réunion trimestrielle) ainsi qu’au cours d’entretiens individuels. La campagne des entretiens individuels est également un moment d’échanges privilégié entre un collaborateur et son manager. La Direction des Ressources Humaines est aussi accessible pour répondre aux interrogations et aux attentes des collaborateurs.</w:t>
      </w:r>
    </w:p>
    <w:p w14:paraId="3A1BD24F" w14:textId="5B3F1802" w:rsidP="0092135E" w:rsidR="003A57E9" w:rsidRDefault="0092135E">
      <w:r>
        <w:t xml:space="preserve">La </w:t>
      </w:r>
      <w:r w:rsidR="000E01FD">
        <w:t>S</w:t>
      </w:r>
      <w:r>
        <w:t>ociété a toujours respecté les règles en matière d’instances sociales en vigueur.</w:t>
      </w:r>
    </w:p>
    <w:p w14:paraId="37A906DB" w14:textId="77777777" w:rsidP="00BB1D64" w:rsidR="00BB1D64" w:rsidRDefault="00BB1D64">
      <w:pPr>
        <w:spacing w:after="0"/>
      </w:pPr>
      <w:bookmarkStart w:id="25" w:name="_Toc120610903"/>
    </w:p>
    <w:p w14:paraId="44EA87A7" w14:textId="51D1C362" w:rsidP="009E7D0F" w:rsidR="009E7D0F" w:rsidRDefault="009E7D0F">
      <w:pPr>
        <w:pStyle w:val="Titre2"/>
      </w:pPr>
      <w:r>
        <w:t>Prévention au travail</w:t>
      </w:r>
      <w:bookmarkEnd w:id="25"/>
    </w:p>
    <w:p w14:paraId="77415B44" w14:textId="1E304CCE" w:rsidP="009E7D0F" w:rsidR="009E7D0F" w:rsidRDefault="001641EC">
      <w:r w:rsidRPr="007C57F2">
        <w:t xml:space="preserve">La </w:t>
      </w:r>
      <w:r w:rsidR="000E01FD" w:rsidRPr="007C57F2">
        <w:t>S</w:t>
      </w:r>
      <w:r w:rsidRPr="007C57F2">
        <w:t>ociété poursuit ses efforts en matière de réduction de situations pénibles par</w:t>
      </w:r>
      <w:r w:rsidR="005018DD" w:rsidRPr="007C57F2">
        <w:t> :</w:t>
      </w:r>
    </w:p>
    <w:p w14:paraId="0904019C" w14:textId="416C8AD9" w:rsidP="008F478A" w:rsidR="001641EC" w:rsidRDefault="008F478A">
      <w:pPr>
        <w:pStyle w:val="Paragraphedeliste"/>
        <w:numPr>
          <w:ilvl w:val="0"/>
          <w:numId w:val="2"/>
        </w:numPr>
        <w:rPr>
          <w:rFonts w:ascii="Century Gothic" w:cstheme="minorBidi" w:eastAsiaTheme="minorHAnsi" w:hAnsi="Century Gothic"/>
          <w:sz w:val="20"/>
          <w:szCs w:val="22"/>
          <w:lang w:eastAsia="en-US"/>
        </w:rPr>
      </w:pPr>
      <w:r w:rsidRPr="008F478A">
        <w:rPr>
          <w:rFonts w:ascii="Century Gothic" w:cstheme="minorBidi" w:eastAsiaTheme="minorHAnsi" w:hAnsi="Century Gothic"/>
          <w:sz w:val="20"/>
          <w:szCs w:val="22"/>
          <w:lang w:eastAsia="en-US"/>
        </w:rPr>
        <w:t>Préhenseur de cartons en zone de conditionnement à Saint Fromond</w:t>
      </w:r>
    </w:p>
    <w:p w14:paraId="36ADB8E4" w14:textId="56E03BF6" w:rsidP="008F478A" w:rsidR="004B59CB" w:rsidRDefault="004B59CB">
      <w:pPr>
        <w:pStyle w:val="Paragraphedeliste"/>
        <w:numPr>
          <w:ilvl w:val="0"/>
          <w:numId w:val="2"/>
        </w:numPr>
        <w:rPr>
          <w:rFonts w:ascii="Century Gothic" w:cstheme="minorBidi" w:eastAsiaTheme="minorHAnsi" w:hAnsi="Century Gothic"/>
          <w:sz w:val="20"/>
          <w:szCs w:val="22"/>
          <w:lang w:eastAsia="en-US"/>
        </w:rPr>
      </w:pPr>
      <w:r>
        <w:rPr>
          <w:rFonts w:ascii="Century Gothic" w:cstheme="minorBidi" w:eastAsiaTheme="minorHAnsi" w:hAnsi="Century Gothic"/>
          <w:sz w:val="20"/>
          <w:szCs w:val="22"/>
          <w:lang w:eastAsia="en-US"/>
        </w:rPr>
        <w:t>Installations d’une cercleuse de palettes</w:t>
      </w:r>
    </w:p>
    <w:p w14:paraId="18CD8DA4" w14:textId="77777777" w:rsidP="000D0FEC" w:rsidR="000D0FEC" w:rsidRDefault="000D0FEC" w:rsidRPr="008F478A">
      <w:pPr>
        <w:pStyle w:val="Paragraphedeliste"/>
        <w:numPr>
          <w:ilvl w:val="0"/>
          <w:numId w:val="2"/>
        </w:numPr>
        <w:rPr>
          <w:rFonts w:ascii="Century Gothic" w:cstheme="minorBidi" w:eastAsiaTheme="minorHAnsi" w:hAnsi="Century Gothic"/>
          <w:sz w:val="20"/>
          <w:szCs w:val="22"/>
          <w:lang w:eastAsia="en-US"/>
        </w:rPr>
      </w:pPr>
      <w:r>
        <w:rPr>
          <w:rFonts w:ascii="Century Gothic" w:cstheme="minorBidi" w:eastAsiaTheme="minorHAnsi" w:hAnsi="Century Gothic"/>
          <w:sz w:val="20"/>
          <w:szCs w:val="22"/>
          <w:lang w:eastAsia="en-US"/>
        </w:rPr>
        <w:t>Nouveau système d’électro-dé-ionisation sur EUPA, qui limite les changements de résine</w:t>
      </w:r>
    </w:p>
    <w:p w14:paraId="5BF4BCE5" w14:textId="23A41028" w:rsidP="008F478A" w:rsidR="008F478A" w:rsidRDefault="008F478A">
      <w:pPr>
        <w:pStyle w:val="Paragraphedeliste"/>
        <w:numPr>
          <w:ilvl w:val="0"/>
          <w:numId w:val="2"/>
        </w:numPr>
        <w:rPr>
          <w:rFonts w:ascii="Century Gothic" w:cstheme="minorBidi" w:eastAsiaTheme="minorHAnsi" w:hAnsi="Century Gothic"/>
          <w:sz w:val="20"/>
          <w:szCs w:val="22"/>
          <w:lang w:eastAsia="en-US"/>
        </w:rPr>
      </w:pPr>
      <w:r>
        <w:rPr>
          <w:rFonts w:ascii="Century Gothic" w:cstheme="minorBidi" w:eastAsiaTheme="minorHAnsi" w:hAnsi="Century Gothic"/>
          <w:sz w:val="20"/>
          <w:szCs w:val="22"/>
          <w:lang w:eastAsia="en-US"/>
        </w:rPr>
        <w:t>Evaluation régulière des EPI</w:t>
      </w:r>
    </w:p>
    <w:p w14:paraId="680C8F91" w14:textId="20947A88" w:rsidP="008F478A" w:rsidR="008F478A" w:rsidRDefault="008F478A">
      <w:pPr>
        <w:pStyle w:val="Paragraphedeliste"/>
        <w:numPr>
          <w:ilvl w:val="0"/>
          <w:numId w:val="2"/>
        </w:numPr>
        <w:rPr>
          <w:rFonts w:ascii="Century Gothic" w:cstheme="minorBidi" w:eastAsiaTheme="minorHAnsi" w:hAnsi="Century Gothic"/>
          <w:sz w:val="20"/>
          <w:szCs w:val="22"/>
          <w:lang w:eastAsia="en-US"/>
        </w:rPr>
      </w:pPr>
      <w:r>
        <w:rPr>
          <w:rFonts w:ascii="Century Gothic" w:cstheme="minorBidi" w:eastAsiaTheme="minorHAnsi" w:hAnsi="Century Gothic"/>
          <w:sz w:val="20"/>
          <w:szCs w:val="22"/>
          <w:lang w:eastAsia="en-US"/>
        </w:rPr>
        <w:t>Mise en place des règles d’or sécurité sur l’ensemble des établissements</w:t>
      </w:r>
    </w:p>
    <w:p w14:paraId="7B2D7231" w14:textId="1547105C" w:rsidP="008F478A" w:rsidR="008F478A" w:rsidRDefault="008F478A">
      <w:pPr>
        <w:pStyle w:val="Paragraphedeliste"/>
        <w:numPr>
          <w:ilvl w:val="0"/>
          <w:numId w:val="2"/>
        </w:numPr>
        <w:rPr>
          <w:rFonts w:ascii="Century Gothic" w:cstheme="minorBidi" w:eastAsiaTheme="minorHAnsi" w:hAnsi="Century Gothic"/>
          <w:sz w:val="20"/>
          <w:szCs w:val="22"/>
          <w:lang w:eastAsia="en-US"/>
        </w:rPr>
      </w:pPr>
      <w:r>
        <w:rPr>
          <w:rFonts w:ascii="Century Gothic" w:cstheme="minorBidi" w:eastAsiaTheme="minorHAnsi" w:hAnsi="Century Gothic"/>
          <w:sz w:val="20"/>
          <w:szCs w:val="22"/>
          <w:lang w:eastAsia="en-US"/>
        </w:rPr>
        <w:t>Mise en place d’une zone de travail dédiée pour le packaging à Saint Fromond</w:t>
      </w:r>
    </w:p>
    <w:p w14:paraId="624B536A" w14:textId="01652D77" w:rsidP="008F478A" w:rsidR="008F478A" w:rsidRDefault="004B59CB">
      <w:pPr>
        <w:pStyle w:val="Paragraphedeliste"/>
        <w:numPr>
          <w:ilvl w:val="0"/>
          <w:numId w:val="2"/>
        </w:numPr>
        <w:rPr>
          <w:rFonts w:ascii="Century Gothic" w:cstheme="minorBidi" w:eastAsiaTheme="minorHAnsi" w:hAnsi="Century Gothic"/>
          <w:sz w:val="20"/>
          <w:szCs w:val="22"/>
          <w:lang w:eastAsia="en-US"/>
        </w:rPr>
      </w:pPr>
      <w:r>
        <w:rPr>
          <w:rFonts w:ascii="Century Gothic" w:cstheme="minorBidi" w:eastAsiaTheme="minorHAnsi" w:hAnsi="Century Gothic"/>
          <w:sz w:val="20"/>
          <w:szCs w:val="22"/>
          <w:lang w:eastAsia="en-US"/>
        </w:rPr>
        <w:t>P</w:t>
      </w:r>
      <w:r w:rsidR="008F478A">
        <w:rPr>
          <w:rFonts w:ascii="Century Gothic" w:cstheme="minorBidi" w:eastAsiaTheme="minorHAnsi" w:hAnsi="Century Gothic"/>
          <w:sz w:val="20"/>
          <w:szCs w:val="22"/>
          <w:lang w:eastAsia="en-US"/>
        </w:rPr>
        <w:t>asserelle pour l’empotage des citernes d’ammoniaque</w:t>
      </w:r>
    </w:p>
    <w:p w14:paraId="00CDECB1" w14:textId="0397C947" w:rsidP="008F478A" w:rsidR="008F478A" w:rsidRDefault="008F478A">
      <w:pPr>
        <w:pStyle w:val="Paragraphedeliste"/>
        <w:numPr>
          <w:ilvl w:val="0"/>
          <w:numId w:val="2"/>
        </w:numPr>
        <w:rPr>
          <w:rFonts w:ascii="Century Gothic" w:cstheme="minorBidi" w:eastAsiaTheme="minorHAnsi" w:hAnsi="Century Gothic"/>
          <w:sz w:val="20"/>
          <w:szCs w:val="22"/>
          <w:lang w:eastAsia="en-US"/>
        </w:rPr>
      </w:pPr>
      <w:r>
        <w:rPr>
          <w:rFonts w:ascii="Century Gothic" w:cstheme="minorBidi" w:eastAsiaTheme="minorHAnsi" w:hAnsi="Century Gothic"/>
          <w:sz w:val="20"/>
          <w:szCs w:val="22"/>
          <w:lang w:eastAsia="en-US"/>
        </w:rPr>
        <w:t>Amélioration de l’ergonomie au poste de dépotage du fumant</w:t>
      </w:r>
    </w:p>
    <w:p w14:paraId="664300A7" w14:textId="4FFA94B2" w:rsidP="000D0FEC" w:rsidR="000D0FEC" w:rsidRDefault="00503E05" w:rsidRPr="000D0FEC">
      <w:pPr>
        <w:pStyle w:val="Paragraphedeliste"/>
        <w:numPr>
          <w:ilvl w:val="0"/>
          <w:numId w:val="2"/>
        </w:numPr>
        <w:rPr>
          <w:rFonts w:ascii="Century Gothic" w:cstheme="minorBidi" w:eastAsiaTheme="minorHAnsi" w:hAnsi="Century Gothic"/>
          <w:sz w:val="20"/>
          <w:szCs w:val="22"/>
          <w:lang w:eastAsia="en-US"/>
        </w:rPr>
      </w:pPr>
      <w:r>
        <w:rPr>
          <w:rFonts w:ascii="Century Gothic" w:cstheme="minorBidi" w:eastAsiaTheme="minorHAnsi" w:hAnsi="Century Gothic"/>
          <w:sz w:val="20"/>
          <w:szCs w:val="22"/>
          <w:lang w:eastAsia="en-US"/>
        </w:rPr>
        <w:t>Installation d’un titrateur au laboratoire</w:t>
      </w:r>
      <w:r w:rsidR="000D0FEC">
        <w:rPr>
          <w:rFonts w:ascii="Century Gothic" w:cstheme="minorBidi" w:eastAsiaTheme="minorHAnsi" w:hAnsi="Century Gothic"/>
          <w:sz w:val="20"/>
          <w:szCs w:val="22"/>
          <w:lang w:eastAsia="en-US"/>
        </w:rPr>
        <w:t xml:space="preserve"> avec code barre</w:t>
      </w:r>
      <w:r>
        <w:rPr>
          <w:rFonts w:ascii="Century Gothic" w:cstheme="minorBidi" w:eastAsiaTheme="minorHAnsi" w:hAnsi="Century Gothic"/>
          <w:sz w:val="20"/>
          <w:szCs w:val="22"/>
          <w:lang w:eastAsia="en-US"/>
        </w:rPr>
        <w:t xml:space="preserve"> pour mettre fin aux saisies</w:t>
      </w:r>
      <w:r w:rsidR="000D0FEC">
        <w:rPr>
          <w:rFonts w:ascii="Century Gothic" w:cstheme="minorBidi" w:eastAsiaTheme="minorHAnsi" w:hAnsi="Century Gothic"/>
          <w:sz w:val="20"/>
          <w:szCs w:val="22"/>
          <w:lang w:eastAsia="en-US"/>
        </w:rPr>
        <w:t xml:space="preserve"> manuelles et transfert automatique des données</w:t>
      </w:r>
    </w:p>
    <w:p w14:paraId="40EA481C" w14:textId="77777777" w:rsidP="009E7D0F" w:rsidR="003B3D16" w:rsidRDefault="003B3D16"/>
    <w:p w14:paraId="3C691CC9" w14:textId="16C45677" w:rsidP="001641EC" w:rsidR="001641EC" w:rsidRDefault="001641EC">
      <w:pPr>
        <w:pStyle w:val="Titre1"/>
      </w:pPr>
      <w:bookmarkStart w:id="26" w:name="_Toc120610904"/>
      <w:r>
        <w:t>DISPOSITIONS FINALES</w:t>
      </w:r>
      <w:bookmarkEnd w:id="26"/>
    </w:p>
    <w:p w14:paraId="30230C56" w14:textId="77777777" w:rsidP="00BB1D64" w:rsidR="00BB1D64" w:rsidRDefault="00BB1D64">
      <w:pPr>
        <w:spacing w:after="0"/>
      </w:pPr>
      <w:bookmarkStart w:id="27" w:name="_Toc120610905"/>
    </w:p>
    <w:p w14:paraId="42AB71C3" w14:textId="66610BDC" w:rsidP="00746849" w:rsidR="00746849" w:rsidRDefault="00746849">
      <w:pPr>
        <w:pStyle w:val="Titre2"/>
      </w:pPr>
      <w:r w:rsidRPr="00BF338C">
        <w:t>Evolution de l’environnement légal ou réglementaire</w:t>
      </w:r>
      <w:bookmarkEnd w:id="27"/>
    </w:p>
    <w:p w14:paraId="441F9E28" w14:textId="1E383622" w:rsidP="007743A2" w:rsidR="00E43F63" w:rsidRDefault="00E43F63">
      <w:r>
        <w:t>Toute évolution législative et/ou règlementaire relative aux négociations obligatoires au sein de l’entreprise s’appliquerait de plein droit au présent accord.</w:t>
      </w:r>
    </w:p>
    <w:p w14:paraId="3410EFEF" w14:textId="268E6723" w:rsidP="007743A2" w:rsidR="00746849" w:rsidRDefault="00E43F63">
      <w:r>
        <w:t>Dans l’hypothèse où cette évolution modifierait substantiellement l’équilibre du présent accord, les Parties se reverraient au plus tard dans un délai d’un mois à compter de l’entrée en vigueur de cette modification pour ouvrir une négociation en vue de réviser le présent accord. Les Parties s’engagent à participer de bonne foi aux réunions de négociation organisées en vue de la rédaction d’un nouveau texte.</w:t>
      </w:r>
    </w:p>
    <w:p w14:paraId="4B9D0C6B" w14:textId="77777777" w:rsidP="00BB1D64" w:rsidR="00BB1D64" w:rsidRDefault="00BB1D64">
      <w:pPr>
        <w:spacing w:after="0"/>
      </w:pPr>
      <w:bookmarkStart w:id="28" w:name="_Toc120610906"/>
    </w:p>
    <w:p w14:paraId="504A49E3" w14:textId="77777777" w:rsidP="002324ED" w:rsidR="002324ED" w:rsidRDefault="002324ED">
      <w:pPr>
        <w:pStyle w:val="Titre2"/>
      </w:pPr>
      <w:r w:rsidRPr="00BF338C">
        <w:t xml:space="preserve">Suivi de </w:t>
      </w:r>
      <w:r w:rsidRPr="002324ED">
        <w:t>l’accord</w:t>
      </w:r>
      <w:bookmarkEnd w:id="28"/>
    </w:p>
    <w:p w14:paraId="13916F95" w14:textId="7B1D7F09" w:rsidP="007743A2" w:rsidR="003D598F" w:rsidRDefault="003D598F">
      <w:r w:rsidRPr="00C70870">
        <w:t>Sur demande de l’un des signataires du présent accord, une réunion entre la Direction et l’organisation syndicale représentative au sein de la Société sera programmée si un point de désaccord intervenait concernant sa mise en œuvre, en vue de rechercher un consensus.</w:t>
      </w:r>
    </w:p>
    <w:p w14:paraId="62F24228" w14:textId="77777777" w:rsidP="00BB1D64" w:rsidR="00BB1D64" w:rsidRDefault="00BB1D64">
      <w:pPr>
        <w:spacing w:after="0"/>
      </w:pPr>
      <w:bookmarkStart w:id="29" w:name="_Toc120610907"/>
    </w:p>
    <w:p w14:paraId="1B831C22" w14:textId="7476FE8F" w:rsidP="007743A2" w:rsidR="00E43F63" w:rsidRDefault="007743A2">
      <w:pPr>
        <w:pStyle w:val="Titre2"/>
      </w:pPr>
      <w:r>
        <w:t>Durée de l’accord</w:t>
      </w:r>
      <w:bookmarkEnd w:id="29"/>
      <w:r>
        <w:t xml:space="preserve"> </w:t>
      </w:r>
    </w:p>
    <w:p w14:paraId="1410BCD9" w14:textId="0B4A9F4B" w:rsidP="00F64196" w:rsidR="00F64196" w:rsidRDefault="00F64196">
      <w:r w:rsidRPr="00F64196">
        <w:t xml:space="preserve">Les mesures prévues par le présent accord s’appliqueront pour une durée déterminée, à savoir du </w:t>
      </w:r>
      <w:r w:rsidR="00A628F5" w:rsidRPr="009B4665">
        <w:t>1</w:t>
      </w:r>
      <w:r w:rsidR="00A628F5" w:rsidRPr="009B4665">
        <w:rPr>
          <w:vertAlign w:val="superscript"/>
        </w:rPr>
        <w:t>er</w:t>
      </w:r>
      <w:r w:rsidR="00A628F5" w:rsidRPr="009B4665">
        <w:t xml:space="preserve"> janvier 2023 au 31 décembre 2023</w:t>
      </w:r>
      <w:r w:rsidRPr="00F64196">
        <w:t>.</w:t>
      </w:r>
    </w:p>
    <w:p w14:paraId="02E0D7D8" w14:textId="77777777" w:rsidP="00BB1D64" w:rsidR="00BB1D64" w:rsidRDefault="00BB1D64">
      <w:pPr>
        <w:spacing w:after="0"/>
      </w:pPr>
      <w:bookmarkStart w:id="30" w:name="_Toc120610908"/>
    </w:p>
    <w:p w14:paraId="56CEB57F" w14:textId="3A650A1E" w:rsidP="00982978" w:rsidR="00982978" w:rsidRDefault="00982978">
      <w:pPr>
        <w:pStyle w:val="Titre2"/>
      </w:pPr>
      <w:r>
        <w:t>Révision de l’accord</w:t>
      </w:r>
      <w:bookmarkEnd w:id="30"/>
      <w:r>
        <w:t xml:space="preserve"> </w:t>
      </w:r>
    </w:p>
    <w:p w14:paraId="3B272687" w14:textId="77777777" w:rsidP="005B2598" w:rsidR="005B2598" w:rsidRDefault="005B2598" w:rsidRPr="003737D7">
      <w:pPr>
        <w:rPr>
          <w:i/>
        </w:rPr>
      </w:pPr>
      <w:r w:rsidRPr="00C70870">
        <w:t xml:space="preserve">Le présent accord pourra </w:t>
      </w:r>
      <w:r>
        <w:t xml:space="preserve">par ailleurs </w:t>
      </w:r>
      <w:r w:rsidRPr="00C70870">
        <w:t>être révisé à tout moment par accord.</w:t>
      </w:r>
      <w:r w:rsidRPr="00C70870">
        <w:rPr>
          <w:i/>
        </w:rPr>
        <w:t xml:space="preserve"> </w:t>
      </w:r>
    </w:p>
    <w:p w14:paraId="768B54F5" w14:textId="07B2485C" w:rsidP="00DD749C" w:rsidR="005B2598" w:rsidRDefault="005B2598" w:rsidRPr="005B2598">
      <w:r w:rsidRPr="005B2598">
        <w:t xml:space="preserve">Les parties conviennent notamment de se réunir à nouveau pour discuter d’une éventuelle révision du présent accord si la moyenne des taux d’inflation mensuels, appréciée par référence à la publication par l’INSEE de l’indice des prix à la consommation (IPC), dépassait </w:t>
      </w:r>
      <w:r w:rsidR="007C10B9">
        <w:t>6,5</w:t>
      </w:r>
      <w:r w:rsidRPr="005B2598">
        <w:t>% en moyenne sur la période janvier-juin 2023.</w:t>
      </w:r>
    </w:p>
    <w:p w14:paraId="0D44D51E" w14:textId="77777777" w:rsidP="00DD749C" w:rsidR="00DD749C" w:rsidRDefault="00DD749C" w:rsidRPr="00C70870">
      <w:r w:rsidRPr="00C70870">
        <w:t>Conformément à la législation, la révision peut être engagée selon les dispositions mentionnées aux articles L. 2261-7-1 et L. 2261-8 du code du travail. La révision peut être engagée :</w:t>
      </w:r>
    </w:p>
    <w:p w14:paraId="51C86D8F" w14:textId="14A4B9B4" w:rsidP="00DD749C" w:rsidR="00DD749C" w:rsidRDefault="00DD749C">
      <w:pPr>
        <w:pStyle w:val="Paragraphedeliste"/>
        <w:numPr>
          <w:ilvl w:val="0"/>
          <w:numId w:val="15"/>
        </w:numPr>
        <w:jc w:val="both"/>
        <w:rPr>
          <w:rFonts w:ascii="Century Gothic" w:hAnsi="Century Gothic"/>
          <w:sz w:val="20"/>
          <w:szCs w:val="20"/>
        </w:rPr>
      </w:pPr>
      <w:r w:rsidRPr="00DD749C">
        <w:rPr>
          <w:rFonts w:ascii="Century Gothic" w:hAnsi="Century Gothic"/>
          <w:sz w:val="20"/>
          <w:szCs w:val="20"/>
        </w:rPr>
        <w:t>jusqu’à la fin du cycle électoral au cours duquel l’avenant a été conclu, par un ou plusieurs syndicats représentatifs dans son champ d’application et signataires ou adhérents de ce texte</w:t>
      </w:r>
      <w:r w:rsidR="00A37693">
        <w:rPr>
          <w:rFonts w:ascii="Century Gothic" w:hAnsi="Century Gothic"/>
          <w:sz w:val="20"/>
          <w:szCs w:val="20"/>
        </w:rPr>
        <w:t> ;</w:t>
      </w:r>
    </w:p>
    <w:p w14:paraId="6072E366" w14:textId="77777777" w:rsidP="00DD749C" w:rsidR="00DD749C" w:rsidRDefault="00DD749C" w:rsidRPr="00DD749C">
      <w:pPr>
        <w:pStyle w:val="Paragraphedeliste"/>
        <w:ind w:left="720"/>
        <w:jc w:val="both"/>
        <w:rPr>
          <w:rFonts w:ascii="Century Gothic" w:hAnsi="Century Gothic"/>
          <w:sz w:val="20"/>
          <w:szCs w:val="20"/>
        </w:rPr>
      </w:pPr>
    </w:p>
    <w:p w14:paraId="053F1C48" w14:textId="2033DBDA" w:rsidP="00DD749C" w:rsidR="00DD749C" w:rsidRDefault="00DD749C" w:rsidRPr="00DD749C">
      <w:pPr>
        <w:pStyle w:val="Paragraphedeliste"/>
        <w:numPr>
          <w:ilvl w:val="0"/>
          <w:numId w:val="15"/>
        </w:numPr>
        <w:jc w:val="both"/>
        <w:rPr>
          <w:rFonts w:ascii="Century Gothic" w:hAnsi="Century Gothic"/>
          <w:sz w:val="20"/>
          <w:szCs w:val="20"/>
        </w:rPr>
      </w:pPr>
      <w:r w:rsidRPr="00DD749C">
        <w:rPr>
          <w:rFonts w:ascii="Century Gothic" w:hAnsi="Century Gothic"/>
          <w:sz w:val="20"/>
          <w:szCs w:val="20"/>
        </w:rPr>
        <w:t>à l’issue de cette période, par un ou plusieurs syndicats représentatifs dans le champ d’application de l’avenant, qu’il soit ou non signataire / adhérent.</w:t>
      </w:r>
    </w:p>
    <w:p w14:paraId="0085ED3A" w14:textId="77777777" w:rsidP="00DD749C" w:rsidR="00DD749C" w:rsidRDefault="00DD749C">
      <w:pPr>
        <w:pStyle w:val="Paragraphedeliste"/>
        <w:ind w:left="720"/>
      </w:pPr>
    </w:p>
    <w:p w14:paraId="0AE18D1A" w14:textId="16F84D27" w:rsidP="00DD749C" w:rsidR="00DD749C" w:rsidRDefault="00DD749C" w:rsidRPr="00C70870">
      <w:r w:rsidRPr="00C70870">
        <w:t xml:space="preserve">Les </w:t>
      </w:r>
      <w:r w:rsidR="00A628F5">
        <w:t>P</w:t>
      </w:r>
      <w:r w:rsidRPr="00C70870">
        <w:t>arties conviennent que cette demande doit être adressée par lettre recommandée</w:t>
      </w:r>
      <w:r>
        <w:t xml:space="preserve"> ou email</w:t>
      </w:r>
      <w:r w:rsidRPr="00C70870">
        <w:t xml:space="preserve"> avec accusé de réception </w:t>
      </w:r>
      <w:r w:rsidR="00A628F5">
        <w:t>à l’autre parties signataires</w:t>
      </w:r>
      <w:r w:rsidRPr="00C70870">
        <w:t>.</w:t>
      </w:r>
    </w:p>
    <w:p w14:paraId="2BF4E584" w14:textId="5B28DF6F" w:rsidP="00A37693" w:rsidR="00DD749C" w:rsidRDefault="00DD749C" w:rsidRPr="00C70870">
      <w:r w:rsidRPr="00C70870">
        <w:t>Au plus tard dans un délai de trois mois suivant la réception de cette lettre, les Parties devront ouvrir une négociation en vue de la rédaction d’un nouveau texte. Les dispositions de l’accord dont la révision est demandée resteront en vigueur jusqu’à la conclusion d’un avenant.</w:t>
      </w:r>
    </w:p>
    <w:p w14:paraId="791F2919" w14:textId="24BB78B7" w:rsidP="00A37693" w:rsidR="00DD749C" w:rsidRDefault="00DD749C" w:rsidRPr="00C70870">
      <w:r w:rsidRPr="00C70870">
        <w:t>L’avenant se substituera alors de plein droit aux dispositions du présent accord qu’il modifie dès lors qu’il aura été conclu conformément aux dispositions légales.</w:t>
      </w:r>
    </w:p>
    <w:p w14:paraId="1ABCBEE1" w14:textId="66180966" w:rsidP="00A37693" w:rsidR="00DD749C" w:rsidRDefault="00DD749C" w:rsidRPr="00C70870">
      <w:r w:rsidRPr="00C70870">
        <w:t>La validité de l’avenant de révision s'apprécie conformément aux règles de droit commun de conclusion des conventions et accords collectifs de travail.</w:t>
      </w:r>
    </w:p>
    <w:p w14:paraId="55F36D64" w14:textId="7176387A" w:rsidP="00A37693" w:rsidR="00DD749C" w:rsidRDefault="00DD749C">
      <w:r w:rsidRPr="00C70870">
        <w:t>Les Parties signataires du présent accord s’engagent à participer de bonne foi aux réunions organisées en vue de la négociation d’un éventuel avenant de révision, ce qui ne saurait, bien entendu, les engager à signer quelconque accord ou avenant de révision que ce soit.</w:t>
      </w:r>
    </w:p>
    <w:p w14:paraId="06C52EBF" w14:textId="77777777" w:rsidP="00BB1D64" w:rsidR="00BB1D64" w:rsidRDefault="00BB1D64">
      <w:pPr>
        <w:spacing w:after="0"/>
      </w:pPr>
      <w:bookmarkStart w:id="31" w:name="_Toc120610909"/>
    </w:p>
    <w:p w14:paraId="44B77729" w14:textId="41763047" w:rsidP="0034786A" w:rsidR="00D0227E" w:rsidRDefault="0034786A">
      <w:pPr>
        <w:pStyle w:val="Titre2"/>
      </w:pPr>
      <w:r>
        <w:t>Dépôt et publicité de l’accord</w:t>
      </w:r>
      <w:bookmarkEnd w:id="31"/>
      <w:r>
        <w:t xml:space="preserve"> </w:t>
      </w:r>
    </w:p>
    <w:p w14:paraId="0AD33ABE" w14:textId="3C9D18AC" w:rsidP="00A37693" w:rsidR="00A37693" w:rsidRDefault="00A37693">
      <w:r>
        <w:t xml:space="preserve">Un exemplaire du présent accord, signé par les parties, sera remis à </w:t>
      </w:r>
      <w:r w:rsidR="00042A77">
        <w:t>l’</w:t>
      </w:r>
      <w:r>
        <w:t>organisation syndicale représentative pour notification au sens de l’article L2231-5 du Code du travail.</w:t>
      </w:r>
    </w:p>
    <w:p w14:paraId="73AC20C9" w14:textId="273B61BC" w:rsidP="00A37693" w:rsidR="00A37693" w:rsidRDefault="00A37693" w:rsidRPr="00A37693">
      <w:pPr>
        <w:rPr>
          <w:rFonts w:cs="Arial"/>
          <w:szCs w:val="20"/>
        </w:rPr>
      </w:pPr>
      <w:r>
        <w:t>Les formalités de dépôt du présent accord seront réalisées conformément aux dispositions du C</w:t>
      </w:r>
      <w:r w:rsidRPr="00A37693">
        <w:rPr>
          <w:rFonts w:cs="Arial"/>
          <w:szCs w:val="20"/>
        </w:rPr>
        <w:t>ode du travail. Ainsi</w:t>
      </w:r>
      <w:r w:rsidR="003B3D16">
        <w:rPr>
          <w:rFonts w:cs="Arial"/>
          <w:szCs w:val="20"/>
        </w:rPr>
        <w:t> :</w:t>
      </w:r>
    </w:p>
    <w:p w14:paraId="692F3E65" w14:textId="7AF38071" w:rsidP="00A37693" w:rsidR="00A37693" w:rsidRDefault="00A37693" w:rsidRPr="00A37693">
      <w:pPr>
        <w:pStyle w:val="Paragraphedeliste"/>
        <w:numPr>
          <w:ilvl w:val="0"/>
          <w:numId w:val="17"/>
        </w:numPr>
        <w:jc w:val="both"/>
        <w:rPr>
          <w:rFonts w:ascii="Century Gothic" w:cs="Arial" w:hAnsi="Century Gothic"/>
          <w:sz w:val="20"/>
          <w:szCs w:val="20"/>
        </w:rPr>
      </w:pPr>
      <w:r w:rsidRPr="00A37693">
        <w:rPr>
          <w:rFonts w:ascii="Century Gothic" w:cs="Arial" w:hAnsi="Century Gothic"/>
          <w:sz w:val="20"/>
          <w:szCs w:val="20"/>
        </w:rPr>
        <w:t>un exemplaire sera déposé au greffe du Conseil de prud’hommes de Coutances</w:t>
      </w:r>
      <w:r w:rsidR="003B3D16">
        <w:rPr>
          <w:rFonts w:ascii="Century Gothic" w:cs="Arial" w:hAnsi="Century Gothic"/>
          <w:sz w:val="20"/>
          <w:szCs w:val="20"/>
        </w:rPr>
        <w:t> ;</w:t>
      </w:r>
    </w:p>
    <w:p w14:paraId="0A165AE4" w14:textId="1D0CB072" w:rsidP="00A37693" w:rsidR="00A37693" w:rsidRDefault="00A37693">
      <w:pPr>
        <w:pStyle w:val="Paragraphedeliste"/>
        <w:numPr>
          <w:ilvl w:val="0"/>
          <w:numId w:val="17"/>
        </w:numPr>
        <w:jc w:val="both"/>
        <w:rPr>
          <w:rFonts w:ascii="Century Gothic" w:cs="Arial" w:hAnsi="Century Gothic"/>
          <w:sz w:val="20"/>
          <w:szCs w:val="20"/>
        </w:rPr>
      </w:pPr>
      <w:r w:rsidRPr="00A37693">
        <w:rPr>
          <w:rFonts w:ascii="Century Gothic" w:cs="Arial" w:hAnsi="Century Gothic"/>
          <w:sz w:val="20"/>
          <w:szCs w:val="20"/>
        </w:rPr>
        <w:t>un dépôt de l’accord sur la plateforme de téléprocédure du Ministère du travail sera réalisé, accompagné des pièces visées à l’article D2231-7 du Code du travail.</w:t>
      </w:r>
    </w:p>
    <w:p w14:paraId="0AD9D85D" w14:textId="77777777" w:rsidP="00A37693" w:rsidR="00A37693" w:rsidRDefault="00A37693">
      <w:pPr>
        <w:pStyle w:val="Paragraphedeliste"/>
        <w:ind w:left="720"/>
        <w:jc w:val="both"/>
        <w:rPr>
          <w:rFonts w:ascii="Century Gothic" w:cs="Arial" w:hAnsi="Century Gothic"/>
          <w:sz w:val="20"/>
          <w:szCs w:val="20"/>
        </w:rPr>
      </w:pPr>
    </w:p>
    <w:p w14:paraId="57DB8491" w14:textId="624E1E2E" w:rsidP="00A37693" w:rsidR="004B299D" w:rsidRDefault="00A37693">
      <w:pPr>
        <w:rPr>
          <w:rFonts w:cs="Arial"/>
          <w:szCs w:val="20"/>
        </w:rPr>
      </w:pPr>
      <w:r w:rsidRPr="00A37693">
        <w:rPr>
          <w:rFonts w:cs="Arial"/>
          <w:szCs w:val="20"/>
        </w:rPr>
        <w:t>Un affichage sera, en outre réalisé, sur les panneaux de la Direction destinés à cet effet.</w:t>
      </w:r>
    </w:p>
    <w:p w14:paraId="5585DC83" w14:textId="5EED87A6" w:rsidP="00E629FA" w:rsidR="00E629FA" w:rsidRDefault="00E629FA">
      <w:r>
        <w:t>Le présent accord sera, en application de l’article L2231-5-1 du Code du travail, rendu public (dans une version anonymisée) et versé dans la base de données nationale, aucune des Parties n’ayant exprimé le souhait d’occulter tout ou partie des dispositions de cet accord préalablement à son dépôt.</w:t>
      </w:r>
    </w:p>
    <w:p w14:paraId="1F44B011" w14:textId="77777777" w:rsidP="00E629FA" w:rsidR="008E4D4F" w:rsidRDefault="008E4D4F"/>
    <w:p w14:paraId="0B696629" w14:textId="4F07EB70" w:rsidP="00E629FA" w:rsidR="00E629FA" w:rsidRDefault="00E629FA">
      <w:r>
        <w:t xml:space="preserve">Fait à </w:t>
      </w:r>
      <w:r w:rsidRPr="007C57F2">
        <w:t>______________</w:t>
      </w:r>
      <w:r w:rsidR="00190E3C" w:rsidRPr="007C57F2">
        <w:t xml:space="preserve"> 2022</w:t>
      </w:r>
      <w:r w:rsidRPr="007C57F2">
        <w:t>, le ______________,</w:t>
      </w:r>
      <w:r>
        <w:t xml:space="preserve"> en autant d’exemplaires originaux que nécessaire,</w:t>
      </w:r>
    </w:p>
    <w:p w14:paraId="6580DAD4" w14:textId="77777777" w:rsidP="00E629FA" w:rsidR="00E629FA" w:rsidRDefault="00E629FA"/>
    <w:p w14:paraId="1B57F01A" w14:textId="77777777" w:rsidP="00E629FA" w:rsidR="00E629FA" w:rsidRDefault="00E629FA" w:rsidRPr="00E629FA">
      <w:pPr>
        <w:rPr>
          <w:b/>
          <w:bCs/>
        </w:rPr>
      </w:pPr>
      <w:r w:rsidRPr="00E629FA">
        <w:rPr>
          <w:b/>
          <w:bCs/>
        </w:rPr>
        <w:t>Pour la Société</w:t>
      </w:r>
    </w:p>
    <w:p w14:paraId="17A2DD4E" w14:textId="77777777" w:rsidP="00E629FA" w:rsidR="00E629FA" w:rsidRDefault="00E629FA" w:rsidRPr="00E629FA">
      <w:pPr>
        <w:rPr>
          <w:b/>
          <w:bCs/>
        </w:rPr>
      </w:pPr>
    </w:p>
    <w:p w14:paraId="09D4C58D" w14:textId="5B274D0D" w:rsidP="00746849" w:rsidR="00746849" w:rsidRDefault="00E629FA" w:rsidRPr="000D0FEC">
      <w:pPr>
        <w:rPr>
          <w:b/>
          <w:bCs/>
        </w:rPr>
      </w:pPr>
      <w:r w:rsidRPr="00E629FA">
        <w:rPr>
          <w:b/>
          <w:bCs/>
        </w:rPr>
        <w:t>Pour la CGT</w:t>
      </w:r>
    </w:p>
    <w:sectPr w:rsidR="00746849" w:rsidRPr="000D0FEC">
      <w:footerReference r:id="rId8" w:type="even"/>
      <w:footerReference r:id="rId9" w:type="default"/>
      <w:footerReference r:id="rId10"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ECD88" w14:textId="77777777" w:rsidR="00716829" w:rsidRDefault="00716829" w:rsidP="002E2FF4">
      <w:pPr>
        <w:spacing w:after="0" w:line="240" w:lineRule="auto"/>
      </w:pPr>
      <w:r>
        <w:separator/>
      </w:r>
    </w:p>
  </w:endnote>
  <w:endnote w:type="continuationSeparator" w:id="0">
    <w:p w14:paraId="161F6545" w14:textId="77777777" w:rsidR="00716829" w:rsidRDefault="00716829" w:rsidP="002E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3792822" w14:textId="16480D50" w:rsidR="005E1CD2" w:rsidRDefault="005E1CD2">
    <w:pPr>
      <w:pStyle w:val="Pieddepage"/>
    </w:pPr>
    <w:r>
      <w:rPr>
        <w:noProof/>
      </w:rPr>
      <mc:AlternateContent>
        <mc:Choice Requires="wps">
          <w:drawing>
            <wp:anchor allowOverlap="1" behindDoc="0" distB="0" distL="0" distR="0" distT="0" layoutInCell="1" locked="0" relativeHeight="251659264" simplePos="0" wp14:anchorId="653381D0" wp14:editId="18D4386E">
              <wp:simplePos x="635" y="635"/>
              <wp:positionH relativeFrom="page">
                <wp:align>center</wp:align>
              </wp:positionH>
              <wp:positionV relativeFrom="page">
                <wp:align>bottom</wp:align>
              </wp:positionV>
              <wp:extent cx="443865" cy="443865"/>
              <wp:effectExtent b="0" l="0" r="8255" t="0"/>
              <wp:wrapNone/>
              <wp:docPr descr="ENTEGRIS PROPRIETARY AND CONFIDENTIAL – INTERNAL" id="2" name="Zone de texte 2">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F59CFF" w14:textId="389491EB" w:rsidP="005E1CD2" w:rsidR="005E1CD2" w:rsidRDefault="005E1CD2" w:rsidRPr="005E1CD2">
                          <w:pPr>
                            <w:spacing w:after="0"/>
                            <w:rPr>
                              <w:rFonts w:ascii="Calibri" w:cs="Calibri" w:eastAsia="Calibri" w:hAnsi="Calibri"/>
                              <w:noProof/>
                              <w:color w:val="000000"/>
                              <w:szCs w:val="20"/>
                            </w:rPr>
                          </w:pPr>
                          <w:r w:rsidRPr="005E1CD2">
                            <w:rPr>
                              <w:rFonts w:ascii="Calibri" w:cs="Calibri" w:eastAsia="Calibri" w:hAnsi="Calibri"/>
                              <w:noProof/>
                              <w:color w:val="000000"/>
                              <w:szCs w:val="20"/>
                            </w:rPr>
                            <w:t>ENTEGRIS PROPRIETARY AND CONFIDENTIAL – INTERNAL</w:t>
                          </w:r>
                        </w:p>
                      </w:txbxContent>
                    </wps:txbx>
                    <wps:bodyPr anchor="b" anchorCtr="0" bIns="190500" compatLnSpc="1" forceAA="0" fromWordArt="0" horzOverflow="overflow" lIns="0" numCol="1" rIns="0" rot="0" rtlCol="0" spcCol="0" spcFirstLastPara="0" tIns="0" vert="horz" vertOverflow="overflow" wrap="none">
                      <a:prstTxWarp prst="textNoShape">
                        <a:avLst/>
                      </a:prstTxWarp>
                      <a:spAutoFit/>
                    </wps:bodyPr>
                  </wps:wsp>
                </a:graphicData>
              </a:graphic>
            </wp:anchor>
          </w:drawing>
        </mc:Choice>
        <mc:Fallback>
          <w:pict>
            <v:shapetype coordsize="21600,21600" id="_x0000_t202" o:spt="202" path="m,l,21600r21600,l21600,xe" w14:anchorId="653381D0">
              <v:stroke joinstyle="miter"/>
              <v:path gradientshapeok="t" o:connecttype="rect"/>
            </v:shapetype>
            <v:shape alt="ENTEGRIS PROPRIETARY AND CONFIDENTIAL – INTERNAL" filled="f"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HLlaCQIAABwEAAAOAAAAZHJzL2Uyb0RvYy54bWysU01v2zAMvQ/YfxB0X+x0bdEZcYqsRYYB QVsgHXpWZCk2IIsCpcTOfv0o2W66bqdhF/mZpPjx+LS47VvDjgp9A7bk81nOmbISqsbuS/7jef3p hjMfhK2EAatKflKe3y4/flh0rlAXUIOpFDJKYn3RuZLXIbgiy7ysVSv8DJyy5NSArQj0i/usQtFR 9tZkF3l+nXWAlUOQynuy3g9Ovkz5tVYyPGrtVWCm5NRbSCemcxfPbLkQxR6Fqxs5tiH+oYtWNJaK vqa6F0GwAzZ/pGobieBBh5mENgOtG6nSDDTNPH83zbYWTqVZiBzvXmny/y+tfDhu3ROy0H+FnhYY CemcLzwZ4zy9xjZ+qVNGfqLw9Eqb6gOTZLy8/HxzfcWZJNeIKUt2vuzQh28KWhZByZG2ksgSx40P Q+gUEmtZWDfGpM0Y+5uBckZLdu4wotDvetZUb7rfQXWioRCGfXsn1w2V3ggfngTSgmkOEm14pEMb 6EoOI+KsBvz5N3uMJ97Jy1lHgim5JUVzZr5b2kfU1gRwArsE5l/yq5z89tDeAclwTi/CyQTJisFM UCO0LyTnVSxELmEllSv5boJ3YVAuPQepVqsURDJyImzs1smYOtIVuXzuXwS6kfBAm3qASU2ieMf7 EBtverc6BGI/LSVSOxA5Mk4STGsdn0vU+Nv/FHV+1MtfAAAA//8DAFBLAwQUAAYACAAAACEAN+3R +NkAAAADAQAADwAAAGRycy9kb3ducmV2LnhtbEyPQU/DMAyF70j8h8hI3FjKJiZWmk5oEqchpG1c uHmJ1xYap2rcrfv3BDiwi5+sZ733uViOvlVH6mMT2MD9JANFbINruDLwvnu5ewQVBdlhG5gMnCnC sry+KjB34cQbOm6lUimEY44GapEu1zramjzGSeiIk3cIvUdJa19p1+MphftWT7Nsrj02nBpq7GhV k/3aDt7Aw0ZehzfezT7G6flz3a3s7LC2xtzejM9PoIRG+T+GH/yEDmVi2oeBXVStgfSI/M7kzRcL UPs/1WWhL9nLbwAAAP//AwBQSwECLQAUAAYACAAAACEAtoM4kv4AAADhAQAAEwAAAAAAAAAAAAAA AAAAAAAAW0NvbnRlbnRfVHlwZXNdLnhtbFBLAQItABQABgAIAAAAIQA4/SH/1gAAAJQBAAALAAAA AAAAAAAAAAAAAC8BAABfcmVscy8ucmVsc1BLAQItABQABgAIAAAAIQAPHLlaCQIAABwEAAAOAAAA AAAAAAAAAAAAAC4CAABkcnMvZTJvRG9jLnhtbFBLAQItABQABgAIAAAAIQA37dH42QAAAAMBAAAP AAAAAAAAAAAAAAAAAGMEAABkcnMvZG93bnJldi54bWxQSwUGAAAAAAQABADzAAAAaQUAAAAA " o:spid="_x0000_s1026" stroked="f"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type="#_x0000_t202">
              <v:fill o:detectmouseclick="t"/>
              <v:textbox inset="0,0,0,15pt" style="mso-fit-shape-to-text:t">
                <w:txbxContent>
                  <w:p w14:paraId="1BF59CFF" w14:textId="389491EB" w:rsidP="005E1CD2" w:rsidR="005E1CD2" w:rsidRDefault="005E1CD2" w:rsidRPr="005E1CD2">
                    <w:pPr>
                      <w:spacing w:after="0"/>
                      <w:rPr>
                        <w:rFonts w:ascii="Calibri" w:cs="Calibri" w:eastAsia="Calibri" w:hAnsi="Calibri"/>
                        <w:noProof/>
                        <w:color w:val="000000"/>
                        <w:szCs w:val="20"/>
                      </w:rPr>
                    </w:pPr>
                    <w:r w:rsidRPr="005E1CD2">
                      <w:rPr>
                        <w:rFonts w:ascii="Calibri" w:cs="Calibri" w:eastAsia="Calibri" w:hAnsi="Calibri"/>
                        <w:noProof/>
                        <w:color w:val="000000"/>
                        <w:szCs w:val="20"/>
                      </w:rPr>
                      <w:t>ENTEGRIS PROPRIETARY AND CONFIDENTIAL – INTERNAL</w:t>
                    </w:r>
                  </w:p>
                </w:txbxContent>
              </v:textbox>
              <w10:wrap anchorx="page" anchory="page"/>
            </v:shape>
          </w:pict>
        </mc:Fallback>
      </mc:AlternateConten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EA03D5C" w14:textId="40EB3FDB" w:rsidR="002E2FF4" w:rsidRDefault="005E1CD2">
    <w:pPr>
      <w:pStyle w:val="Pieddepage"/>
      <w:jc w:val="right"/>
    </w:pPr>
    <w:r>
      <w:rPr>
        <w:noProof/>
      </w:rPr>
      <mc:AlternateContent>
        <mc:Choice Requires="wps">
          <w:drawing>
            <wp:anchor allowOverlap="1" behindDoc="0" distB="0" distL="0" distR="0" distT="0" layoutInCell="1" locked="0" relativeHeight="251660288" simplePos="0" wp14:anchorId="1BFD881B" wp14:editId="1F845029">
              <wp:simplePos x="901700" y="9931400"/>
              <wp:positionH relativeFrom="page">
                <wp:align>center</wp:align>
              </wp:positionH>
              <wp:positionV relativeFrom="page">
                <wp:align>bottom</wp:align>
              </wp:positionV>
              <wp:extent cx="443865" cy="443865"/>
              <wp:effectExtent b="0" l="0" r="8255" t="0"/>
              <wp:wrapNone/>
              <wp:docPr descr="ENTEGRIS PROPRIETARY AND CONFIDENTIAL – INTERNAL" id="3" name="Zone de texte 3">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686290" w14:textId="6199EEF9" w:rsidP="005E1CD2" w:rsidR="005E1CD2" w:rsidRDefault="005E1CD2" w:rsidRPr="005E1CD2">
                          <w:pPr>
                            <w:spacing w:after="0"/>
                            <w:rPr>
                              <w:rFonts w:ascii="Calibri" w:cs="Calibri" w:eastAsia="Calibri" w:hAnsi="Calibri"/>
                              <w:noProof/>
                              <w:color w:val="000000"/>
                              <w:szCs w:val="20"/>
                            </w:rPr>
                          </w:pPr>
                          <w:r w:rsidRPr="005E1CD2">
                            <w:rPr>
                              <w:rFonts w:ascii="Calibri" w:cs="Calibri" w:eastAsia="Calibri" w:hAnsi="Calibri"/>
                              <w:noProof/>
                              <w:color w:val="000000"/>
                              <w:szCs w:val="20"/>
                            </w:rPr>
                            <w:t>ENTEGRIS PROPRIETARY AND CONFIDENTIAL – INTERNAL</w:t>
                          </w:r>
                        </w:p>
                      </w:txbxContent>
                    </wps:txbx>
                    <wps:bodyPr anchor="b" anchorCtr="0" bIns="190500" compatLnSpc="1" forceAA="0" fromWordArt="0" horzOverflow="overflow" lIns="0" numCol="1" rIns="0" rot="0" rtlCol="0" spcCol="0" spcFirstLastPara="0" tIns="0" vert="horz" vertOverflow="overflow" wrap="none">
                      <a:prstTxWarp prst="textNoShape">
                        <a:avLst/>
                      </a:prstTxWarp>
                      <a:spAutoFit/>
                    </wps:bodyPr>
                  </wps:wsp>
                </a:graphicData>
              </a:graphic>
            </wp:anchor>
          </w:drawing>
        </mc:Choice>
        <mc:Fallback>
          <w:pict>
            <v:shapetype coordsize="21600,21600" id="_x0000_t202" o:spt="202" path="m,l,21600r21600,l21600,xe" w14:anchorId="1BFD881B">
              <v:stroke joinstyle="miter"/>
              <v:path gradientshapeok="t" o:connecttype="rect"/>
            </v:shapetype>
            <v:shape alt="ENTEGRIS PROPRIETARY AND CONFIDENTIAL – INTERNAL" filled="f" id="Zone de text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43W4cCwIAABwEAAAOAAAAZHJzL2Uyb0RvYy54bWysU01v2zAMvQ/YfxB0X+xkbdEacYqsRYYB QVsgHXqWZSk2IImCpMTOfv0o2U62bqdhF/mZpPjx+LS877UiR+F8C6ak81lOiTAc6tbsS/r9dfPp lhIfmKmZAiNKehKe3q8+flh2thALaEDVwhFMYnzR2ZI2IdgiyzxvhGZ+BlYYdEpwmgX8dfusdqzD 7Fplizy/yTpwtXXAhfdofRycdJXySyl4eJbSi0BUSbG3kE6Xziqe2WrJir1jtmn52Ab7hy40aw0W Pad6ZIGRg2v/SKVb7sCDDDMOOgMpWy7SDDjNPH83za5hVqRZkBxvzzT5/5eWPx139sWR0H+BHhcY CemsLzwa4zy9dDp+sVOCfqTwdKZN9IFwNF5dfb69uaaEo2vEmCW7XLbOh68CNImgpA63kshix60P Q+gUEmsZ2LRKpc0o85sBc0ZLdukwotBXPWnrki6m7iuoTziUg2Hf3vJNi6W3zIcX5nDBOAeKNjzj IRV0JYURUdKA+/E3e4xH3tFLSYeCKalBRVOivhncR9TWBNwEqgTmd/l1jn5z0A+AMpzji7A8QbS6 oCYoHeg3lPM6FkIXMxzLlbSa4EMYlIvPgYv1OgWhjCwLW7OzPKaOdEUuX/s35uxIeMBNPcGkJla8 432IjTe9XR8Csp+WEqkdiBwZRwmmtY7PJWr81/8UdXnUq58AAAD//wMAUEsDBBQABgAIAAAAIQA3 7dH42QAAAAMBAAAPAAAAZHJzL2Rvd25yZXYueG1sTI9BT8MwDIXvSPyHyEjcWMomJlaaTmgSpyGk bVy4eYnXFhqnatyt+/cEOLCLn6xnvfe5WI6+VUfqYxPYwP0kA0Vsg2u4MvC+e7l7BBUF2WEbmAyc KcKyvL4qMHfhxBs6bqVSKYRjjgZqkS7XOtqaPMZJ6IiTdwi9R0lrX2nX4ymF+1ZPs2yuPTacGmrs aFWT/doO3sDDRl6HN97NPsbp+XPdrezssLbG3N6Mz0+ghEb5P4Yf/IQOZWLah4FdVK2B9Ij8zuTN FwtQ+z/VZaEv2ctvAAAA//8DAFBLAQItABQABgAIAAAAIQC2gziS/gAAAOEBAAATAAAAAAAAAAAA AAAAAAAAAABbQ29udGVudF9UeXBlc10ueG1sUEsBAi0AFAAGAAgAAAAhADj9If/WAAAAlAEAAAsA AAAAAAAAAAAAAAAALwEAAF9yZWxzLy5yZWxzUEsBAi0AFAAGAAgAAAAhALjdbhwLAgAAHAQAAA4A AAAAAAAAAAAAAAAALgIAAGRycy9lMm9Eb2MueG1sUEsBAi0AFAAGAAgAAAAhADft0fjZAAAAAwEA AA8AAAAAAAAAAAAAAAAAZQQAAGRycy9kb3ducmV2LnhtbFBLBQYAAAAABAAEAPMAAABrBQAAAAA= " o:spid="_x0000_s1027" stroked="f"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type="#_x0000_t202">
              <v:fill o:detectmouseclick="t"/>
              <v:textbox inset="0,0,0,15pt" style="mso-fit-shape-to-text:t">
                <w:txbxContent>
                  <w:p w14:paraId="0A686290" w14:textId="6199EEF9" w:rsidP="005E1CD2" w:rsidR="005E1CD2" w:rsidRDefault="005E1CD2" w:rsidRPr="005E1CD2">
                    <w:pPr>
                      <w:spacing w:after="0"/>
                      <w:rPr>
                        <w:rFonts w:ascii="Calibri" w:cs="Calibri" w:eastAsia="Calibri" w:hAnsi="Calibri"/>
                        <w:noProof/>
                        <w:color w:val="000000"/>
                        <w:szCs w:val="20"/>
                      </w:rPr>
                    </w:pPr>
                    <w:r w:rsidRPr="005E1CD2">
                      <w:rPr>
                        <w:rFonts w:ascii="Calibri" w:cs="Calibri" w:eastAsia="Calibri" w:hAnsi="Calibri"/>
                        <w:noProof/>
                        <w:color w:val="000000"/>
                        <w:szCs w:val="20"/>
                      </w:rPr>
                      <w:t>ENTEGRIS PROPRIETARY AND CONFIDENTIAL – INTERNAL</w:t>
                    </w:r>
                  </w:p>
                </w:txbxContent>
              </v:textbox>
              <w10:wrap anchorx="page" anchory="page"/>
            </v:shape>
          </w:pict>
        </mc:Fallback>
      </mc:AlternateContent>
    </w:r>
    <w:sdt>
      <w:sdtPr>
        <w:id w:val="596841162"/>
        <w:docPartObj>
          <w:docPartGallery w:val="Page Numbers (Bottom of Page)"/>
          <w:docPartUnique/>
        </w:docPartObj>
      </w:sdtPr>
      <w:sdtEndPr/>
      <w:sdtContent>
        <w:sdt>
          <w:sdtPr>
            <w:id w:val="-1769616900"/>
            <w:docPartObj>
              <w:docPartGallery w:val="Page Numbers (Top of Page)"/>
              <w:docPartUnique/>
            </w:docPartObj>
          </w:sdtPr>
          <w:sdtEndPr/>
          <w:sdtContent>
            <w:r w:rsidR="002E2FF4">
              <w:t xml:space="preserve">Page </w:t>
            </w:r>
            <w:r w:rsidR="002E2FF4">
              <w:rPr>
                <w:b/>
                <w:bCs/>
                <w:sz w:val="24"/>
                <w:szCs w:val="24"/>
              </w:rPr>
              <w:fldChar w:fldCharType="begin"/>
            </w:r>
            <w:r w:rsidR="002E2FF4">
              <w:rPr>
                <w:b/>
                <w:bCs/>
              </w:rPr>
              <w:instrText>PAGE</w:instrText>
            </w:r>
            <w:r w:rsidR="002E2FF4">
              <w:rPr>
                <w:b/>
                <w:bCs/>
                <w:sz w:val="24"/>
                <w:szCs w:val="24"/>
              </w:rPr>
              <w:fldChar w:fldCharType="separate"/>
            </w:r>
            <w:r w:rsidR="002E2FF4">
              <w:rPr>
                <w:b/>
                <w:bCs/>
              </w:rPr>
              <w:t>2</w:t>
            </w:r>
            <w:r w:rsidR="002E2FF4">
              <w:rPr>
                <w:b/>
                <w:bCs/>
                <w:sz w:val="24"/>
                <w:szCs w:val="24"/>
              </w:rPr>
              <w:fldChar w:fldCharType="end"/>
            </w:r>
            <w:r w:rsidR="002E2FF4">
              <w:t xml:space="preserve"> sur </w:t>
            </w:r>
            <w:r w:rsidR="002E2FF4">
              <w:rPr>
                <w:b/>
                <w:bCs/>
                <w:sz w:val="24"/>
                <w:szCs w:val="24"/>
              </w:rPr>
              <w:fldChar w:fldCharType="begin"/>
            </w:r>
            <w:r w:rsidR="002E2FF4">
              <w:rPr>
                <w:b/>
                <w:bCs/>
              </w:rPr>
              <w:instrText>NUMPAGES</w:instrText>
            </w:r>
            <w:r w:rsidR="002E2FF4">
              <w:rPr>
                <w:b/>
                <w:bCs/>
                <w:sz w:val="24"/>
                <w:szCs w:val="24"/>
              </w:rPr>
              <w:fldChar w:fldCharType="separate"/>
            </w:r>
            <w:r w:rsidR="002E2FF4">
              <w:rPr>
                <w:b/>
                <w:bCs/>
              </w:rPr>
              <w:t>2</w:t>
            </w:r>
            <w:r w:rsidR="002E2FF4">
              <w:rPr>
                <w:b/>
                <w:bCs/>
                <w:sz w:val="24"/>
                <w:szCs w:val="24"/>
              </w:rPr>
              <w:fldChar w:fldCharType="end"/>
            </w:r>
          </w:sdtContent>
        </w:sdt>
      </w:sdtContent>
    </w:sdt>
  </w:p>
  <w:p w14:paraId="05B07734" w14:textId="77777777" w:rsidR="002E2FF4" w:rsidRDefault="002E2FF4">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53EBA6B" w14:textId="7B0AB15E" w:rsidR="005E1CD2" w:rsidRDefault="005E1CD2">
    <w:pPr>
      <w:pStyle w:val="Pieddepage"/>
    </w:pPr>
    <w:r>
      <w:rPr>
        <w:noProof/>
      </w:rPr>
      <mc:AlternateContent>
        <mc:Choice Requires="wps">
          <w:drawing>
            <wp:anchor allowOverlap="1" behindDoc="0" distB="0" distL="0" distR="0" distT="0" layoutInCell="1" locked="0" relativeHeight="251658240" simplePos="0" wp14:anchorId="64436346" wp14:editId="6789B8B1">
              <wp:simplePos x="635" y="635"/>
              <wp:positionH relativeFrom="page">
                <wp:align>center</wp:align>
              </wp:positionH>
              <wp:positionV relativeFrom="page">
                <wp:align>bottom</wp:align>
              </wp:positionV>
              <wp:extent cx="443865" cy="443865"/>
              <wp:effectExtent b="0" l="0" r="8255" t="0"/>
              <wp:wrapNone/>
              <wp:docPr descr="ENTEGRIS PROPRIETARY AND CONFIDENTIAL – INTERNAL" id="1" name="Zone de texte 1">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8AFFEF" w14:textId="20896A37" w:rsidP="005E1CD2" w:rsidR="005E1CD2" w:rsidRDefault="005E1CD2" w:rsidRPr="005E1CD2">
                          <w:pPr>
                            <w:spacing w:after="0"/>
                            <w:rPr>
                              <w:rFonts w:ascii="Calibri" w:cs="Calibri" w:eastAsia="Calibri" w:hAnsi="Calibri"/>
                              <w:noProof/>
                              <w:color w:val="000000"/>
                              <w:szCs w:val="20"/>
                            </w:rPr>
                          </w:pPr>
                          <w:r w:rsidRPr="005E1CD2">
                            <w:rPr>
                              <w:rFonts w:ascii="Calibri" w:cs="Calibri" w:eastAsia="Calibri" w:hAnsi="Calibri"/>
                              <w:noProof/>
                              <w:color w:val="000000"/>
                              <w:szCs w:val="20"/>
                            </w:rPr>
                            <w:t>ENTEGRIS PROPRIETARY AND CONFIDENTIAL – INTERNAL</w:t>
                          </w:r>
                        </w:p>
                      </w:txbxContent>
                    </wps:txbx>
                    <wps:bodyPr anchor="b" anchorCtr="0" bIns="190500" compatLnSpc="1" forceAA="0" fromWordArt="0" horzOverflow="overflow" lIns="0" numCol="1" rIns="0" rot="0" rtlCol="0" spcCol="0" spcFirstLastPara="0" tIns="0" vert="horz" vertOverflow="overflow" wrap="none">
                      <a:prstTxWarp prst="textNoShape">
                        <a:avLst/>
                      </a:prstTxWarp>
                      <a:spAutoFit/>
                    </wps:bodyPr>
                  </wps:wsp>
                </a:graphicData>
              </a:graphic>
            </wp:anchor>
          </w:drawing>
        </mc:Choice>
        <mc:Fallback>
          <w:pict>
            <v:shapetype coordsize="21600,21600" id="_x0000_t202" o:spt="202" path="m,l,21600r21600,l21600,xe" w14:anchorId="64436346">
              <v:stroke joinstyle="miter"/>
              <v:path gradientshapeok="t" o:connecttype="rect"/>
            </v:shapetype>
            <v:shape alt="ENTEGRIS PROPRIETARY AND CONFIDENTIAL – INTERNAL" filled="f" id="Zone de text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2PK12BgIAABUEAAAOAAAAZHJzL2Uyb0RvYy54bWysU01v2zAMvQ/YfxB0X+x0bdEacYqsRYYB QVsgHXpWZCk2IIsCpcTOfv0o2W62bqdhF/mZpPjx+LS461vDjgp9A7bk81nOmbISqsbuS/79Zf3p hjMfhK2EAatKflKe3y0/flh0rlAXUIOpFDJKYn3RuZLXIbgiy7ysVSv8DJyy5NSArQj0i/usQtFR 9tZkF3l+nXWAlUOQynuyPgxOvkz5tVYyPGntVWCm5NRbSCemcxfPbLkQxR6Fqxs5tiH+oYtWNJaK vqV6EEGwAzZ/pGobieBBh5mENgOtG6nSDDTNPH83zbYWTqVZiBzv3mjy/y+tfDxu3TOy0H+BnhYY CemcLzwZ4zy9xjZ+qVNGfqLw9Eab6gOTZLy8/HxzfcWZJNeIKUt2vuzQh68KWhZByZG2ksgSx40P Q+gUEmtZWDfGpM0Y+5uBckZLdu4wotDv+rHtHVQnmgZhWLR3ct1QzY3w4VkgbZYGILWGJzq0ga7k MCLOasAff7PHeCKcvJx1pJSSW5IyZ+abpUVEUU0AJ7BLYH6bX+Xkt4f2Hkh/c3oKTiZIVgxmghqh fSUdr2IhcgkrqVzJdxO8D4Nk6R1ItVqlINKPE2Fjt07G1JGnSOJL/yrQjUwHWtEjTDISxTvCh9h4 07vVIRDtaRuR04HIkWrSXtrn+E6iuH/9T1Hn17z8CQAA//8DAFBLAwQUAAYACAAAACEAN+3R+NkA AAADAQAADwAAAGRycy9kb3ducmV2LnhtbEyPQU/DMAyF70j8h8hI3FjKJiZWmk5oEqchpG1cuHmJ 1xYap2rcrfv3BDiwi5+sZ733uViOvlVH6mMT2MD9JANFbINruDLwvnu5ewQVBdlhG5gMnCnCsry+ KjB34cQbOm6lUimEY44GapEu1zramjzGSeiIk3cIvUdJa19p1+MphftWT7Nsrj02nBpq7GhVk/3a Dt7Aw0ZehzfezT7G6flz3a3s7LC2xtzejM9PoIRG+T+GH/yEDmVi2oeBXVStgfSI/M7kzRcLUPs/ 1WWhL9nLbwAAAP//AwBQSwECLQAUAAYACAAAACEAtoM4kv4AAADhAQAAEwAAAAAAAAAAAAAAAAAA AAAAW0NvbnRlbnRfVHlwZXNdLnhtbFBLAQItABQABgAIAAAAIQA4/SH/1gAAAJQBAAALAAAAAAAA AAAAAAAAAC8BAABfcmVscy8ucmVsc1BLAQItABQABgAIAAAAIQB2PK12BgIAABUEAAAOAAAAAAAA AAAAAAAAAC4CAABkcnMvZTJvRG9jLnhtbFBLAQItABQABgAIAAAAIQA37dH42QAAAAMBAAAPAAAA AAAAAAAAAAAAAGAEAABkcnMvZG93bnJldi54bWxQSwUGAAAAAAQABADzAAAAZgUAAAAA " o:spid="_x0000_s1028" stroked="f"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type="#_x0000_t202">
              <v:fill o:detectmouseclick="t"/>
              <v:textbox inset="0,0,0,15pt" style="mso-fit-shape-to-text:t">
                <w:txbxContent>
                  <w:p w14:paraId="658AFFEF" w14:textId="20896A37" w:rsidP="005E1CD2" w:rsidR="005E1CD2" w:rsidRDefault="005E1CD2" w:rsidRPr="005E1CD2">
                    <w:pPr>
                      <w:spacing w:after="0"/>
                      <w:rPr>
                        <w:rFonts w:ascii="Calibri" w:cs="Calibri" w:eastAsia="Calibri" w:hAnsi="Calibri"/>
                        <w:noProof/>
                        <w:color w:val="000000"/>
                        <w:szCs w:val="20"/>
                      </w:rPr>
                    </w:pPr>
                    <w:r w:rsidRPr="005E1CD2">
                      <w:rPr>
                        <w:rFonts w:ascii="Calibri" w:cs="Calibri" w:eastAsia="Calibri" w:hAnsi="Calibri"/>
                        <w:noProof/>
                        <w:color w:val="000000"/>
                        <w:szCs w:val="20"/>
                      </w:rPr>
                      <w:t>ENTEGRIS PROPRIETARY AND CONFIDENTIAL – INTERNAL</w:t>
                    </w:r>
                  </w:p>
                </w:txbxContent>
              </v:textbox>
              <w10:wrap anchorx="page" anchory="page"/>
            </v:shape>
          </w:pict>
        </mc:Fallback>
      </mc:AlternateConten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5F1E1BB" w14:textId="77777777" w:rsidP="002E2FF4" w:rsidR="00716829" w:rsidRDefault="00716829">
      <w:pPr>
        <w:spacing w:after="0" w:line="240" w:lineRule="auto"/>
      </w:pPr>
      <w:r>
        <w:separator/>
      </w:r>
    </w:p>
  </w:footnote>
  <w:footnote w:id="0" w:type="continuationSeparator">
    <w:p w14:paraId="657D9C9C" w14:textId="77777777" w:rsidP="002E2FF4" w:rsidR="00716829" w:rsidRDefault="00716829">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3169D7"/>
    <w:multiLevelType w:val="hybridMultilevel"/>
    <w:tmpl w:val="7A2C6ECC"/>
    <w:lvl w:ilvl="0" w:tplc="F9B2A43C">
      <w:start w:val="1"/>
      <w:numFmt w:val="lowerRoman"/>
      <w:lvlText w:val="(%1)"/>
      <w:lvlJc w:val="left"/>
      <w:pPr>
        <w:ind w:hanging="720" w:left="1080"/>
      </w:pPr>
      <w:rPr>
        <w:rFonts w:ascii="Century Gothic" w:eastAsiaTheme="minorHAnsi" w:hAnsi="Century Gothic" w:hint="default"/>
        <w:b/>
        <w:bCs/>
        <w:sz w:val="20"/>
        <w:szCs w:val="16"/>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08E150EC"/>
    <w:multiLevelType w:val="multilevel"/>
    <w:tmpl w:val="7894268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
    <w:nsid w:val="09E8426C"/>
    <w:multiLevelType w:val="multilevel"/>
    <w:tmpl w:val="D316B05C"/>
    <w:lvl w:ilvl="0">
      <w:start w:val="1"/>
      <w:numFmt w:val="decimal"/>
      <w:pStyle w:val="Titre1"/>
      <w:lvlText w:val="CHAPITRE %1 -"/>
      <w:lvlJc w:val="left"/>
      <w:pPr>
        <w:ind w:hanging="360" w:left="360"/>
      </w:pPr>
      <w:rPr>
        <w:rFonts w:hint="default"/>
      </w:rPr>
    </w:lvl>
    <w:lvl w:ilvl="1">
      <w:start w:val="1"/>
      <w:numFmt w:val="decimal"/>
      <w:pStyle w:val="Titre2"/>
      <w:lvlText w:val="Article %1.%2."/>
      <w:lvlJc w:val="left"/>
      <w:pPr>
        <w:ind w:hanging="432" w:left="792"/>
      </w:pPr>
      <w:rPr>
        <w:rFonts w:hint="default"/>
      </w:rPr>
    </w:lvl>
    <w:lvl w:ilvl="2">
      <w:start w:val="1"/>
      <w:numFmt w:val="decimal"/>
      <w:pStyle w:val="Titre3"/>
      <w:lvlText w:val="Article %1.%2.%3."/>
      <w:lvlJc w:val="left"/>
      <w:pPr>
        <w:ind w:hanging="504" w:left="1224"/>
      </w:p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3">
    <w:nsid w:val="0B670D5E"/>
    <w:multiLevelType w:val="multilevel"/>
    <w:tmpl w:val="040C001F"/>
    <w:lvl w:ilvl="0">
      <w:start w:val="1"/>
      <w:numFmt w:val="decimal"/>
      <w:lvlText w:val="%1."/>
      <w:lvlJc w:val="left"/>
      <w:pPr>
        <w:ind w:hanging="360" w:left="360"/>
      </w:pPr>
      <w:rPr>
        <w:rFonts w:hint="default"/>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4">
    <w:nsid w:val="141B7BC6"/>
    <w:multiLevelType w:val="multilevel"/>
    <w:tmpl w:val="ECECD03A"/>
    <w:lvl w:ilvl="0">
      <w:start w:val="1"/>
      <w:numFmt w:val="decimal"/>
      <w:lvlText w:val="%1."/>
      <w:lvlJc w:val="left"/>
      <w:pPr>
        <w:ind w:hanging="360" w:left="1068"/>
      </w:pPr>
      <w:rPr>
        <w:rFonts w:hint="default"/>
      </w:rPr>
    </w:lvl>
    <w:lvl w:ilvl="1">
      <w:start w:val="1"/>
      <w:numFmt w:val="decimal"/>
      <w:lvlText w:val="Article %1.%2."/>
      <w:lvlJc w:val="left"/>
      <w:pPr>
        <w:ind w:hanging="432" w:left="1500"/>
      </w:pPr>
      <w:rPr>
        <w:rFonts w:hint="default"/>
      </w:rPr>
    </w:lvl>
    <w:lvl w:ilvl="2">
      <w:start w:val="1"/>
      <w:numFmt w:val="decimal"/>
      <w:lvlText w:val="Article %1.%2.%3."/>
      <w:lvlJc w:val="left"/>
      <w:pPr>
        <w:ind w:hanging="504" w:left="1932"/>
      </w:pPr>
      <w:rPr>
        <w:rFonts w:hint="default"/>
      </w:rPr>
    </w:lvl>
    <w:lvl w:ilvl="3">
      <w:start w:val="1"/>
      <w:numFmt w:val="decimal"/>
      <w:lvlText w:val="%1.%2.%3.%4."/>
      <w:lvlJc w:val="left"/>
      <w:pPr>
        <w:ind w:hanging="648" w:left="2436"/>
      </w:pPr>
      <w:rPr>
        <w:rFonts w:hint="default"/>
      </w:rPr>
    </w:lvl>
    <w:lvl w:ilvl="4">
      <w:start w:val="1"/>
      <w:numFmt w:val="decimal"/>
      <w:lvlText w:val="%1.%2.%3.%4.%5."/>
      <w:lvlJc w:val="left"/>
      <w:pPr>
        <w:ind w:hanging="792" w:left="2940"/>
      </w:pPr>
      <w:rPr>
        <w:rFonts w:hint="default"/>
      </w:rPr>
    </w:lvl>
    <w:lvl w:ilvl="5">
      <w:start w:val="1"/>
      <w:numFmt w:val="decimal"/>
      <w:lvlText w:val="%1.%2.%3.%4.%5.%6."/>
      <w:lvlJc w:val="left"/>
      <w:pPr>
        <w:ind w:hanging="936" w:left="3444"/>
      </w:pPr>
      <w:rPr>
        <w:rFonts w:hint="default"/>
      </w:rPr>
    </w:lvl>
    <w:lvl w:ilvl="6">
      <w:start w:val="1"/>
      <w:numFmt w:val="decimal"/>
      <w:lvlText w:val="%1.%2.%3.%4.%5.%6.%7."/>
      <w:lvlJc w:val="left"/>
      <w:pPr>
        <w:ind w:hanging="1080" w:left="3948"/>
      </w:pPr>
      <w:rPr>
        <w:rFonts w:hint="default"/>
      </w:rPr>
    </w:lvl>
    <w:lvl w:ilvl="7">
      <w:start w:val="1"/>
      <w:numFmt w:val="decimal"/>
      <w:lvlText w:val="%1.%2.%3.%4.%5.%6.%7.%8."/>
      <w:lvlJc w:val="left"/>
      <w:pPr>
        <w:ind w:hanging="1224" w:left="4452"/>
      </w:pPr>
      <w:rPr>
        <w:rFonts w:hint="default"/>
      </w:rPr>
    </w:lvl>
    <w:lvl w:ilvl="8">
      <w:start w:val="1"/>
      <w:numFmt w:val="decimal"/>
      <w:lvlText w:val="%1.%2.%3.%4.%5.%6.%7.%8.%9."/>
      <w:lvlJc w:val="left"/>
      <w:pPr>
        <w:ind w:hanging="1440" w:left="5028"/>
      </w:pPr>
      <w:rPr>
        <w:rFonts w:hint="default"/>
      </w:rPr>
    </w:lvl>
  </w:abstractNum>
  <w:abstractNum w15:restartNumberingAfterBreak="0" w:abstractNumId="5">
    <w:nsid w:val="156A3083"/>
    <w:multiLevelType w:val="hybridMultilevel"/>
    <w:tmpl w:val="9A18159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D434991"/>
    <w:multiLevelType w:val="hybridMultilevel"/>
    <w:tmpl w:val="EA26610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83C3512"/>
    <w:multiLevelType w:val="hybridMultilevel"/>
    <w:tmpl w:val="75D8803E"/>
    <w:lvl w:ilvl="0" w:tplc="7E32B7AC">
      <w:start w:val="2"/>
      <w:numFmt w:val="bullet"/>
      <w:lvlText w:val="-"/>
      <w:lvlJc w:val="left"/>
      <w:pPr>
        <w:ind w:hanging="360" w:left="1077"/>
      </w:pPr>
      <w:rPr>
        <w:rFonts w:ascii="Century Gothic" w:cs="Arial" w:eastAsia="Times New Roman" w:hAnsi="Century Gothic" w:hint="default"/>
        <w:sz w:val="20"/>
        <w:szCs w:val="20"/>
      </w:rPr>
    </w:lvl>
    <w:lvl w:ilvl="1" w:tentative="1" w:tplc="040C0003">
      <w:start w:val="1"/>
      <w:numFmt w:val="bullet"/>
      <w:lvlText w:val="o"/>
      <w:lvlJc w:val="left"/>
      <w:pPr>
        <w:ind w:hanging="360" w:left="1797"/>
      </w:pPr>
      <w:rPr>
        <w:rFonts w:ascii="Courier New" w:cs="Courier New" w:hAnsi="Courier New" w:hint="default"/>
      </w:rPr>
    </w:lvl>
    <w:lvl w:ilvl="2" w:tentative="1" w:tplc="040C0005">
      <w:start w:val="1"/>
      <w:numFmt w:val="bullet"/>
      <w:lvlText w:val=""/>
      <w:lvlJc w:val="left"/>
      <w:pPr>
        <w:ind w:hanging="360" w:left="2517"/>
      </w:pPr>
      <w:rPr>
        <w:rFonts w:ascii="Wingdings" w:hAnsi="Wingdings" w:hint="default"/>
      </w:rPr>
    </w:lvl>
    <w:lvl w:ilvl="3" w:tentative="1" w:tplc="040C0001">
      <w:start w:val="1"/>
      <w:numFmt w:val="bullet"/>
      <w:lvlText w:val=""/>
      <w:lvlJc w:val="left"/>
      <w:pPr>
        <w:ind w:hanging="360" w:left="3237"/>
      </w:pPr>
      <w:rPr>
        <w:rFonts w:ascii="Symbol" w:hAnsi="Symbol" w:hint="default"/>
      </w:rPr>
    </w:lvl>
    <w:lvl w:ilvl="4" w:tentative="1" w:tplc="040C0003">
      <w:start w:val="1"/>
      <w:numFmt w:val="bullet"/>
      <w:lvlText w:val="o"/>
      <w:lvlJc w:val="left"/>
      <w:pPr>
        <w:ind w:hanging="360" w:left="3957"/>
      </w:pPr>
      <w:rPr>
        <w:rFonts w:ascii="Courier New" w:cs="Courier New" w:hAnsi="Courier New" w:hint="default"/>
      </w:rPr>
    </w:lvl>
    <w:lvl w:ilvl="5" w:tentative="1" w:tplc="040C0005">
      <w:start w:val="1"/>
      <w:numFmt w:val="bullet"/>
      <w:lvlText w:val=""/>
      <w:lvlJc w:val="left"/>
      <w:pPr>
        <w:ind w:hanging="360" w:left="4677"/>
      </w:pPr>
      <w:rPr>
        <w:rFonts w:ascii="Wingdings" w:hAnsi="Wingdings" w:hint="default"/>
      </w:rPr>
    </w:lvl>
    <w:lvl w:ilvl="6" w:tentative="1" w:tplc="040C0001">
      <w:start w:val="1"/>
      <w:numFmt w:val="bullet"/>
      <w:lvlText w:val=""/>
      <w:lvlJc w:val="left"/>
      <w:pPr>
        <w:ind w:hanging="360" w:left="5397"/>
      </w:pPr>
      <w:rPr>
        <w:rFonts w:ascii="Symbol" w:hAnsi="Symbol" w:hint="default"/>
      </w:rPr>
    </w:lvl>
    <w:lvl w:ilvl="7" w:tentative="1" w:tplc="040C0003">
      <w:start w:val="1"/>
      <w:numFmt w:val="bullet"/>
      <w:lvlText w:val="o"/>
      <w:lvlJc w:val="left"/>
      <w:pPr>
        <w:ind w:hanging="360" w:left="6117"/>
      </w:pPr>
      <w:rPr>
        <w:rFonts w:ascii="Courier New" w:cs="Courier New" w:hAnsi="Courier New" w:hint="default"/>
      </w:rPr>
    </w:lvl>
    <w:lvl w:ilvl="8" w:tentative="1" w:tplc="040C0005">
      <w:start w:val="1"/>
      <w:numFmt w:val="bullet"/>
      <w:lvlText w:val=""/>
      <w:lvlJc w:val="left"/>
      <w:pPr>
        <w:ind w:hanging="360" w:left="6837"/>
      </w:pPr>
      <w:rPr>
        <w:rFonts w:ascii="Wingdings" w:hAnsi="Wingdings" w:hint="default"/>
      </w:rPr>
    </w:lvl>
  </w:abstractNum>
  <w:abstractNum w15:restartNumberingAfterBreak="0" w:abstractNumId="8">
    <w:nsid w:val="2B010450"/>
    <w:multiLevelType w:val="hybridMultilevel"/>
    <w:tmpl w:val="2DDCABC8"/>
    <w:lvl w:ilvl="0" w:tplc="85B4DD4C">
      <w:start w:val="5"/>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E0523FE"/>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0">
    <w:nsid w:val="42421BEB"/>
    <w:multiLevelType w:val="hybridMultilevel"/>
    <w:tmpl w:val="95042DDC"/>
    <w:lvl w:ilvl="0" w:tplc="D7DA4F62">
      <w:start w:val="1"/>
      <w:numFmt w:val="decimal"/>
      <w:lvlText w:val="1.%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44220D8C"/>
    <w:multiLevelType w:val="multilevel"/>
    <w:tmpl w:val="040C001F"/>
    <w:lvl w:ilvl="0">
      <w:start w:val="1"/>
      <w:numFmt w:val="decimal"/>
      <w:lvlText w:val="%1."/>
      <w:lvlJc w:val="left"/>
      <w:pPr>
        <w:ind w:hanging="360" w:left="360"/>
      </w:pPr>
      <w:rPr>
        <w:rFonts w:hint="default"/>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2">
    <w:nsid w:val="44B7635A"/>
    <w:multiLevelType w:val="hybridMultilevel"/>
    <w:tmpl w:val="4A16AA90"/>
    <w:lvl w:ilvl="0" w:tplc="5EFC5B34">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3">
    <w:nsid w:val="4CCB44D6"/>
    <w:multiLevelType w:val="hybridMultilevel"/>
    <w:tmpl w:val="120CD79C"/>
    <w:lvl w:ilvl="0" w:tplc="85B4DD4C">
      <w:start w:val="5"/>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52C8136F"/>
    <w:multiLevelType w:val="multilevel"/>
    <w:tmpl w:val="8CFADE5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5">
    <w:nsid w:val="53F76748"/>
    <w:multiLevelType w:val="hybridMultilevel"/>
    <w:tmpl w:val="25AC925A"/>
    <w:lvl w:ilvl="0" w:tplc="D996FA42">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6">
    <w:nsid w:val="556000B6"/>
    <w:multiLevelType w:val="hybridMultilevel"/>
    <w:tmpl w:val="D9649440"/>
    <w:lvl w:ilvl="0" w:tplc="A79C9832">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6BA67C86"/>
    <w:multiLevelType w:val="hybridMultilevel"/>
    <w:tmpl w:val="21DC4CCC"/>
    <w:lvl w:ilvl="0" w:tplc="7E32B7AC">
      <w:start w:val="2"/>
      <w:numFmt w:val="bullet"/>
      <w:lvlText w:val="-"/>
      <w:lvlJc w:val="left"/>
      <w:pPr>
        <w:ind w:hanging="360" w:left="720"/>
      </w:pPr>
      <w:rPr>
        <w:rFonts w:ascii="Century Gothic" w:cs="Arial" w:eastAsia="Times New Roman" w:hAnsi="Century Gothic" w:hint="default"/>
        <w:sz w:val="20"/>
        <w:szCs w:val="20"/>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8">
    <w:nsid w:val="73851928"/>
    <w:multiLevelType w:val="multilevel"/>
    <w:tmpl w:val="040C001F"/>
    <w:lvl w:ilvl="0">
      <w:start w:val="1"/>
      <w:numFmt w:val="decimal"/>
      <w:lvlText w:val="%1."/>
      <w:lvlJc w:val="left"/>
      <w:pPr>
        <w:ind w:hanging="360" w:left="360"/>
      </w:pPr>
      <w:rPr>
        <w:rFonts w:hint="default"/>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9231377"/>
    <w:multiLevelType w:val="multilevel"/>
    <w:tmpl w:val="040C001F"/>
    <w:lvl w:ilvl="0">
      <w:start w:val="1"/>
      <w:numFmt w:val="decimal"/>
      <w:lvlText w:val="%1."/>
      <w:lvlJc w:val="left"/>
      <w:pPr>
        <w:ind w:hanging="360" w:left="360"/>
      </w:pPr>
      <w:rPr>
        <w:rFonts w:hint="default"/>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num w16cid:durableId="561448221" w:numId="1">
    <w:abstractNumId w:val="15"/>
  </w:num>
  <w:num w16cid:durableId="1913999520" w:numId="2">
    <w:abstractNumId w:val="17"/>
  </w:num>
  <w:num w16cid:durableId="645359576" w:numId="3">
    <w:abstractNumId w:val="0"/>
  </w:num>
  <w:num w16cid:durableId="1492480076" w:numId="4">
    <w:abstractNumId w:val="12"/>
  </w:num>
  <w:num w16cid:durableId="418453137" w:numId="5">
    <w:abstractNumId w:val="12"/>
  </w:num>
  <w:num w16cid:durableId="2135903567" w:numId="6">
    <w:abstractNumId w:val="4"/>
  </w:num>
  <w:num w16cid:durableId="148982258" w:numId="7">
    <w:abstractNumId w:val="3"/>
  </w:num>
  <w:num w16cid:durableId="2117477406" w:numId="8">
    <w:abstractNumId w:val="11"/>
  </w:num>
  <w:num w16cid:durableId="1634752927" w:numId="9">
    <w:abstractNumId w:val="18"/>
  </w:num>
  <w:num w16cid:durableId="1463496319" w:numId="10">
    <w:abstractNumId w:val="2"/>
  </w:num>
  <w:num w16cid:durableId="1569463655" w:numId="11">
    <w:abstractNumId w:val="10"/>
  </w:num>
  <w:num w16cid:durableId="1852911321" w:numId="12">
    <w:abstractNumId w:val="19"/>
  </w:num>
  <w:num w16cid:durableId="1148132608" w:numId="13">
    <w:abstractNumId w:val="9"/>
  </w:num>
  <w:num w16cid:durableId="1814980034" w:numId="14">
    <w:abstractNumId w:val="5"/>
  </w:num>
  <w:num w16cid:durableId="673336872" w:numId="15">
    <w:abstractNumId w:val="8"/>
  </w:num>
  <w:num w16cid:durableId="1892495046" w:numId="16">
    <w:abstractNumId w:val="16"/>
  </w:num>
  <w:num w16cid:durableId="865018990" w:numId="17">
    <w:abstractNumId w:val="13"/>
  </w:num>
  <w:num w16cid:durableId="535384686"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5373445"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2201488" w:numId="20">
    <w:abstractNumId w:val="6"/>
  </w:num>
  <w:num w16cid:durableId="500051670" w:numId="21">
    <w:abstractNumId w:val="2"/>
  </w:num>
  <w:num w16cid:durableId="935790547" w:numId="22">
    <w:abstractNumId w:val="14"/>
  </w:num>
  <w:num w16cid:durableId="1467819291" w:numId="23">
    <w:abstractNumId w:val="1"/>
  </w:num>
  <w:num w16cid:durableId="344019153" w:numId="24">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AE"/>
    <w:rsid w:val="000018A1"/>
    <w:rsid w:val="000024C3"/>
    <w:rsid w:val="00013804"/>
    <w:rsid w:val="00014213"/>
    <w:rsid w:val="00017889"/>
    <w:rsid w:val="00020433"/>
    <w:rsid w:val="00034FAF"/>
    <w:rsid w:val="00035485"/>
    <w:rsid w:val="00042A77"/>
    <w:rsid w:val="000436CA"/>
    <w:rsid w:val="00046F4C"/>
    <w:rsid w:val="0004730C"/>
    <w:rsid w:val="00054FDD"/>
    <w:rsid w:val="0005723C"/>
    <w:rsid w:val="000662BB"/>
    <w:rsid w:val="00077D16"/>
    <w:rsid w:val="00081B1F"/>
    <w:rsid w:val="0008235A"/>
    <w:rsid w:val="00085F86"/>
    <w:rsid w:val="00086B04"/>
    <w:rsid w:val="00091D55"/>
    <w:rsid w:val="00094A89"/>
    <w:rsid w:val="00097E2D"/>
    <w:rsid w:val="000A3D78"/>
    <w:rsid w:val="000B6748"/>
    <w:rsid w:val="000B745E"/>
    <w:rsid w:val="000C0645"/>
    <w:rsid w:val="000C39E6"/>
    <w:rsid w:val="000C3F28"/>
    <w:rsid w:val="000D0D58"/>
    <w:rsid w:val="000D0FEC"/>
    <w:rsid w:val="000D2385"/>
    <w:rsid w:val="000D31F3"/>
    <w:rsid w:val="000E01FD"/>
    <w:rsid w:val="000E13D6"/>
    <w:rsid w:val="000E302C"/>
    <w:rsid w:val="000E4A77"/>
    <w:rsid w:val="000E4CFC"/>
    <w:rsid w:val="000E7814"/>
    <w:rsid w:val="000F548F"/>
    <w:rsid w:val="000F56CB"/>
    <w:rsid w:val="000F6087"/>
    <w:rsid w:val="000F678F"/>
    <w:rsid w:val="000F74D8"/>
    <w:rsid w:val="00103B86"/>
    <w:rsid w:val="00111C3E"/>
    <w:rsid w:val="00112C17"/>
    <w:rsid w:val="001132D6"/>
    <w:rsid w:val="00122489"/>
    <w:rsid w:val="00142970"/>
    <w:rsid w:val="00151204"/>
    <w:rsid w:val="00153346"/>
    <w:rsid w:val="001611C7"/>
    <w:rsid w:val="001641EC"/>
    <w:rsid w:val="00175E27"/>
    <w:rsid w:val="00190E3C"/>
    <w:rsid w:val="00191314"/>
    <w:rsid w:val="0019186D"/>
    <w:rsid w:val="00195A2C"/>
    <w:rsid w:val="001A043E"/>
    <w:rsid w:val="001A5CD4"/>
    <w:rsid w:val="001A74BE"/>
    <w:rsid w:val="001C4C13"/>
    <w:rsid w:val="001C5199"/>
    <w:rsid w:val="001D00DB"/>
    <w:rsid w:val="001D304F"/>
    <w:rsid w:val="001D3AC6"/>
    <w:rsid w:val="001D5E5F"/>
    <w:rsid w:val="001F2ABB"/>
    <w:rsid w:val="001F2B7C"/>
    <w:rsid w:val="001F4B2D"/>
    <w:rsid w:val="001F5A91"/>
    <w:rsid w:val="00215C86"/>
    <w:rsid w:val="002231A5"/>
    <w:rsid w:val="0022397A"/>
    <w:rsid w:val="00223CC5"/>
    <w:rsid w:val="002324ED"/>
    <w:rsid w:val="002444D3"/>
    <w:rsid w:val="00255646"/>
    <w:rsid w:val="00257014"/>
    <w:rsid w:val="00260D5F"/>
    <w:rsid w:val="002656B5"/>
    <w:rsid w:val="00270836"/>
    <w:rsid w:val="00277BBE"/>
    <w:rsid w:val="00282B38"/>
    <w:rsid w:val="00283AA9"/>
    <w:rsid w:val="00292631"/>
    <w:rsid w:val="002A2BF0"/>
    <w:rsid w:val="002A2F58"/>
    <w:rsid w:val="002A502D"/>
    <w:rsid w:val="002B5B7A"/>
    <w:rsid w:val="002B740E"/>
    <w:rsid w:val="002C4ED9"/>
    <w:rsid w:val="002D0CA0"/>
    <w:rsid w:val="002D28EA"/>
    <w:rsid w:val="002D65E7"/>
    <w:rsid w:val="002E2FF4"/>
    <w:rsid w:val="002F2351"/>
    <w:rsid w:val="002F7D2A"/>
    <w:rsid w:val="0030601A"/>
    <w:rsid w:val="00312444"/>
    <w:rsid w:val="003124BC"/>
    <w:rsid w:val="003175A8"/>
    <w:rsid w:val="00317CAA"/>
    <w:rsid w:val="00324DCE"/>
    <w:rsid w:val="003426FE"/>
    <w:rsid w:val="0034528B"/>
    <w:rsid w:val="003458C0"/>
    <w:rsid w:val="00345DA6"/>
    <w:rsid w:val="0034786A"/>
    <w:rsid w:val="003509E0"/>
    <w:rsid w:val="00354E60"/>
    <w:rsid w:val="0035784F"/>
    <w:rsid w:val="00364C1C"/>
    <w:rsid w:val="0037348D"/>
    <w:rsid w:val="003737D7"/>
    <w:rsid w:val="00373EB5"/>
    <w:rsid w:val="00375C93"/>
    <w:rsid w:val="003769AA"/>
    <w:rsid w:val="00380692"/>
    <w:rsid w:val="00383DB7"/>
    <w:rsid w:val="0039620C"/>
    <w:rsid w:val="003A57E9"/>
    <w:rsid w:val="003A7269"/>
    <w:rsid w:val="003B3D16"/>
    <w:rsid w:val="003B5DB3"/>
    <w:rsid w:val="003C0C44"/>
    <w:rsid w:val="003C3D11"/>
    <w:rsid w:val="003D598F"/>
    <w:rsid w:val="003F590A"/>
    <w:rsid w:val="003F79A1"/>
    <w:rsid w:val="004027FD"/>
    <w:rsid w:val="00405F2F"/>
    <w:rsid w:val="004134D0"/>
    <w:rsid w:val="00416C90"/>
    <w:rsid w:val="00423008"/>
    <w:rsid w:val="004236A4"/>
    <w:rsid w:val="004360D0"/>
    <w:rsid w:val="00440441"/>
    <w:rsid w:val="00440FE2"/>
    <w:rsid w:val="00443766"/>
    <w:rsid w:val="00452C89"/>
    <w:rsid w:val="004640AB"/>
    <w:rsid w:val="00473C0D"/>
    <w:rsid w:val="004740D2"/>
    <w:rsid w:val="00485189"/>
    <w:rsid w:val="004904D8"/>
    <w:rsid w:val="004A5C20"/>
    <w:rsid w:val="004B01CB"/>
    <w:rsid w:val="004B263E"/>
    <w:rsid w:val="004B299D"/>
    <w:rsid w:val="004B4C33"/>
    <w:rsid w:val="004B59CB"/>
    <w:rsid w:val="004C0627"/>
    <w:rsid w:val="004C5BC9"/>
    <w:rsid w:val="004D77BF"/>
    <w:rsid w:val="004F48DF"/>
    <w:rsid w:val="005018DD"/>
    <w:rsid w:val="00503E05"/>
    <w:rsid w:val="00504ABA"/>
    <w:rsid w:val="00505CBB"/>
    <w:rsid w:val="00532CB0"/>
    <w:rsid w:val="00533521"/>
    <w:rsid w:val="00535D4C"/>
    <w:rsid w:val="00537D25"/>
    <w:rsid w:val="0054666B"/>
    <w:rsid w:val="00552FAC"/>
    <w:rsid w:val="00555620"/>
    <w:rsid w:val="00563382"/>
    <w:rsid w:val="005636A9"/>
    <w:rsid w:val="00566AAA"/>
    <w:rsid w:val="00570735"/>
    <w:rsid w:val="00572F61"/>
    <w:rsid w:val="005766A8"/>
    <w:rsid w:val="00580B59"/>
    <w:rsid w:val="005825BD"/>
    <w:rsid w:val="00585A9B"/>
    <w:rsid w:val="005928C8"/>
    <w:rsid w:val="0059629B"/>
    <w:rsid w:val="005A0E36"/>
    <w:rsid w:val="005A1022"/>
    <w:rsid w:val="005A2E8E"/>
    <w:rsid w:val="005B10EB"/>
    <w:rsid w:val="005B2598"/>
    <w:rsid w:val="005B4B1E"/>
    <w:rsid w:val="005C2554"/>
    <w:rsid w:val="005C7B9F"/>
    <w:rsid w:val="005D07E5"/>
    <w:rsid w:val="005D10A2"/>
    <w:rsid w:val="005D1846"/>
    <w:rsid w:val="005D4CDA"/>
    <w:rsid w:val="005D6A46"/>
    <w:rsid w:val="005E1C92"/>
    <w:rsid w:val="005E1CD2"/>
    <w:rsid w:val="005E4785"/>
    <w:rsid w:val="005E58AC"/>
    <w:rsid w:val="005E5DA4"/>
    <w:rsid w:val="0060250C"/>
    <w:rsid w:val="00606164"/>
    <w:rsid w:val="00613674"/>
    <w:rsid w:val="00614E3A"/>
    <w:rsid w:val="00616EC2"/>
    <w:rsid w:val="00622213"/>
    <w:rsid w:val="00626B97"/>
    <w:rsid w:val="00631E4F"/>
    <w:rsid w:val="006364BD"/>
    <w:rsid w:val="006460D1"/>
    <w:rsid w:val="00650708"/>
    <w:rsid w:val="00650BEB"/>
    <w:rsid w:val="00656310"/>
    <w:rsid w:val="00665FC6"/>
    <w:rsid w:val="006905A8"/>
    <w:rsid w:val="00692D02"/>
    <w:rsid w:val="006A07D0"/>
    <w:rsid w:val="006B1A47"/>
    <w:rsid w:val="006B36D0"/>
    <w:rsid w:val="006C4B80"/>
    <w:rsid w:val="006C7480"/>
    <w:rsid w:val="006D3EB9"/>
    <w:rsid w:val="006D693A"/>
    <w:rsid w:val="006E3685"/>
    <w:rsid w:val="006E56A9"/>
    <w:rsid w:val="006E6573"/>
    <w:rsid w:val="006F3C88"/>
    <w:rsid w:val="0070114E"/>
    <w:rsid w:val="00705AA2"/>
    <w:rsid w:val="007074D5"/>
    <w:rsid w:val="00716829"/>
    <w:rsid w:val="0072266B"/>
    <w:rsid w:val="00726FA2"/>
    <w:rsid w:val="00746849"/>
    <w:rsid w:val="007526B0"/>
    <w:rsid w:val="00760923"/>
    <w:rsid w:val="00770EF4"/>
    <w:rsid w:val="007743A2"/>
    <w:rsid w:val="00777F7A"/>
    <w:rsid w:val="00782A23"/>
    <w:rsid w:val="00790308"/>
    <w:rsid w:val="00792098"/>
    <w:rsid w:val="007928EF"/>
    <w:rsid w:val="00793CB1"/>
    <w:rsid w:val="00797C56"/>
    <w:rsid w:val="007B28E8"/>
    <w:rsid w:val="007B4A49"/>
    <w:rsid w:val="007C0DE9"/>
    <w:rsid w:val="007C10B9"/>
    <w:rsid w:val="007C1778"/>
    <w:rsid w:val="007C2A34"/>
    <w:rsid w:val="007C3FF6"/>
    <w:rsid w:val="007C48BF"/>
    <w:rsid w:val="007C57F2"/>
    <w:rsid w:val="007C7F23"/>
    <w:rsid w:val="007D46DB"/>
    <w:rsid w:val="007D57C5"/>
    <w:rsid w:val="007E4965"/>
    <w:rsid w:val="007F2434"/>
    <w:rsid w:val="007F3A92"/>
    <w:rsid w:val="00805F1D"/>
    <w:rsid w:val="00806F8B"/>
    <w:rsid w:val="00815826"/>
    <w:rsid w:val="008207DC"/>
    <w:rsid w:val="00820A64"/>
    <w:rsid w:val="008330C8"/>
    <w:rsid w:val="00843DC3"/>
    <w:rsid w:val="00844A00"/>
    <w:rsid w:val="008458CD"/>
    <w:rsid w:val="00845E36"/>
    <w:rsid w:val="008570E1"/>
    <w:rsid w:val="008574D9"/>
    <w:rsid w:val="00857C4C"/>
    <w:rsid w:val="00893CE9"/>
    <w:rsid w:val="00895BC5"/>
    <w:rsid w:val="00896879"/>
    <w:rsid w:val="00896CA2"/>
    <w:rsid w:val="00897F27"/>
    <w:rsid w:val="008A709C"/>
    <w:rsid w:val="008B281A"/>
    <w:rsid w:val="008C5957"/>
    <w:rsid w:val="008C5A9F"/>
    <w:rsid w:val="008C71E2"/>
    <w:rsid w:val="008D03F6"/>
    <w:rsid w:val="008D0967"/>
    <w:rsid w:val="008D0A3D"/>
    <w:rsid w:val="008D109C"/>
    <w:rsid w:val="008D2DA2"/>
    <w:rsid w:val="008D4A12"/>
    <w:rsid w:val="008E4D4F"/>
    <w:rsid w:val="008E4EEA"/>
    <w:rsid w:val="008F478A"/>
    <w:rsid w:val="009043CB"/>
    <w:rsid w:val="0092135E"/>
    <w:rsid w:val="00923886"/>
    <w:rsid w:val="0092556F"/>
    <w:rsid w:val="009274B0"/>
    <w:rsid w:val="00932FBB"/>
    <w:rsid w:val="00933E22"/>
    <w:rsid w:val="00952ED7"/>
    <w:rsid w:val="009551C6"/>
    <w:rsid w:val="009565AA"/>
    <w:rsid w:val="0095762E"/>
    <w:rsid w:val="009609FD"/>
    <w:rsid w:val="00965C1E"/>
    <w:rsid w:val="00966188"/>
    <w:rsid w:val="00971362"/>
    <w:rsid w:val="00975430"/>
    <w:rsid w:val="009813B6"/>
    <w:rsid w:val="00982978"/>
    <w:rsid w:val="00983227"/>
    <w:rsid w:val="00983A73"/>
    <w:rsid w:val="00985DC8"/>
    <w:rsid w:val="009947BD"/>
    <w:rsid w:val="00996957"/>
    <w:rsid w:val="00996C0B"/>
    <w:rsid w:val="0099773C"/>
    <w:rsid w:val="009A1708"/>
    <w:rsid w:val="009A693F"/>
    <w:rsid w:val="009B0576"/>
    <w:rsid w:val="009B0BAB"/>
    <w:rsid w:val="009B3140"/>
    <w:rsid w:val="009B4665"/>
    <w:rsid w:val="009B4D01"/>
    <w:rsid w:val="009B6C46"/>
    <w:rsid w:val="009C0C21"/>
    <w:rsid w:val="009C1154"/>
    <w:rsid w:val="009C1756"/>
    <w:rsid w:val="009D7AFF"/>
    <w:rsid w:val="009E79A7"/>
    <w:rsid w:val="009E7D0F"/>
    <w:rsid w:val="009F4CD8"/>
    <w:rsid w:val="009F7E1C"/>
    <w:rsid w:val="00A01B92"/>
    <w:rsid w:val="00A16D66"/>
    <w:rsid w:val="00A20233"/>
    <w:rsid w:val="00A247EF"/>
    <w:rsid w:val="00A3078E"/>
    <w:rsid w:val="00A322DD"/>
    <w:rsid w:val="00A36DED"/>
    <w:rsid w:val="00A37693"/>
    <w:rsid w:val="00A37EFD"/>
    <w:rsid w:val="00A50E3B"/>
    <w:rsid w:val="00A628F5"/>
    <w:rsid w:val="00A672BB"/>
    <w:rsid w:val="00A672F5"/>
    <w:rsid w:val="00A730F5"/>
    <w:rsid w:val="00A741F8"/>
    <w:rsid w:val="00A871C9"/>
    <w:rsid w:val="00A9509D"/>
    <w:rsid w:val="00AA65C5"/>
    <w:rsid w:val="00AB6095"/>
    <w:rsid w:val="00AC05C1"/>
    <w:rsid w:val="00AD66A2"/>
    <w:rsid w:val="00AE0C54"/>
    <w:rsid w:val="00AE1482"/>
    <w:rsid w:val="00AF2B2D"/>
    <w:rsid w:val="00B02407"/>
    <w:rsid w:val="00B04B09"/>
    <w:rsid w:val="00B05A83"/>
    <w:rsid w:val="00B12467"/>
    <w:rsid w:val="00B17889"/>
    <w:rsid w:val="00B17955"/>
    <w:rsid w:val="00B2044A"/>
    <w:rsid w:val="00B22C59"/>
    <w:rsid w:val="00B30D53"/>
    <w:rsid w:val="00B4631A"/>
    <w:rsid w:val="00B46B81"/>
    <w:rsid w:val="00B629CE"/>
    <w:rsid w:val="00B6506E"/>
    <w:rsid w:val="00B72AA3"/>
    <w:rsid w:val="00B73322"/>
    <w:rsid w:val="00BA4389"/>
    <w:rsid w:val="00BA726A"/>
    <w:rsid w:val="00BB0F15"/>
    <w:rsid w:val="00BB1D64"/>
    <w:rsid w:val="00BB3D7D"/>
    <w:rsid w:val="00BC09B4"/>
    <w:rsid w:val="00BC0EFA"/>
    <w:rsid w:val="00BC13FE"/>
    <w:rsid w:val="00BC666E"/>
    <w:rsid w:val="00BE36FA"/>
    <w:rsid w:val="00BE41F4"/>
    <w:rsid w:val="00BE7A5E"/>
    <w:rsid w:val="00BF6528"/>
    <w:rsid w:val="00C02E83"/>
    <w:rsid w:val="00C03218"/>
    <w:rsid w:val="00C415F4"/>
    <w:rsid w:val="00C445B4"/>
    <w:rsid w:val="00C6514B"/>
    <w:rsid w:val="00C72B0D"/>
    <w:rsid w:val="00C73F29"/>
    <w:rsid w:val="00C77F49"/>
    <w:rsid w:val="00C85FE8"/>
    <w:rsid w:val="00C87054"/>
    <w:rsid w:val="00C91194"/>
    <w:rsid w:val="00C92455"/>
    <w:rsid w:val="00C941A9"/>
    <w:rsid w:val="00C95B98"/>
    <w:rsid w:val="00CA1A62"/>
    <w:rsid w:val="00CB77BD"/>
    <w:rsid w:val="00CB7CE8"/>
    <w:rsid w:val="00CC1197"/>
    <w:rsid w:val="00CD016C"/>
    <w:rsid w:val="00CD4970"/>
    <w:rsid w:val="00CD6B11"/>
    <w:rsid w:val="00CE1DBA"/>
    <w:rsid w:val="00CE3476"/>
    <w:rsid w:val="00CF0EB2"/>
    <w:rsid w:val="00CF264A"/>
    <w:rsid w:val="00CF31EF"/>
    <w:rsid w:val="00CF32F3"/>
    <w:rsid w:val="00D0063D"/>
    <w:rsid w:val="00D00D30"/>
    <w:rsid w:val="00D0227E"/>
    <w:rsid w:val="00D127FC"/>
    <w:rsid w:val="00D12EF4"/>
    <w:rsid w:val="00D17DBB"/>
    <w:rsid w:val="00D17E60"/>
    <w:rsid w:val="00D2765C"/>
    <w:rsid w:val="00D27ECE"/>
    <w:rsid w:val="00D30027"/>
    <w:rsid w:val="00D40206"/>
    <w:rsid w:val="00D42CA3"/>
    <w:rsid w:val="00D4346B"/>
    <w:rsid w:val="00D61B34"/>
    <w:rsid w:val="00D72DB5"/>
    <w:rsid w:val="00D74E17"/>
    <w:rsid w:val="00D8310E"/>
    <w:rsid w:val="00D9293B"/>
    <w:rsid w:val="00D9317B"/>
    <w:rsid w:val="00DA5784"/>
    <w:rsid w:val="00DC46CF"/>
    <w:rsid w:val="00DD2B81"/>
    <w:rsid w:val="00DD594C"/>
    <w:rsid w:val="00DD749C"/>
    <w:rsid w:val="00DE0F9B"/>
    <w:rsid w:val="00DE2C83"/>
    <w:rsid w:val="00DE3EA1"/>
    <w:rsid w:val="00DE4BF6"/>
    <w:rsid w:val="00DE7E10"/>
    <w:rsid w:val="00DE7FE0"/>
    <w:rsid w:val="00DF22EB"/>
    <w:rsid w:val="00DF2420"/>
    <w:rsid w:val="00E030EB"/>
    <w:rsid w:val="00E1263F"/>
    <w:rsid w:val="00E154AE"/>
    <w:rsid w:val="00E17CA6"/>
    <w:rsid w:val="00E2290D"/>
    <w:rsid w:val="00E25E1E"/>
    <w:rsid w:val="00E338CE"/>
    <w:rsid w:val="00E404FA"/>
    <w:rsid w:val="00E43168"/>
    <w:rsid w:val="00E43F63"/>
    <w:rsid w:val="00E55F8D"/>
    <w:rsid w:val="00E5620F"/>
    <w:rsid w:val="00E629FA"/>
    <w:rsid w:val="00E64AE1"/>
    <w:rsid w:val="00E678DB"/>
    <w:rsid w:val="00E70CE6"/>
    <w:rsid w:val="00E710BE"/>
    <w:rsid w:val="00E75D75"/>
    <w:rsid w:val="00E75DAF"/>
    <w:rsid w:val="00E76E2F"/>
    <w:rsid w:val="00E93B06"/>
    <w:rsid w:val="00E93BBA"/>
    <w:rsid w:val="00EB2E0A"/>
    <w:rsid w:val="00EB352E"/>
    <w:rsid w:val="00EC0208"/>
    <w:rsid w:val="00EC43A9"/>
    <w:rsid w:val="00EE65DC"/>
    <w:rsid w:val="00EF1AF8"/>
    <w:rsid w:val="00EF6E87"/>
    <w:rsid w:val="00F001C4"/>
    <w:rsid w:val="00F0193E"/>
    <w:rsid w:val="00F0273D"/>
    <w:rsid w:val="00F069EF"/>
    <w:rsid w:val="00F126C9"/>
    <w:rsid w:val="00F27AAC"/>
    <w:rsid w:val="00F40082"/>
    <w:rsid w:val="00F404A1"/>
    <w:rsid w:val="00F415CF"/>
    <w:rsid w:val="00F42678"/>
    <w:rsid w:val="00F45495"/>
    <w:rsid w:val="00F56FE8"/>
    <w:rsid w:val="00F618FD"/>
    <w:rsid w:val="00F619AF"/>
    <w:rsid w:val="00F64196"/>
    <w:rsid w:val="00F7265D"/>
    <w:rsid w:val="00F77FF7"/>
    <w:rsid w:val="00F873F2"/>
    <w:rsid w:val="00F9706B"/>
    <w:rsid w:val="00F97E8B"/>
    <w:rsid w:val="00FA7122"/>
    <w:rsid w:val="00FB12CC"/>
    <w:rsid w:val="00FD73E2"/>
    <w:rsid w:val="00FE480E"/>
    <w:rsid w:val="00FE639D"/>
    <w:rsid w:val="00FF34B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9A591F9"/>
  <w15:chartTrackingRefBased/>
  <w15:docId w15:val="{CB74C000-DD97-4D10-9D20-D8AACA7A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C0C44"/>
    <w:pPr>
      <w:spacing w:line="280" w:lineRule="exact"/>
      <w:jc w:val="both"/>
    </w:pPr>
    <w:rPr>
      <w:rFonts w:ascii="Century Gothic" w:hAnsi="Century Gothic"/>
      <w:sz w:val="20"/>
    </w:rPr>
  </w:style>
  <w:style w:styleId="Titre1" w:type="paragraph">
    <w:name w:val="heading 1"/>
    <w:basedOn w:val="Normal"/>
    <w:next w:val="Normal"/>
    <w:link w:val="Titre1Car"/>
    <w:uiPriority w:val="9"/>
    <w:qFormat/>
    <w:rsid w:val="007526B0"/>
    <w:pPr>
      <w:keepNext/>
      <w:keepLines/>
      <w:numPr>
        <w:numId w:val="10"/>
      </w:numPr>
      <w:spacing w:after="240" w:before="360"/>
      <w:outlineLvl w:val="0"/>
    </w:pPr>
    <w:rPr>
      <w:rFonts w:asciiTheme="majorHAnsi" w:cstheme="majorBidi" w:eastAsiaTheme="majorEastAsia" w:hAnsiTheme="majorHAnsi"/>
      <w:color w:themeColor="accent1" w:themeShade="BF" w:val="2F5496"/>
      <w:sz w:val="32"/>
      <w:szCs w:val="32"/>
    </w:rPr>
  </w:style>
  <w:style w:styleId="Titre2" w:type="paragraph">
    <w:name w:val="heading 2"/>
    <w:basedOn w:val="Normal"/>
    <w:next w:val="Normal"/>
    <w:link w:val="Titre2Car"/>
    <w:uiPriority w:val="9"/>
    <w:unhideWhenUsed/>
    <w:qFormat/>
    <w:rsid w:val="00F9706B"/>
    <w:pPr>
      <w:keepNext/>
      <w:keepLines/>
      <w:numPr>
        <w:ilvl w:val="1"/>
        <w:numId w:val="10"/>
      </w:numPr>
      <w:spacing w:after="120" w:before="40"/>
      <w:outlineLvl w:val="1"/>
    </w:pPr>
    <w:rPr>
      <w:rFonts w:asciiTheme="majorHAnsi" w:cstheme="majorBidi" w:eastAsiaTheme="majorEastAsia" w:hAnsiTheme="majorHAnsi"/>
      <w:b/>
      <w:color w:themeColor="accent1" w:themeShade="BF" w:val="2F5496"/>
      <w:sz w:val="28"/>
      <w:szCs w:val="26"/>
    </w:rPr>
  </w:style>
  <w:style w:styleId="Titre3" w:type="paragraph">
    <w:name w:val="heading 3"/>
    <w:basedOn w:val="Normal"/>
    <w:next w:val="Normal"/>
    <w:link w:val="Titre3Car"/>
    <w:uiPriority w:val="9"/>
    <w:unhideWhenUsed/>
    <w:qFormat/>
    <w:rsid w:val="00E2290D"/>
    <w:pPr>
      <w:keepNext/>
      <w:keepLines/>
      <w:numPr>
        <w:ilvl w:val="2"/>
        <w:numId w:val="10"/>
      </w:numPr>
      <w:spacing w:after="120" w:before="40"/>
      <w:ind w:firstLine="0" w:left="720"/>
      <w:outlineLvl w:val="2"/>
    </w:pPr>
    <w:rPr>
      <w:rFonts w:asciiTheme="majorHAnsi" w:cstheme="majorBidi" w:eastAsiaTheme="majorEastAsia" w:hAnsiTheme="majorHAnsi"/>
      <w:color w:themeColor="accent1" w:themeShade="7F" w:val="1F3763"/>
      <w:sz w:val="28"/>
      <w:szCs w:val="24"/>
    </w:rPr>
  </w:style>
  <w:style w:styleId="Titre4" w:type="paragraph">
    <w:name w:val="heading 4"/>
    <w:basedOn w:val="Normal"/>
    <w:next w:val="Normal"/>
    <w:link w:val="Titre4Car"/>
    <w:uiPriority w:val="9"/>
    <w:unhideWhenUsed/>
    <w:qFormat/>
    <w:rsid w:val="00E75D75"/>
    <w:pPr>
      <w:keepNext/>
      <w:keepLines/>
      <w:spacing w:after="0" w:before="40"/>
      <w:outlineLvl w:val="3"/>
    </w:pPr>
    <w:rPr>
      <w:rFonts w:asciiTheme="majorHAnsi" w:cstheme="majorBidi" w:eastAsiaTheme="majorEastAsia" w:hAnsiTheme="majorHAnsi"/>
      <w:iCs/>
      <w:color w:themeColor="accent1" w:themeShade="BF" w:val="2F5496"/>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7526B0"/>
    <w:rPr>
      <w:rFonts w:asciiTheme="majorHAnsi" w:cstheme="majorBidi" w:eastAsiaTheme="majorEastAsia" w:hAnsiTheme="majorHAnsi"/>
      <w:color w:themeColor="accent1" w:themeShade="BF" w:val="2F5496"/>
      <w:sz w:val="32"/>
      <w:szCs w:val="32"/>
    </w:rPr>
  </w:style>
  <w:style w:customStyle="1" w:styleId="Titre2Car" w:type="character">
    <w:name w:val="Titre 2 Car"/>
    <w:basedOn w:val="Policepardfaut"/>
    <w:link w:val="Titre2"/>
    <w:uiPriority w:val="9"/>
    <w:rsid w:val="00F9706B"/>
    <w:rPr>
      <w:rFonts w:asciiTheme="majorHAnsi" w:cstheme="majorBidi" w:eastAsiaTheme="majorEastAsia" w:hAnsiTheme="majorHAnsi"/>
      <w:b/>
      <w:color w:themeColor="accent1" w:themeShade="BF" w:val="2F5496"/>
      <w:sz w:val="28"/>
      <w:szCs w:val="26"/>
    </w:rPr>
  </w:style>
  <w:style w:styleId="Paragraphedeliste" w:type="paragraph">
    <w:name w:val="List Paragraph"/>
    <w:basedOn w:val="Normal"/>
    <w:uiPriority w:val="34"/>
    <w:qFormat/>
    <w:rsid w:val="00C95B98"/>
    <w:pPr>
      <w:spacing w:after="0" w:line="240" w:lineRule="auto"/>
      <w:ind w:left="708"/>
      <w:jc w:val="left"/>
    </w:pPr>
    <w:rPr>
      <w:rFonts w:ascii="Times New Roman" w:cs="Times New Roman" w:eastAsia="Times New Roman" w:hAnsi="Times New Roman"/>
      <w:sz w:val="24"/>
      <w:szCs w:val="24"/>
      <w:lang w:eastAsia="fr-FR"/>
    </w:rPr>
  </w:style>
  <w:style w:styleId="En-tte" w:type="paragraph">
    <w:name w:val="header"/>
    <w:basedOn w:val="Normal"/>
    <w:link w:val="En-tteCar"/>
    <w:uiPriority w:val="99"/>
    <w:unhideWhenUsed/>
    <w:rsid w:val="002E2FF4"/>
    <w:pPr>
      <w:tabs>
        <w:tab w:pos="4536" w:val="center"/>
        <w:tab w:pos="9072" w:val="right"/>
      </w:tabs>
      <w:spacing w:after="0" w:line="240" w:lineRule="auto"/>
    </w:pPr>
  </w:style>
  <w:style w:customStyle="1" w:styleId="En-tteCar" w:type="character">
    <w:name w:val="En-tête Car"/>
    <w:basedOn w:val="Policepardfaut"/>
    <w:link w:val="En-tte"/>
    <w:uiPriority w:val="99"/>
    <w:rsid w:val="002E2FF4"/>
    <w:rPr>
      <w:rFonts w:ascii="Century Gothic" w:hAnsi="Century Gothic"/>
      <w:sz w:val="20"/>
    </w:rPr>
  </w:style>
  <w:style w:styleId="Pieddepage" w:type="paragraph">
    <w:name w:val="footer"/>
    <w:basedOn w:val="Normal"/>
    <w:link w:val="PieddepageCar"/>
    <w:uiPriority w:val="99"/>
    <w:unhideWhenUsed/>
    <w:rsid w:val="002E2FF4"/>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2E2FF4"/>
    <w:rPr>
      <w:rFonts w:ascii="Century Gothic" w:hAnsi="Century Gothic"/>
      <w:sz w:val="20"/>
    </w:rPr>
  </w:style>
  <w:style w:styleId="Marquedecommentaire" w:type="character">
    <w:name w:val="annotation reference"/>
    <w:basedOn w:val="Policepardfaut"/>
    <w:uiPriority w:val="99"/>
    <w:semiHidden/>
    <w:unhideWhenUsed/>
    <w:rsid w:val="009947BD"/>
    <w:rPr>
      <w:sz w:val="16"/>
      <w:szCs w:val="16"/>
    </w:rPr>
  </w:style>
  <w:style w:styleId="Commentaire" w:type="paragraph">
    <w:name w:val="annotation text"/>
    <w:basedOn w:val="Normal"/>
    <w:link w:val="CommentaireCar"/>
    <w:uiPriority w:val="99"/>
    <w:unhideWhenUsed/>
    <w:rsid w:val="009947BD"/>
    <w:pPr>
      <w:spacing w:line="240" w:lineRule="auto"/>
    </w:pPr>
    <w:rPr>
      <w:szCs w:val="20"/>
    </w:rPr>
  </w:style>
  <w:style w:customStyle="1" w:styleId="CommentaireCar" w:type="character">
    <w:name w:val="Commentaire Car"/>
    <w:basedOn w:val="Policepardfaut"/>
    <w:link w:val="Commentaire"/>
    <w:uiPriority w:val="99"/>
    <w:rsid w:val="009947BD"/>
    <w:rPr>
      <w:rFonts w:ascii="Century Gothic" w:hAnsi="Century Gothic"/>
      <w:sz w:val="20"/>
      <w:szCs w:val="20"/>
    </w:rPr>
  </w:style>
  <w:style w:styleId="Objetducommentaire" w:type="paragraph">
    <w:name w:val="annotation subject"/>
    <w:basedOn w:val="Commentaire"/>
    <w:next w:val="Commentaire"/>
    <w:link w:val="ObjetducommentaireCar"/>
    <w:uiPriority w:val="99"/>
    <w:semiHidden/>
    <w:unhideWhenUsed/>
    <w:rsid w:val="009947BD"/>
    <w:rPr>
      <w:b/>
      <w:bCs/>
    </w:rPr>
  </w:style>
  <w:style w:customStyle="1" w:styleId="ObjetducommentaireCar" w:type="character">
    <w:name w:val="Objet du commentaire Car"/>
    <w:basedOn w:val="CommentaireCar"/>
    <w:link w:val="Objetducommentaire"/>
    <w:uiPriority w:val="99"/>
    <w:semiHidden/>
    <w:rsid w:val="009947BD"/>
    <w:rPr>
      <w:rFonts w:ascii="Century Gothic" w:hAnsi="Century Gothic"/>
      <w:b/>
      <w:bCs/>
      <w:sz w:val="20"/>
      <w:szCs w:val="20"/>
    </w:rPr>
  </w:style>
  <w:style w:customStyle="1" w:styleId="Titre3Car" w:type="character">
    <w:name w:val="Titre 3 Car"/>
    <w:basedOn w:val="Policepardfaut"/>
    <w:link w:val="Titre3"/>
    <w:uiPriority w:val="9"/>
    <w:rsid w:val="00E2290D"/>
    <w:rPr>
      <w:rFonts w:asciiTheme="majorHAnsi" w:cstheme="majorBidi" w:eastAsiaTheme="majorEastAsia" w:hAnsiTheme="majorHAnsi"/>
      <w:color w:themeColor="accent1" w:themeShade="7F" w:val="1F3763"/>
      <w:sz w:val="28"/>
      <w:szCs w:val="24"/>
    </w:rPr>
  </w:style>
  <w:style w:customStyle="1" w:styleId="Titre4Car" w:type="character">
    <w:name w:val="Titre 4 Car"/>
    <w:basedOn w:val="Policepardfaut"/>
    <w:link w:val="Titre4"/>
    <w:uiPriority w:val="9"/>
    <w:rsid w:val="00E75D75"/>
    <w:rPr>
      <w:rFonts w:asciiTheme="majorHAnsi" w:cstheme="majorBidi" w:eastAsiaTheme="majorEastAsia" w:hAnsiTheme="majorHAnsi"/>
      <w:iCs/>
      <w:color w:themeColor="accent1" w:themeShade="BF" w:val="2F5496"/>
      <w:sz w:val="24"/>
    </w:rPr>
  </w:style>
  <w:style w:styleId="TM1" w:type="paragraph">
    <w:name w:val="toc 1"/>
    <w:basedOn w:val="Normal"/>
    <w:next w:val="Normal"/>
    <w:autoRedefine/>
    <w:uiPriority w:val="39"/>
    <w:unhideWhenUsed/>
    <w:rsid w:val="00616EC2"/>
    <w:pPr>
      <w:tabs>
        <w:tab w:pos="1540" w:val="left"/>
        <w:tab w:leader="dot" w:pos="9356" w:val="right"/>
      </w:tabs>
      <w:spacing w:after="100"/>
      <w:ind w:right="-284"/>
    </w:pPr>
  </w:style>
  <w:style w:styleId="TM2" w:type="paragraph">
    <w:name w:val="toc 2"/>
    <w:basedOn w:val="Normal"/>
    <w:next w:val="Normal"/>
    <w:autoRedefine/>
    <w:uiPriority w:val="39"/>
    <w:unhideWhenUsed/>
    <w:rsid w:val="001F4B2D"/>
    <w:pPr>
      <w:tabs>
        <w:tab w:pos="1540" w:val="left"/>
        <w:tab w:leader="dot" w:pos="9356" w:val="right"/>
      </w:tabs>
      <w:spacing w:after="100"/>
      <w:ind w:left="200" w:right="-284"/>
    </w:pPr>
  </w:style>
  <w:style w:styleId="TM3" w:type="paragraph">
    <w:name w:val="toc 3"/>
    <w:basedOn w:val="Normal"/>
    <w:next w:val="Normal"/>
    <w:autoRedefine/>
    <w:uiPriority w:val="39"/>
    <w:unhideWhenUsed/>
    <w:rsid w:val="00440441"/>
    <w:pPr>
      <w:tabs>
        <w:tab w:pos="1789" w:val="left"/>
        <w:tab w:leader="dot" w:pos="9356" w:val="right"/>
      </w:tabs>
      <w:spacing w:after="100"/>
      <w:ind w:left="400" w:right="-284"/>
    </w:pPr>
  </w:style>
  <w:style w:styleId="Lienhypertexte" w:type="character">
    <w:name w:val="Hyperlink"/>
    <w:basedOn w:val="Policepardfaut"/>
    <w:uiPriority w:val="99"/>
    <w:unhideWhenUsed/>
    <w:rsid w:val="00692D02"/>
    <w:rPr>
      <w:color w:themeColor="hyperlink" w:val="0563C1"/>
      <w:u w:val="single"/>
    </w:rPr>
  </w:style>
  <w:style w:styleId="NormalWeb" w:type="paragraph">
    <w:name w:val="Normal (Web)"/>
    <w:basedOn w:val="Normal"/>
    <w:uiPriority w:val="99"/>
    <w:rsid w:val="00DD749C"/>
    <w:pPr>
      <w:keepLines/>
      <w:spacing w:after="0" w:before="240" w:line="280" w:lineRule="atLeast"/>
      <w:ind w:left="851"/>
    </w:pPr>
    <w:rPr>
      <w:rFonts w:ascii="Times New Roman" w:cs="Times New Roman" w:eastAsia="Times New Roman" w:hAnsi="Times New Roman"/>
      <w:sz w:val="24"/>
      <w:szCs w:val="24"/>
      <w:lang w:eastAsia="fr-FR"/>
    </w:rPr>
  </w:style>
  <w:style w:styleId="Mentionnonrsolue" w:type="character">
    <w:name w:val="Unresolved Mention"/>
    <w:basedOn w:val="Policepardfaut"/>
    <w:uiPriority w:val="99"/>
    <w:semiHidden/>
    <w:unhideWhenUsed/>
    <w:rsid w:val="001132D6"/>
    <w:rPr>
      <w:color w:val="605E5C"/>
      <w:shd w:color="auto" w:fill="E1DFDD" w:val="clear"/>
    </w:rPr>
  </w:style>
  <w:style w:styleId="Titre" w:type="paragraph">
    <w:name w:val="Title"/>
    <w:basedOn w:val="Normal"/>
    <w:next w:val="Normal"/>
    <w:link w:val="TitreCar"/>
    <w:uiPriority w:val="10"/>
    <w:qFormat/>
    <w:rsid w:val="000A3D78"/>
    <w:pPr>
      <w:spacing w:after="0" w:line="240" w:lineRule="auto"/>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0A3D78"/>
    <w:rPr>
      <w:rFonts w:asciiTheme="majorHAnsi" w:cstheme="majorBidi" w:eastAsiaTheme="majorEastAsia" w:hAnsiTheme="majorHAnsi"/>
      <w:spacing w:val="-10"/>
      <w:kern w:val="28"/>
      <w:sz w:val="56"/>
      <w:szCs w:val="56"/>
    </w:rPr>
  </w:style>
  <w:style w:styleId="Sous-titre" w:type="paragraph">
    <w:name w:val="Subtitle"/>
    <w:basedOn w:val="Normal"/>
    <w:next w:val="Normal"/>
    <w:link w:val="Sous-titreCar"/>
    <w:uiPriority w:val="11"/>
    <w:qFormat/>
    <w:rsid w:val="000A3D78"/>
    <w:pPr>
      <w:numPr>
        <w:ilvl w:val="1"/>
      </w:numPr>
    </w:pPr>
    <w:rPr>
      <w:rFonts w:asciiTheme="minorHAnsi" w:eastAsiaTheme="minorEastAsia" w:hAnsiTheme="minorHAnsi"/>
      <w:color w:themeColor="text1" w:themeTint="A5" w:val="5A5A5A"/>
      <w:spacing w:val="15"/>
      <w:sz w:val="22"/>
    </w:rPr>
  </w:style>
  <w:style w:customStyle="1" w:styleId="Sous-titreCar" w:type="character">
    <w:name w:val="Sous-titre Car"/>
    <w:basedOn w:val="Policepardfaut"/>
    <w:link w:val="Sous-titre"/>
    <w:uiPriority w:val="11"/>
    <w:rsid w:val="000A3D78"/>
    <w:rPr>
      <w:rFonts w:eastAsiaTheme="minorEastAsia"/>
      <w:color w:themeColor="text1" w:themeTint="A5" w:val="5A5A5A"/>
      <w:spacing w:val="15"/>
    </w:rPr>
  </w:style>
  <w:style w:styleId="Rvision" w:type="paragraph">
    <w:name w:val="Revision"/>
    <w:hidden/>
    <w:uiPriority w:val="99"/>
    <w:semiHidden/>
    <w:rsid w:val="000F678F"/>
    <w:pPr>
      <w:spacing w:after="0" w:line="240" w:lineRule="auto"/>
    </w:pPr>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1001">
      <w:bodyDiv w:val="1"/>
      <w:marLeft w:val="0"/>
      <w:marRight w:val="0"/>
      <w:marTop w:val="0"/>
      <w:marBottom w:val="0"/>
      <w:divBdr>
        <w:top w:val="none" w:sz="0" w:space="0" w:color="auto"/>
        <w:left w:val="none" w:sz="0" w:space="0" w:color="auto"/>
        <w:bottom w:val="none" w:sz="0" w:space="0" w:color="auto"/>
        <w:right w:val="none" w:sz="0" w:space="0" w:color="auto"/>
      </w:divBdr>
    </w:div>
    <w:div w:id="1125778677">
      <w:bodyDiv w:val="1"/>
      <w:marLeft w:val="0"/>
      <w:marRight w:val="0"/>
      <w:marTop w:val="0"/>
      <w:marBottom w:val="0"/>
      <w:divBdr>
        <w:top w:val="none" w:sz="0" w:space="0" w:color="auto"/>
        <w:left w:val="none" w:sz="0" w:space="0" w:color="auto"/>
        <w:bottom w:val="none" w:sz="0" w:space="0" w:color="auto"/>
        <w:right w:val="none" w:sz="0" w:space="0" w:color="auto"/>
      </w:divBdr>
    </w:div>
    <w:div w:id="1140654322">
      <w:bodyDiv w:val="1"/>
      <w:marLeft w:val="0"/>
      <w:marRight w:val="0"/>
      <w:marTop w:val="0"/>
      <w:marBottom w:val="0"/>
      <w:divBdr>
        <w:top w:val="none" w:sz="0" w:space="0" w:color="auto"/>
        <w:left w:val="none" w:sz="0" w:space="0" w:color="auto"/>
        <w:bottom w:val="none" w:sz="0" w:space="0" w:color="auto"/>
        <w:right w:val="none" w:sz="0" w:space="0" w:color="auto"/>
      </w:divBdr>
    </w:div>
    <w:div w:id="1401638534">
      <w:bodyDiv w:val="1"/>
      <w:marLeft w:val="0"/>
      <w:marRight w:val="0"/>
      <w:marTop w:val="0"/>
      <w:marBottom w:val="0"/>
      <w:divBdr>
        <w:top w:val="none" w:sz="0" w:space="0" w:color="auto"/>
        <w:left w:val="none" w:sz="0" w:space="0" w:color="auto"/>
        <w:bottom w:val="none" w:sz="0" w:space="0" w:color="auto"/>
        <w:right w:val="none" w:sz="0" w:space="0" w:color="auto"/>
      </w:divBdr>
    </w:div>
    <w:div w:id="145516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3.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78169-B0A7-4F4D-8D8C-A74E23D44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3662</Words>
  <Characters>20145</Characters>
  <Application>Microsoft Office Word</Application>
  <DocSecurity>0</DocSecurity>
  <Lines>167</Lines>
  <Paragraphs>47</Paragraphs>
  <ScaleCrop>false</ScaleCrop>
  <HeadingPairs>
    <vt:vector baseType="variant" size="4">
      <vt:variant>
        <vt:lpstr>Titre</vt:lpstr>
      </vt:variant>
      <vt:variant>
        <vt:i4>1</vt:i4>
      </vt:variant>
      <vt:variant>
        <vt:lpstr>Titres</vt:lpstr>
      </vt:variant>
      <vt:variant>
        <vt:i4>28</vt:i4>
      </vt:variant>
    </vt:vector>
  </HeadingPairs>
  <TitlesOfParts>
    <vt:vector baseType="lpstr" size="29">
      <vt:lpstr/>
      <vt:lpstr>    CHAMP D’APPLICATION</vt:lpstr>
      <vt:lpstr>MESURES PORTANT SUR LA REMUNérATION, LE TEMPS DE TRAVAIL ET LE PARTAGE DE LA VAL</vt:lpstr>
      <vt:lpstr>    Les salaires effectifs </vt:lpstr>
      <vt:lpstr>        Augmentation générale et collective </vt:lpstr>
      <vt:lpstr>        Augmentations individuelles </vt:lpstr>
      <vt:lpstr>        Seconde augmentation et enveloppe globale des augmentations</vt:lpstr>
      <vt:lpstr>    Revue des coefficients attachés à chaque poste de métier et revalorisations de s</vt:lpstr>
      <vt:lpstr>    Mise en place de la prime de partage de la valeur (PPV)</vt:lpstr>
      <vt:lpstr>    La durée effective et organisation du temps de travail</vt:lpstr>
      <vt:lpstr>        La journée de la solidarité </vt:lpstr>
      <vt:lpstr>        La journée de repos pour anniversaire</vt:lpstr>
      <vt:lpstr>MESURES COMPLEMENTAIRES PORTANT SUR L’EGALITE PROFESSIONNELLE ET LA QUALITE DE V</vt:lpstr>
      <vt:lpstr>    Suivi de la mise en œuvre des mesures relatives à l’égalité professionnelle entr</vt:lpstr>
      <vt:lpstr>    Articulation vie personnelle et droit à la déconnexion </vt:lpstr>
      <vt:lpstr>        Articulation entre vie privée et vie professionnelle </vt:lpstr>
      <vt:lpstr>        Droit à la déconnexion</vt:lpstr>
      <vt:lpstr>        Le temps partiel </vt:lpstr>
      <vt:lpstr>        Congé rémunéré post naissance </vt:lpstr>
      <vt:lpstr>    Insertion professionnelle et maintien dans l’emploi des travailleurs handicapés </vt:lpstr>
      <vt:lpstr>    Protection sociale complémentaire des collaborateurs </vt:lpstr>
      <vt:lpstr>    Droit d’expression </vt:lpstr>
      <vt:lpstr>    Prévention au travail</vt:lpstr>
      <vt:lpstr>DISPOSITIONS FINALES</vt:lpstr>
      <vt:lpstr>    Evolution de l’environnement légal ou réglementaire</vt:lpstr>
      <vt:lpstr>    Suivi de l’accord</vt:lpstr>
      <vt:lpstr>    Durée de l’accord </vt:lpstr>
      <vt:lpstr>    Révision de l’accord </vt:lpstr>
      <vt:lpstr>    Dépôt et publicité de l’accord </vt:lpstr>
    </vt:vector>
  </TitlesOfParts>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2022-12-12T08:16:00Z</dcterms:created>
  <cp:lastPrinted>2022-12-01T14:43:00Z</cp:lastPrinted>
  <dcterms:modified xsi:type="dcterms:W3CDTF">2022-12-12T08:17:00Z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lassificationContentMarkingFooterShapeIds" pid="2">
    <vt:lpwstr>1,2,3</vt:lpwstr>
  </property>
  <property fmtid="{D5CDD505-2E9C-101B-9397-08002B2CF9AE}" name="ClassificationContentMarkingFooterFontProps" pid="3">
    <vt:lpwstr>#000000,10,Calibri</vt:lpwstr>
  </property>
  <property fmtid="{D5CDD505-2E9C-101B-9397-08002B2CF9AE}" name="ClassificationContentMarkingFooterText" pid="4">
    <vt:lpwstr>ENTEGRIS PROPRIETARY AND CONFIDENTIAL – INTERNAL</vt:lpwstr>
  </property>
  <property fmtid="{D5CDD505-2E9C-101B-9397-08002B2CF9AE}" name="MSIP_Label_ce60bcce-d4df-47e1-9234-cfe82b789499_Enabled" pid="5">
    <vt:lpwstr>true</vt:lpwstr>
  </property>
  <property fmtid="{D5CDD505-2E9C-101B-9397-08002B2CF9AE}" name="MSIP_Label_ce60bcce-d4df-47e1-9234-cfe82b789499_SetDate" pid="6">
    <vt:lpwstr>2022-12-12T08:16:12Z</vt:lpwstr>
  </property>
  <property fmtid="{D5CDD505-2E9C-101B-9397-08002B2CF9AE}" name="MSIP_Label_ce60bcce-d4df-47e1-9234-cfe82b789499_Method" pid="7">
    <vt:lpwstr>Standard</vt:lpwstr>
  </property>
  <property fmtid="{D5CDD505-2E9C-101B-9397-08002B2CF9AE}" name="MSIP_Label_ce60bcce-d4df-47e1-9234-cfe82b789499_Name" pid="8">
    <vt:lpwstr>ce60bcce-d4df-47e1-9234-cfe82b789499</vt:lpwstr>
  </property>
  <property fmtid="{D5CDD505-2E9C-101B-9397-08002B2CF9AE}" name="MSIP_Label_ce60bcce-d4df-47e1-9234-cfe82b789499_SiteId" pid="9">
    <vt:lpwstr>4494342c-10c2-46ae-a60c-c172122e8b05</vt:lpwstr>
  </property>
  <property fmtid="{D5CDD505-2E9C-101B-9397-08002B2CF9AE}" name="MSIP_Label_ce60bcce-d4df-47e1-9234-cfe82b789499_ActionId" pid="10">
    <vt:lpwstr>62cf596b-c1ec-4e64-8303-1c608712c557</vt:lpwstr>
  </property>
  <property fmtid="{D5CDD505-2E9C-101B-9397-08002B2CF9AE}" name="MSIP_Label_ce60bcce-d4df-47e1-9234-cfe82b789499_ContentBits" pid="11">
    <vt:lpwstr>2</vt:lpwstr>
  </property>
</Properties>
</file>