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3CFF36AB" w14:textId="7F0D40DE" w:rsidP="001066BC" w:rsidR="00E92021" w:rsidRDefault="00E92021">
      <w:pPr>
        <w:spacing w:before="120"/>
        <w:jc w:val="center"/>
      </w:pPr>
    </w:p>
    <w:p w14:paraId="25E10228" w14:textId="77777777" w:rsidP="001066BC" w:rsidR="00BA6AC2" w:rsidRDefault="00BA6AC2"/>
    <w:p w14:paraId="441C8FAC" w14:textId="77777777" w:rsidP="001066BC" w:rsidR="009F018B" w:rsidRDefault="009F018B"/>
    <w:p w14:paraId="16C09CD8" w14:textId="77777777" w:rsidP="00447244" w:rsidR="00E92021" w:rsidRDefault="00295BB1" w:rsidRPr="00447244">
      <w:pPr>
        <w:spacing w:before="120"/>
        <w:jc w:val="center"/>
        <w:rPr>
          <w:b/>
          <w:bCs/>
          <w:sz w:val="36"/>
        </w:rPr>
      </w:pPr>
      <w:r w:rsidRPr="00447244">
        <w:rPr>
          <w:b/>
          <w:bCs/>
          <w:sz w:val="48"/>
          <w:szCs w:val="48"/>
        </w:rPr>
        <w:t>N</w:t>
      </w:r>
      <w:r w:rsidRPr="00447244">
        <w:rPr>
          <w:b/>
          <w:bCs/>
          <w:sz w:val="36"/>
        </w:rPr>
        <w:t xml:space="preserve">ÉGOCIATION </w:t>
      </w:r>
      <w:r w:rsidRPr="00447244">
        <w:rPr>
          <w:b/>
          <w:bCs/>
          <w:sz w:val="48"/>
          <w:szCs w:val="48"/>
        </w:rPr>
        <w:t>A</w:t>
      </w:r>
      <w:r w:rsidRPr="00447244">
        <w:rPr>
          <w:b/>
          <w:bCs/>
          <w:sz w:val="36"/>
        </w:rPr>
        <w:t xml:space="preserve">NNUELLE </w:t>
      </w:r>
      <w:r w:rsidRPr="00447244">
        <w:rPr>
          <w:b/>
          <w:bCs/>
          <w:sz w:val="48"/>
          <w:szCs w:val="48"/>
        </w:rPr>
        <w:t>O</w:t>
      </w:r>
      <w:r w:rsidRPr="00447244">
        <w:rPr>
          <w:b/>
          <w:bCs/>
          <w:sz w:val="36"/>
        </w:rPr>
        <w:t>BLIGATOIRE</w:t>
      </w:r>
    </w:p>
    <w:p w14:paraId="764DB866" w14:textId="418D1158" w:rsidP="00C20A46" w:rsidR="00295BB1" w:rsidRDefault="008C2E1F" w:rsidRPr="00E92021">
      <w:pPr>
        <w:spacing w:before="120"/>
        <w:jc w:val="center"/>
        <w:rPr>
          <w:rFonts w:cs="Arial"/>
          <w:b/>
          <w:sz w:val="36"/>
          <w:szCs w:val="36"/>
        </w:rPr>
      </w:pPr>
      <w:r>
        <w:rPr>
          <w:rFonts w:cs="Arial"/>
          <w:b/>
          <w:sz w:val="36"/>
          <w:szCs w:val="36"/>
        </w:rPr>
        <w:t xml:space="preserve">Accord collectif </w:t>
      </w:r>
      <w:r w:rsidR="00067C96">
        <w:rPr>
          <w:rFonts w:cs="Arial"/>
          <w:b/>
          <w:sz w:val="36"/>
          <w:szCs w:val="36"/>
        </w:rPr>
        <w:t xml:space="preserve">d’entreprise </w:t>
      </w:r>
      <w:r w:rsidR="00615B3B" w:rsidRPr="00E9674E">
        <w:rPr>
          <w:rFonts w:cs="Arial"/>
          <w:b/>
          <w:sz w:val="36"/>
          <w:szCs w:val="36"/>
        </w:rPr>
        <w:t xml:space="preserve">du </w:t>
      </w:r>
      <w:r w:rsidR="00795351">
        <w:rPr>
          <w:rFonts w:cs="Arial"/>
          <w:b/>
          <w:sz w:val="36"/>
          <w:szCs w:val="36"/>
        </w:rPr>
        <w:t>19 Octobre</w:t>
      </w:r>
      <w:r w:rsidR="00025278">
        <w:rPr>
          <w:rFonts w:cs="Arial"/>
          <w:b/>
          <w:sz w:val="36"/>
          <w:szCs w:val="36"/>
        </w:rPr>
        <w:t xml:space="preserve"> </w:t>
      </w:r>
      <w:r w:rsidR="004B5BC5" w:rsidRPr="004B5BC5">
        <w:rPr>
          <w:rFonts w:cs="Arial"/>
          <w:b/>
          <w:sz w:val="36"/>
          <w:szCs w:val="36"/>
        </w:rPr>
        <w:t>202</w:t>
      </w:r>
      <w:r w:rsidR="00E37480">
        <w:rPr>
          <w:rFonts w:cs="Arial"/>
          <w:b/>
          <w:sz w:val="36"/>
          <w:szCs w:val="36"/>
        </w:rPr>
        <w:t>2</w:t>
      </w:r>
    </w:p>
    <w:p w14:paraId="1EA80829" w14:textId="77777777" w:rsidP="00AD7F66" w:rsidR="00295BB1" w:rsidRDefault="00295BB1">
      <w:pPr>
        <w:rPr>
          <w:rFonts w:cs="Arial"/>
          <w:b/>
        </w:rPr>
      </w:pPr>
    </w:p>
    <w:p w14:paraId="2F4DBDF9" w14:textId="77777777" w:rsidP="00AD7F66" w:rsidR="00295BB1" w:rsidRDefault="00295BB1">
      <w:pPr>
        <w:rPr>
          <w:rFonts w:cs="Arial"/>
          <w:b/>
        </w:rPr>
      </w:pPr>
    </w:p>
    <w:p w14:paraId="547DD252" w14:textId="77777777" w:rsidP="0075220A" w:rsidR="0075220A" w:rsidRDefault="0075220A">
      <w:pPr>
        <w:rPr>
          <w:rFonts w:cs="Arial"/>
        </w:rPr>
      </w:pPr>
      <w:proofErr w:type="gramStart"/>
      <w:r>
        <w:rPr>
          <w:rFonts w:cs="Arial"/>
        </w:rPr>
        <w:t>Suite à</w:t>
      </w:r>
      <w:proofErr w:type="gramEnd"/>
      <w:r>
        <w:rPr>
          <w:rFonts w:cs="Arial"/>
        </w:rPr>
        <w:t xml:space="preserve"> la transformation des ex OPHLM et OPAC en Offices Publics de l’Habitat, les relations sociales s’organisent conformément au Code du Travail aux lieu et place du statut de la Fonction Publique Territoriale.</w:t>
      </w:r>
    </w:p>
    <w:p w14:paraId="79FA7DF6" w14:textId="77777777" w:rsidP="0075220A" w:rsidR="0075220A" w:rsidRDefault="0075220A" w:rsidRPr="001066BC"/>
    <w:p w14:paraId="19BF2EF8" w14:textId="77777777" w:rsidP="0075220A" w:rsidR="0075220A" w:rsidRDefault="0075220A">
      <w:pPr>
        <w:rPr>
          <w:rFonts w:cs="Arial"/>
        </w:rPr>
      </w:pPr>
      <w:r w:rsidRPr="001115F1">
        <w:rPr>
          <w:rFonts w:cs="Arial"/>
          <w:b/>
        </w:rPr>
        <w:t>La loi « Rebsamen » du 17 août 2015</w:t>
      </w:r>
      <w:r>
        <w:rPr>
          <w:rFonts w:cs="Arial"/>
        </w:rPr>
        <w:t xml:space="preserve"> relative au dialogue social et à l’emploi réforme le droit de la négociation collective.</w:t>
      </w:r>
    </w:p>
    <w:p w14:paraId="5679A973" w14:textId="77777777" w:rsidP="0075220A" w:rsidR="0075220A" w:rsidRDefault="0075220A" w:rsidRPr="001066BC"/>
    <w:p w14:paraId="146673F3" w14:textId="77777777" w:rsidP="001066BC" w:rsidR="0075220A" w:rsidRDefault="0075220A" w:rsidRPr="001066BC">
      <w:pPr>
        <w:rPr>
          <w:b/>
          <w:bCs/>
        </w:rPr>
      </w:pPr>
      <w:r w:rsidRPr="001066BC">
        <w:rPr>
          <w:b/>
          <w:bCs/>
        </w:rPr>
        <w:t>La NAO reste l'obligation pour l'employeur d'engager chaque année une négociation.</w:t>
      </w:r>
    </w:p>
    <w:p w14:paraId="397AFC95" w14:textId="77777777" w:rsidP="0075220A" w:rsidR="0075220A" w:rsidRDefault="0075220A" w:rsidRPr="001066BC"/>
    <w:p w14:paraId="626A5ACF" w14:textId="474F05EC" w:rsidP="006F56D0" w:rsidR="006F56D0" w:rsidRDefault="0070527D">
      <w:pPr>
        <w:rPr>
          <w:rFonts w:cs="Arial"/>
        </w:rPr>
      </w:pPr>
      <w:hyperlink r:id="rId8" w:history="1">
        <w:r w:rsidR="006F56D0" w:rsidRPr="00C41F57">
          <w:rPr>
            <w:rFonts w:cs="Arial"/>
          </w:rPr>
          <w:t>L’article L2242-15 – Modifié par Ordonnance n°2019-766 du 24 juillet 2019 - art. 7 précise les 4 thèmes de la négociation :</w:t>
        </w:r>
      </w:hyperlink>
      <w:r w:rsidR="006F56D0">
        <w:rPr>
          <w:rFonts w:cs="Arial"/>
        </w:rPr>
        <w:t xml:space="preserve"> </w:t>
      </w:r>
    </w:p>
    <w:p w14:paraId="252AA5F2" w14:textId="77777777" w:rsidP="006F56D0" w:rsidR="006F56D0" w:rsidRDefault="006F56D0">
      <w:pPr>
        <w:rPr>
          <w:rFonts w:cs="Arial"/>
        </w:rPr>
      </w:pPr>
    </w:p>
    <w:p w14:paraId="702CFA38" w14:textId="64CAA27E" w:rsidP="006F56D0" w:rsidR="006F56D0" w:rsidRDefault="006F56D0" w:rsidRPr="005F2340">
      <w:pPr>
        <w:rPr>
          <w:rFonts w:cs="Arial"/>
        </w:rPr>
      </w:pPr>
      <w:r w:rsidRPr="005F2340">
        <w:rPr>
          <w:rFonts w:cs="Arial"/>
        </w:rPr>
        <w:t>1° Les salaires effectifs</w:t>
      </w:r>
      <w:r w:rsidR="002134ED">
        <w:rPr>
          <w:rFonts w:cs="Arial"/>
        </w:rPr>
        <w:t xml:space="preserve"> ; </w:t>
      </w:r>
    </w:p>
    <w:p w14:paraId="08883739" w14:textId="77777777" w:rsidP="006F56D0" w:rsidR="006F56D0" w:rsidRDefault="006F56D0" w:rsidRPr="005F2340">
      <w:pPr>
        <w:rPr>
          <w:rFonts w:cs="Arial"/>
        </w:rPr>
      </w:pPr>
    </w:p>
    <w:p w14:paraId="6CBB495D" w14:textId="77777777" w:rsidP="006F56D0" w:rsidR="006F56D0" w:rsidRDefault="006F56D0" w:rsidRPr="005F2340">
      <w:pPr>
        <w:rPr>
          <w:rFonts w:cs="Arial"/>
        </w:rPr>
      </w:pPr>
      <w:r w:rsidRPr="005F2340">
        <w:rPr>
          <w:rFonts w:cs="Arial"/>
        </w:rPr>
        <w:t>2° La durée effective et l'organisation du temps de travail, notamment la mise en place du travail à temps partiel. Dans ce cadre, la négociation peut également porter sur la réduction du temps de travail</w:t>
      </w:r>
      <w:r>
        <w:rPr>
          <w:rFonts w:cs="Arial"/>
        </w:rPr>
        <w:t> ;</w:t>
      </w:r>
    </w:p>
    <w:p w14:paraId="67FA75CF" w14:textId="77777777" w:rsidP="006F56D0" w:rsidR="006F56D0" w:rsidRDefault="006F56D0" w:rsidRPr="005F2340">
      <w:pPr>
        <w:rPr>
          <w:rFonts w:cs="Arial"/>
        </w:rPr>
      </w:pPr>
    </w:p>
    <w:p w14:paraId="0E867E50" w14:textId="77777777" w:rsidP="006F56D0" w:rsidR="006F56D0" w:rsidRDefault="006F56D0" w:rsidRPr="005F2340">
      <w:pPr>
        <w:rPr>
          <w:rFonts w:cs="Arial"/>
        </w:rPr>
      </w:pPr>
      <w:r w:rsidRPr="005F2340">
        <w:rPr>
          <w:rFonts w:cs="Arial"/>
        </w:rPr>
        <w:t>3° L'intéressement, la participation et l'épargne salariale, à défaut d'accord d'intéressement, d'accord de participation, de plan d'épargne d'entreprise, de plan d'épargne pour la mise à la retraite collectif ou d'accord de branche comportant un ou plusieurs de ces dispositifs. S'il y a lieu, la négociation porte également sur l'affectation d'une partie des sommes collectées dans le cadre du plan d'épargne pour la retraite collectif mentionné à l'article L. 3334-1 du présent code ou du plan d'épargne retraite d'entreprise collectif mentionné à l'article L. 224-14 du code monétaire et financier et sur l'acquisition de parts de fonds investis dans les entreprises solidaires mentionnés à l'article L. 3334-13 du présent code ou à l'article L. 224-3 du code monétaire et financier. La même obligation incombe aux groupements d'employeurs ;</w:t>
      </w:r>
    </w:p>
    <w:p w14:paraId="58A87D0E" w14:textId="77777777" w:rsidP="006F56D0" w:rsidR="006F56D0" w:rsidRDefault="006F56D0" w:rsidRPr="005F2340">
      <w:pPr>
        <w:rPr>
          <w:rFonts w:cs="Arial"/>
        </w:rPr>
      </w:pPr>
    </w:p>
    <w:p w14:paraId="52D2728D" w14:textId="77777777" w:rsidP="006F56D0" w:rsidR="006F56D0" w:rsidRDefault="006F56D0">
      <w:pPr>
        <w:rPr>
          <w:rFonts w:cs="Arial"/>
        </w:rPr>
      </w:pPr>
      <w:r w:rsidRPr="005F2340">
        <w:rPr>
          <w:rFonts w:cs="Arial"/>
        </w:rPr>
        <w:t>4° Le suivi de la mise en œuvre des mesures visant à supprimer les écarts de rémunération et les différences de déroulement de carrière entre les femmes et les hommes.</w:t>
      </w:r>
    </w:p>
    <w:p w14:paraId="6E817DB6" w14:textId="77777777" w:rsidP="006F56D0" w:rsidR="006F56D0" w:rsidRDefault="006F56D0">
      <w:pPr>
        <w:rPr>
          <w:rFonts w:cs="Arial"/>
        </w:rPr>
      </w:pPr>
    </w:p>
    <w:p w14:paraId="78C09DEF" w14:textId="77777777" w:rsidP="006F56D0" w:rsidR="006F56D0" w:rsidRDefault="006F56D0">
      <w:pPr>
        <w:rPr>
          <w:rFonts w:cs="Arial"/>
        </w:rPr>
      </w:pPr>
      <w:r>
        <w:rPr>
          <w:rFonts w:cs="Arial"/>
        </w:rPr>
        <w:t xml:space="preserve">Par ailleurs, en l’absence d’accord, Mayenne Habitat doit engager des négociations complémentaires, dîtes dispositions « supplétives » : </w:t>
      </w:r>
    </w:p>
    <w:p w14:paraId="1077CC8B" w14:textId="77777777" w:rsidP="00B61D60" w:rsidR="006F56D0" w:rsidRDefault="006F56D0">
      <w:pPr>
        <w:pStyle w:val="Titre4"/>
      </w:pPr>
      <w:r w:rsidRPr="000A3C07">
        <w:t xml:space="preserve">Chaque année, une négociation sur l’égalité professionnelle entre les femmes et les hommes et la qualité de vie et des conditions de travail (articulation entre la vie personnelle et la vie professionnelle, lutte contre les discriminations, insertion professionnelle et maintien dans l’emploi des </w:t>
      </w:r>
      <w:r w:rsidRPr="000A3C07">
        <w:lastRenderedPageBreak/>
        <w:t xml:space="preserve">travailleurs handicapés, modalités du plein exercice par le salarié de son droit à la déconnexion, etc.). </w:t>
      </w:r>
    </w:p>
    <w:p w14:paraId="049F52ED" w14:textId="77777777" w:rsidP="00B61D60" w:rsidR="006F56D0" w:rsidRDefault="006F56D0" w:rsidRPr="00C41F57">
      <w:pPr>
        <w:pStyle w:val="Titre4"/>
      </w:pPr>
      <w:r w:rsidRPr="00C41F57">
        <w:t>En outre, dans les entreprises dont 50 salariés au moins sont employés sur un même site, cette négociation porte également sur les mesures visant à améliorer la mobilité des salariés entre leur lieu de résidence habituelle et leur lieu de travail, notamment en réduisant le coût de la mobilité, en incitant à l’usage des modes de transport vertueux ainsi que par la prise en charge des frais de transport personnel des salariés (frais de carburant et frais exposés pour l’alimentation de véhicules électriques, hybrides rechargeables ou hydrogène et forfait « mobilités durables »). À défaut d’accord, les entreprises soumises à l’obligation de négocier et dont 50 salariés au moins sont employés sur un même site, élaborent un plan de mobilité employeur sur leurs différents sites dans les conditions prévues au II bis de l’article L. 1214-8-2 du Code des transports.</w:t>
      </w:r>
    </w:p>
    <w:p w14:paraId="117B0133" w14:textId="77777777" w:rsidP="00B61D60" w:rsidR="006F56D0" w:rsidRDefault="006F56D0">
      <w:pPr>
        <w:pStyle w:val="Titre4"/>
      </w:pPr>
      <w:r w:rsidRPr="000A3C07">
        <w:t>La négociation mentionnée ci-dessus peut également porter sur la qualité des conditions de travail, notamment sur la santé et la sécurité au travail et la prévention des risques professionnels. Elle peut s’appuyer sur les acteurs régionaux et locaux de la prévention des risques professionnels. Cette disposition est issue de la loi du 2 août 2021 citée en référence, en vigueur depuis le 31 mars 2022.</w:t>
      </w:r>
    </w:p>
    <w:p w14:paraId="36E9BDB2" w14:textId="77777777" w:rsidP="006F56D0" w:rsidR="006F56D0" w:rsidRDefault="006F56D0">
      <w:pPr>
        <w:rPr>
          <w:rFonts w:cs="Arial"/>
        </w:rPr>
      </w:pPr>
    </w:p>
    <w:p w14:paraId="069C62FB" w14:textId="77777777" w:rsidP="006F56D0" w:rsidR="006F56D0" w:rsidRDefault="006F56D0">
      <w:pPr>
        <w:rPr>
          <w:rFonts w:cs="Arial"/>
        </w:rPr>
      </w:pPr>
      <w:r>
        <w:rPr>
          <w:rFonts w:cs="Arial"/>
        </w:rPr>
        <w:t xml:space="preserve">Il s’agit d’une </w:t>
      </w:r>
      <w:r w:rsidRPr="00F46A53">
        <w:rPr>
          <w:rFonts w:cs="Arial"/>
          <w:u w:val="single"/>
        </w:rPr>
        <w:t>obligation de négocier, et non de conclure</w:t>
      </w:r>
      <w:r>
        <w:rPr>
          <w:rFonts w:cs="Arial"/>
        </w:rPr>
        <w:t>.</w:t>
      </w:r>
    </w:p>
    <w:p w14:paraId="388DE424" w14:textId="77777777" w:rsidP="001066BC" w:rsidR="006F56D0" w:rsidRDefault="006F56D0" w:rsidRPr="00BA63AB"/>
    <w:p w14:paraId="36761252" w14:textId="77777777" w:rsidP="001066BC" w:rsidR="006F56D0" w:rsidRDefault="006F56D0" w:rsidRPr="001A27AD">
      <w:pPr>
        <w:rPr>
          <w:b/>
          <w:bCs/>
        </w:rPr>
      </w:pPr>
      <w:r w:rsidRPr="001A27AD">
        <w:rPr>
          <w:b/>
          <w:bCs/>
        </w:rPr>
        <w:t>Elle s’applique principalement aux salariés de droit privé.</w:t>
      </w:r>
    </w:p>
    <w:p w14:paraId="6AA99413" w14:textId="77777777" w:rsidP="001066BC" w:rsidR="006F56D0" w:rsidRDefault="006F56D0"/>
    <w:p w14:paraId="128EE0F4" w14:textId="77777777" w:rsidP="001066BC" w:rsidR="00940871" w:rsidRDefault="00940871" w:rsidRPr="00D87540">
      <w:pPr>
        <w:rPr>
          <w:b/>
          <w:bCs/>
        </w:rPr>
      </w:pPr>
      <w:r w:rsidRPr="00D87540">
        <w:rPr>
          <w:b/>
          <w:bCs/>
        </w:rPr>
        <w:t>Ont été invités :</w:t>
      </w:r>
    </w:p>
    <w:p w14:paraId="2159E0C7" w14:textId="77777777" w:rsidP="001066BC" w:rsidR="00346745" w:rsidRDefault="00346745"/>
    <w:p w14:paraId="7A5D7BE7" w14:textId="3A7E7BA3" w:rsidP="001066BC" w:rsidR="00940871" w:rsidRDefault="00575B3D">
      <w:r>
        <w:t>Le nombre de délégués syndicaux que peut désigner chaque syndicat représentatif est fixé dans le code du travail : de 50 à 999 salariés – 1 délégué syndical</w:t>
      </w:r>
    </w:p>
    <w:p w14:paraId="334B660B" w14:textId="77777777" w:rsidP="00346745" w:rsidR="00346745" w:rsidRDefault="00346745">
      <w:pPr>
        <w:pStyle w:val="Titre4"/>
        <w:numPr>
          <w:ilvl w:val="0"/>
          <w:numId w:val="0"/>
        </w:numPr>
        <w:ind w:hanging="360" w:left="720"/>
      </w:pPr>
    </w:p>
    <w:p w14:paraId="5EB5CBA7" w14:textId="264E1F42" w:rsidP="00346745" w:rsidR="00E25DF3" w:rsidRDefault="00E25DF3">
      <w:pPr>
        <w:pStyle w:val="Titre4"/>
        <w:numPr>
          <w:ilvl w:val="0"/>
          <w:numId w:val="0"/>
        </w:numPr>
      </w:pPr>
      <w:r>
        <w:t>Le nombre de salariés qui complète la délégation est au plus égal à celui de</w:t>
      </w:r>
      <w:r w:rsidR="00346745">
        <w:t xml:space="preserve"> </w:t>
      </w:r>
      <w:r>
        <w:t>délégués syndicaux de la délégation soit 1 salarié par syndicat :</w:t>
      </w:r>
    </w:p>
    <w:p w14:paraId="1E11F907" w14:textId="328B480D" w:rsidP="00346745" w:rsidR="00346745" w:rsidRDefault="00346745"/>
    <w:p w14:paraId="2457F1A4" w14:textId="578970FB" w:rsidP="00346745" w:rsidR="00346745" w:rsidRDefault="00346745" w:rsidRPr="00346745">
      <w:r>
        <w:t>Pour le syndicat FO :</w:t>
      </w:r>
    </w:p>
    <w:p w14:paraId="6C58225C" w14:textId="77777777" w:rsidP="00346745" w:rsidR="00E25DF3" w:rsidRDefault="00E25DF3" w:rsidRPr="001A27AD"/>
    <w:p w14:paraId="681E236A" w14:textId="47B1B39E" w:rsidP="00BD6B87" w:rsidR="00C74400" w:rsidRDefault="00090164" w:rsidRPr="00E92021">
      <w:pPr>
        <w:pStyle w:val="Titre5"/>
      </w:pPr>
      <w:r>
        <w:br w:type="page"/>
      </w:r>
      <w:r w:rsidR="00C74400">
        <w:lastRenderedPageBreak/>
        <w:t>Préambule</w:t>
      </w:r>
    </w:p>
    <w:p w14:paraId="62BAEF09" w14:textId="180A432D" w:rsidP="00AD7F66" w:rsidR="00A42389" w:rsidRDefault="0045584B">
      <w:pPr>
        <w:rPr>
          <w:rFonts w:cs="Arial"/>
        </w:rPr>
      </w:pPr>
      <w:r>
        <w:rPr>
          <w:rFonts w:cs="Arial"/>
        </w:rPr>
        <w:t>Dans le cadre des négociations annuelles obligatoires</w:t>
      </w:r>
      <w:r w:rsidR="00C74400">
        <w:rPr>
          <w:rFonts w:cs="Arial"/>
        </w:rPr>
        <w:t xml:space="preserve">, </w:t>
      </w:r>
      <w:r w:rsidR="00A42389">
        <w:rPr>
          <w:rFonts w:cs="Arial"/>
        </w:rPr>
        <w:t xml:space="preserve">plusieurs réunions se sont tenues : </w:t>
      </w:r>
    </w:p>
    <w:p w14:paraId="55A2471D" w14:textId="29F119E5" w:rsidP="00B61D60" w:rsidR="00AD7F66" w:rsidRDefault="007C5209" w:rsidRPr="001A27AD">
      <w:pPr>
        <w:pStyle w:val="Titre4"/>
      </w:pPr>
      <w:r>
        <w:t>Le</w:t>
      </w:r>
      <w:r w:rsidR="005A6DEA" w:rsidRPr="001A27AD">
        <w:t xml:space="preserve"> </w:t>
      </w:r>
      <w:r w:rsidR="00A42389" w:rsidRPr="001A27AD">
        <w:t>12 avril 2022 : ouverture des NAO</w:t>
      </w:r>
      <w:r w:rsidR="00E25DF3">
        <w:t xml:space="preserve"> 2022</w:t>
      </w:r>
    </w:p>
    <w:p w14:paraId="7D54B5AC" w14:textId="217B2DC0" w:rsidP="00B61D60" w:rsidR="00A42389" w:rsidRDefault="007C5209" w:rsidRPr="001A27AD">
      <w:pPr>
        <w:pStyle w:val="Titre4"/>
      </w:pPr>
      <w:r>
        <w:t>L</w:t>
      </w:r>
      <w:r w:rsidR="00D76311" w:rsidRPr="001A27AD">
        <w:t xml:space="preserve">e </w:t>
      </w:r>
      <w:r w:rsidR="00A42389" w:rsidRPr="001A27AD">
        <w:t xml:space="preserve">24 mai 2022 : mesures </w:t>
      </w:r>
      <w:r w:rsidR="00131780">
        <w:t>salariales</w:t>
      </w:r>
      <w:r w:rsidR="00A42389" w:rsidRPr="001A27AD">
        <w:t xml:space="preserve"> </w:t>
      </w:r>
    </w:p>
    <w:p w14:paraId="4D8F0E15" w14:textId="49774A48" w:rsidP="00B61D60" w:rsidR="00C74400" w:rsidRDefault="007C5209" w:rsidRPr="001A27AD">
      <w:pPr>
        <w:pStyle w:val="Titre4"/>
      </w:pPr>
      <w:r>
        <w:t>L</w:t>
      </w:r>
      <w:r w:rsidR="00A42389" w:rsidRPr="001A27AD">
        <w:t>e 05 juillet 2022 : mobilités durables</w:t>
      </w:r>
    </w:p>
    <w:p w14:paraId="60463165" w14:textId="6B74573D" w:rsidP="00B61D60" w:rsidR="00A42389" w:rsidRDefault="007C5209" w:rsidRPr="001A27AD">
      <w:pPr>
        <w:pStyle w:val="Titre4"/>
      </w:pPr>
      <w:r>
        <w:t>L</w:t>
      </w:r>
      <w:r w:rsidR="00A42389" w:rsidRPr="001A27AD">
        <w:t xml:space="preserve">e 20 septembre 2022 : </w:t>
      </w:r>
      <w:r w:rsidR="00E25DF3">
        <w:t>clôture</w:t>
      </w:r>
      <w:r w:rsidR="00A42389" w:rsidRPr="001A27AD">
        <w:t xml:space="preserve"> des NAO</w:t>
      </w:r>
      <w:r w:rsidR="00E25DF3">
        <w:t xml:space="preserve"> 2022</w:t>
      </w:r>
      <w:r w:rsidR="00A42389" w:rsidRPr="001A27AD">
        <w:t xml:space="preserve"> et planning des prochaines négociations</w:t>
      </w:r>
    </w:p>
    <w:p w14:paraId="56C6484B" w14:textId="06E835C9" w:rsidP="00A42389" w:rsidR="00A42389" w:rsidRDefault="00A42389">
      <w:pPr>
        <w:rPr>
          <w:rFonts w:cs="Arial"/>
        </w:rPr>
      </w:pPr>
    </w:p>
    <w:p w14:paraId="4D0B27CB" w14:textId="1D39875D" w:rsidP="00E11385" w:rsidR="003D04B8" w:rsidRDefault="003D04B8">
      <w:pPr>
        <w:rPr>
          <w:rFonts w:cs="Arial"/>
        </w:rPr>
      </w:pPr>
      <w:r>
        <w:rPr>
          <w:rFonts w:cs="Arial"/>
        </w:rPr>
        <w:t xml:space="preserve">Le présent accord reprend plusieurs éléments : </w:t>
      </w:r>
    </w:p>
    <w:p w14:paraId="430AAD96" w14:textId="77777777" w:rsidP="00E11385" w:rsidR="00E25DF3" w:rsidRDefault="00E25DF3">
      <w:pPr>
        <w:rPr>
          <w:rFonts w:cs="Arial"/>
        </w:rPr>
      </w:pPr>
    </w:p>
    <w:p w14:paraId="05FFB436" w14:textId="38972703" w:rsidP="00E25DF3" w:rsidR="00AD1C44" w:rsidRDefault="001B2C5C">
      <w:pPr>
        <w:pStyle w:val="TM1"/>
        <w:rPr>
          <w:rFonts w:asciiTheme="minorHAnsi" w:cstheme="minorBidi" w:eastAsiaTheme="minorEastAsia" w:hAnsiTheme="minorHAnsi"/>
          <w:sz w:val="22"/>
          <w:szCs w:val="22"/>
        </w:rPr>
      </w:pPr>
      <w:r>
        <w:fldChar w:fldCharType="begin"/>
      </w:r>
      <w:r>
        <w:instrText xml:space="preserve"> TOC \o "1-3" \h \z \u </w:instrText>
      </w:r>
      <w:r>
        <w:fldChar w:fldCharType="separate"/>
      </w:r>
      <w:hyperlink w:anchor="_Toc114582037" w:history="1">
        <w:r w:rsidR="00AD1C44" w:rsidRPr="00DE0B6B">
          <w:t>Chapitre 1 -</w:t>
        </w:r>
        <w:r w:rsidR="00AD1C44">
          <w:rPr>
            <w:rFonts w:asciiTheme="minorHAnsi" w:cstheme="minorBidi" w:eastAsiaTheme="minorEastAsia" w:hAnsiTheme="minorHAnsi"/>
            <w:sz w:val="22"/>
            <w:szCs w:val="22"/>
          </w:rPr>
          <w:tab/>
        </w:r>
        <w:r w:rsidR="00AD1C44" w:rsidRPr="00DE0B6B">
          <w:t>Mesures adoptées portant sur les rémunérations, les titres restaurants, l’accompagnement des agents de la FPT</w:t>
        </w:r>
        <w:r w:rsidR="00AD1C44">
          <w:rPr>
            <w:webHidden/>
          </w:rPr>
          <w:tab/>
        </w:r>
        <w:r w:rsidR="00AD1C44">
          <w:rPr>
            <w:webHidden/>
          </w:rPr>
          <w:fldChar w:fldCharType="begin"/>
        </w:r>
        <w:r w:rsidR="00AD1C44">
          <w:rPr>
            <w:webHidden/>
          </w:rPr>
          <w:instrText xml:space="preserve"> PAGEREF _Toc114582037 \h </w:instrText>
        </w:r>
        <w:r w:rsidR="00AD1C44">
          <w:rPr>
            <w:webHidden/>
          </w:rPr>
        </w:r>
        <w:r w:rsidR="00AD1C44">
          <w:rPr>
            <w:webHidden/>
          </w:rPr>
          <w:fldChar w:fldCharType="separate"/>
        </w:r>
        <w:r w:rsidR="0070527D">
          <w:rPr>
            <w:webHidden/>
          </w:rPr>
          <w:t>4</w:t>
        </w:r>
        <w:r w:rsidR="00AD1C44">
          <w:rPr>
            <w:webHidden/>
          </w:rPr>
          <w:fldChar w:fldCharType="end"/>
        </w:r>
      </w:hyperlink>
    </w:p>
    <w:p w14:paraId="3DB1425A" w14:textId="5C80F664" w:rsidR="00AD1C44" w:rsidRDefault="0070527D">
      <w:pPr>
        <w:pStyle w:val="TM2"/>
        <w:tabs>
          <w:tab w:pos="1540" w:val="left"/>
          <w:tab w:leader="dot" w:pos="9062" w:val="right"/>
        </w:tabs>
        <w:rPr>
          <w:rFonts w:asciiTheme="minorHAnsi" w:cstheme="minorBidi" w:eastAsiaTheme="minorEastAsia" w:hAnsiTheme="minorHAnsi"/>
          <w:noProof/>
          <w:sz w:val="22"/>
          <w:szCs w:val="22"/>
        </w:rPr>
      </w:pPr>
      <w:hyperlink w:anchor="_Toc114582038" w:history="1">
        <w:r w:rsidR="00AD1C44" w:rsidRPr="00DE0B6B">
          <w:rPr>
            <w:noProof/>
          </w:rPr>
          <w:t>Article 1 -</w:t>
        </w:r>
        <w:r w:rsidR="00AD1C44">
          <w:rPr>
            <w:rFonts w:asciiTheme="minorHAnsi" w:cstheme="minorBidi" w:eastAsiaTheme="minorEastAsia" w:hAnsiTheme="minorHAnsi"/>
            <w:noProof/>
            <w:sz w:val="22"/>
            <w:szCs w:val="22"/>
          </w:rPr>
          <w:tab/>
        </w:r>
        <w:r w:rsidR="00AD1C44" w:rsidRPr="00DE0B6B">
          <w:rPr>
            <w:noProof/>
          </w:rPr>
          <w:t>Salaires effectifs</w:t>
        </w:r>
        <w:r w:rsidR="00AD1C44">
          <w:rPr>
            <w:noProof/>
            <w:webHidden/>
          </w:rPr>
          <w:tab/>
        </w:r>
        <w:r w:rsidR="00AD1C44">
          <w:rPr>
            <w:noProof/>
            <w:webHidden/>
          </w:rPr>
          <w:fldChar w:fldCharType="begin"/>
        </w:r>
        <w:r w:rsidR="00AD1C44">
          <w:rPr>
            <w:noProof/>
            <w:webHidden/>
          </w:rPr>
          <w:instrText xml:space="preserve"> PAGEREF _Toc114582038 \h </w:instrText>
        </w:r>
        <w:r w:rsidR="00AD1C44">
          <w:rPr>
            <w:noProof/>
            <w:webHidden/>
          </w:rPr>
        </w:r>
        <w:r w:rsidR="00AD1C44">
          <w:rPr>
            <w:noProof/>
            <w:webHidden/>
          </w:rPr>
          <w:fldChar w:fldCharType="separate"/>
        </w:r>
        <w:r>
          <w:rPr>
            <w:noProof/>
            <w:webHidden/>
          </w:rPr>
          <w:t>4</w:t>
        </w:r>
        <w:r w:rsidR="00AD1C44">
          <w:rPr>
            <w:noProof/>
            <w:webHidden/>
          </w:rPr>
          <w:fldChar w:fldCharType="end"/>
        </w:r>
      </w:hyperlink>
    </w:p>
    <w:p w14:paraId="544B3C27" w14:textId="77F57A3A" w:rsidR="00AD1C44" w:rsidRDefault="0070527D">
      <w:pPr>
        <w:pStyle w:val="TM2"/>
        <w:tabs>
          <w:tab w:pos="1540" w:val="left"/>
          <w:tab w:leader="dot" w:pos="9062" w:val="right"/>
        </w:tabs>
        <w:rPr>
          <w:rFonts w:asciiTheme="minorHAnsi" w:cstheme="minorBidi" w:eastAsiaTheme="minorEastAsia" w:hAnsiTheme="minorHAnsi"/>
          <w:noProof/>
          <w:sz w:val="22"/>
          <w:szCs w:val="22"/>
        </w:rPr>
      </w:pPr>
      <w:hyperlink w:anchor="_Toc114582039" w:history="1">
        <w:r w:rsidR="00AD1C44" w:rsidRPr="00DE0B6B">
          <w:rPr>
            <w:noProof/>
          </w:rPr>
          <w:t>Article 2 -</w:t>
        </w:r>
        <w:r w:rsidR="00AD1C44">
          <w:rPr>
            <w:rFonts w:asciiTheme="minorHAnsi" w:cstheme="minorBidi" w:eastAsiaTheme="minorEastAsia" w:hAnsiTheme="minorHAnsi"/>
            <w:noProof/>
            <w:sz w:val="22"/>
            <w:szCs w:val="22"/>
          </w:rPr>
          <w:tab/>
        </w:r>
        <w:r w:rsidR="00AD1C44" w:rsidRPr="00DE0B6B">
          <w:rPr>
            <w:noProof/>
          </w:rPr>
          <w:t>Titres restaurants</w:t>
        </w:r>
        <w:r w:rsidR="00AD1C44">
          <w:rPr>
            <w:noProof/>
            <w:webHidden/>
          </w:rPr>
          <w:tab/>
        </w:r>
        <w:r w:rsidR="00AD1C44">
          <w:rPr>
            <w:noProof/>
            <w:webHidden/>
          </w:rPr>
          <w:fldChar w:fldCharType="begin"/>
        </w:r>
        <w:r w:rsidR="00AD1C44">
          <w:rPr>
            <w:noProof/>
            <w:webHidden/>
          </w:rPr>
          <w:instrText xml:space="preserve"> PAGEREF _Toc114582039 \h </w:instrText>
        </w:r>
        <w:r w:rsidR="00AD1C44">
          <w:rPr>
            <w:noProof/>
            <w:webHidden/>
          </w:rPr>
        </w:r>
        <w:r w:rsidR="00AD1C44">
          <w:rPr>
            <w:noProof/>
            <w:webHidden/>
          </w:rPr>
          <w:fldChar w:fldCharType="separate"/>
        </w:r>
        <w:r>
          <w:rPr>
            <w:noProof/>
            <w:webHidden/>
          </w:rPr>
          <w:t>4</w:t>
        </w:r>
        <w:r w:rsidR="00AD1C44">
          <w:rPr>
            <w:noProof/>
            <w:webHidden/>
          </w:rPr>
          <w:fldChar w:fldCharType="end"/>
        </w:r>
      </w:hyperlink>
    </w:p>
    <w:p w14:paraId="654F8C9E" w14:textId="1BD97D12" w:rsidR="00AD1C44" w:rsidRDefault="0070527D">
      <w:pPr>
        <w:pStyle w:val="TM2"/>
        <w:tabs>
          <w:tab w:pos="1540" w:val="left"/>
          <w:tab w:leader="dot" w:pos="9062" w:val="right"/>
        </w:tabs>
        <w:rPr>
          <w:noProof/>
        </w:rPr>
      </w:pPr>
      <w:hyperlink w:anchor="_Toc114582040" w:history="1">
        <w:r w:rsidR="00AD1C44" w:rsidRPr="00DE0B6B">
          <w:rPr>
            <w:noProof/>
          </w:rPr>
          <w:t>Article 3 -</w:t>
        </w:r>
        <w:r w:rsidR="00AD1C44">
          <w:rPr>
            <w:rFonts w:asciiTheme="minorHAnsi" w:cstheme="minorBidi" w:eastAsiaTheme="minorEastAsia" w:hAnsiTheme="minorHAnsi"/>
            <w:noProof/>
            <w:sz w:val="22"/>
            <w:szCs w:val="22"/>
          </w:rPr>
          <w:tab/>
        </w:r>
        <w:r w:rsidR="00AD1C44" w:rsidRPr="00DE0B6B">
          <w:rPr>
            <w:noProof/>
          </w:rPr>
          <w:t>Accompagnement collectif et individuel des agents de la FPT dans leur réflexion pour un changement éventuel de statut</w:t>
        </w:r>
        <w:r w:rsidR="00AD1C44">
          <w:rPr>
            <w:noProof/>
            <w:webHidden/>
          </w:rPr>
          <w:tab/>
        </w:r>
        <w:r w:rsidR="00AD1C44">
          <w:rPr>
            <w:noProof/>
            <w:webHidden/>
          </w:rPr>
          <w:fldChar w:fldCharType="begin"/>
        </w:r>
        <w:r w:rsidR="00AD1C44">
          <w:rPr>
            <w:noProof/>
            <w:webHidden/>
          </w:rPr>
          <w:instrText xml:space="preserve"> PAGEREF _Toc114582040 \h </w:instrText>
        </w:r>
        <w:r w:rsidR="00AD1C44">
          <w:rPr>
            <w:noProof/>
            <w:webHidden/>
          </w:rPr>
        </w:r>
        <w:r w:rsidR="00AD1C44">
          <w:rPr>
            <w:noProof/>
            <w:webHidden/>
          </w:rPr>
          <w:fldChar w:fldCharType="separate"/>
        </w:r>
        <w:r>
          <w:rPr>
            <w:noProof/>
            <w:webHidden/>
          </w:rPr>
          <w:t>4</w:t>
        </w:r>
        <w:r w:rsidR="00AD1C44">
          <w:rPr>
            <w:noProof/>
            <w:webHidden/>
          </w:rPr>
          <w:fldChar w:fldCharType="end"/>
        </w:r>
      </w:hyperlink>
    </w:p>
    <w:p w14:paraId="37D26B2E" w14:textId="6F000E24" w:rsidP="00E25DF3" w:rsidR="00AD1C44" w:rsidRDefault="0070527D">
      <w:pPr>
        <w:pStyle w:val="TM1"/>
        <w:rPr>
          <w:rFonts w:asciiTheme="minorHAnsi" w:cstheme="minorBidi" w:eastAsiaTheme="minorEastAsia" w:hAnsiTheme="minorHAnsi"/>
          <w:sz w:val="22"/>
          <w:szCs w:val="22"/>
        </w:rPr>
      </w:pPr>
      <w:hyperlink w:anchor="_Toc114582041" w:history="1">
        <w:r w:rsidR="00AD1C44" w:rsidRPr="00DE0B6B">
          <w:t>Chapitre 2 -</w:t>
        </w:r>
        <w:r w:rsidR="00AD1C44">
          <w:rPr>
            <w:rFonts w:asciiTheme="minorHAnsi" w:cstheme="minorBidi" w:eastAsiaTheme="minorEastAsia" w:hAnsiTheme="minorHAnsi"/>
            <w:sz w:val="22"/>
            <w:szCs w:val="22"/>
          </w:rPr>
          <w:tab/>
        </w:r>
        <w:r w:rsidR="00AD1C44" w:rsidRPr="00DE0B6B">
          <w:t>Mesures d’ores et déjà engagées par Mayenne Habitat portant sur l’intéressement et l’épargne salariale, l’égalité professionnelle et la qualité de vie au travail et conditions de travail.</w:t>
        </w:r>
        <w:r w:rsidR="00AD1C44">
          <w:rPr>
            <w:webHidden/>
          </w:rPr>
          <w:tab/>
        </w:r>
        <w:r w:rsidR="00AD1C44">
          <w:rPr>
            <w:webHidden/>
          </w:rPr>
          <w:fldChar w:fldCharType="begin"/>
        </w:r>
        <w:r w:rsidR="00AD1C44">
          <w:rPr>
            <w:webHidden/>
          </w:rPr>
          <w:instrText xml:space="preserve"> PAGEREF _Toc114582041 \h </w:instrText>
        </w:r>
        <w:r w:rsidR="00AD1C44">
          <w:rPr>
            <w:webHidden/>
          </w:rPr>
        </w:r>
        <w:r w:rsidR="00AD1C44">
          <w:rPr>
            <w:webHidden/>
          </w:rPr>
          <w:fldChar w:fldCharType="separate"/>
        </w:r>
        <w:r>
          <w:rPr>
            <w:webHidden/>
          </w:rPr>
          <w:t>4</w:t>
        </w:r>
        <w:r w:rsidR="00AD1C44">
          <w:rPr>
            <w:webHidden/>
          </w:rPr>
          <w:fldChar w:fldCharType="end"/>
        </w:r>
      </w:hyperlink>
    </w:p>
    <w:p w14:paraId="1E669F20" w14:textId="4FEBAD71" w:rsidR="00AD1C44" w:rsidRDefault="0070527D">
      <w:pPr>
        <w:pStyle w:val="TM2"/>
        <w:tabs>
          <w:tab w:pos="1540" w:val="left"/>
          <w:tab w:leader="dot" w:pos="9062" w:val="right"/>
        </w:tabs>
        <w:rPr>
          <w:rFonts w:asciiTheme="minorHAnsi" w:cstheme="minorBidi" w:eastAsiaTheme="minorEastAsia" w:hAnsiTheme="minorHAnsi"/>
          <w:noProof/>
          <w:sz w:val="22"/>
          <w:szCs w:val="22"/>
        </w:rPr>
      </w:pPr>
      <w:hyperlink w:anchor="_Toc114582042" w:history="1">
        <w:r w:rsidR="00AD1C44" w:rsidRPr="00DE0B6B">
          <w:rPr>
            <w:noProof/>
          </w:rPr>
          <w:t>Article 1 -</w:t>
        </w:r>
        <w:r w:rsidR="00AD1C44">
          <w:rPr>
            <w:rFonts w:asciiTheme="minorHAnsi" w:cstheme="minorBidi" w:eastAsiaTheme="minorEastAsia" w:hAnsiTheme="minorHAnsi"/>
            <w:noProof/>
            <w:sz w:val="22"/>
            <w:szCs w:val="22"/>
          </w:rPr>
          <w:tab/>
        </w:r>
        <w:r w:rsidR="00AD1C44" w:rsidRPr="00DE0B6B">
          <w:rPr>
            <w:noProof/>
          </w:rPr>
          <w:t>Intéressement et épargne salariale</w:t>
        </w:r>
        <w:r w:rsidR="00AD1C44">
          <w:rPr>
            <w:noProof/>
            <w:webHidden/>
          </w:rPr>
          <w:tab/>
        </w:r>
        <w:r w:rsidR="00AD1C44">
          <w:rPr>
            <w:noProof/>
            <w:webHidden/>
          </w:rPr>
          <w:fldChar w:fldCharType="begin"/>
        </w:r>
        <w:r w:rsidR="00AD1C44">
          <w:rPr>
            <w:noProof/>
            <w:webHidden/>
          </w:rPr>
          <w:instrText xml:space="preserve"> PAGEREF _Toc114582042 \h </w:instrText>
        </w:r>
        <w:r w:rsidR="00AD1C44">
          <w:rPr>
            <w:noProof/>
            <w:webHidden/>
          </w:rPr>
        </w:r>
        <w:r w:rsidR="00AD1C44">
          <w:rPr>
            <w:noProof/>
            <w:webHidden/>
          </w:rPr>
          <w:fldChar w:fldCharType="separate"/>
        </w:r>
        <w:r>
          <w:rPr>
            <w:noProof/>
            <w:webHidden/>
          </w:rPr>
          <w:t>4</w:t>
        </w:r>
        <w:r w:rsidR="00AD1C44">
          <w:rPr>
            <w:noProof/>
            <w:webHidden/>
          </w:rPr>
          <w:fldChar w:fldCharType="end"/>
        </w:r>
      </w:hyperlink>
    </w:p>
    <w:p w14:paraId="61F3592D" w14:textId="359F1508" w:rsidR="00AD1C44" w:rsidRDefault="0070527D">
      <w:pPr>
        <w:pStyle w:val="TM3"/>
        <w:tabs>
          <w:tab w:leader="dot" w:pos="9062" w:val="right"/>
        </w:tabs>
        <w:rPr>
          <w:rFonts w:asciiTheme="minorHAnsi" w:cstheme="minorBidi" w:eastAsiaTheme="minorEastAsia" w:hAnsiTheme="minorHAnsi"/>
          <w:noProof/>
          <w:sz w:val="22"/>
          <w:szCs w:val="22"/>
        </w:rPr>
      </w:pPr>
      <w:hyperlink w:anchor="_Toc114582043" w:history="1">
        <w:r w:rsidR="00AD1C44" w:rsidRPr="00DE0B6B">
          <w:rPr>
            <w:noProof/>
          </w:rPr>
          <w:t>L’intéressement</w:t>
        </w:r>
        <w:r w:rsidR="00AD1C44">
          <w:rPr>
            <w:noProof/>
            <w:webHidden/>
          </w:rPr>
          <w:tab/>
        </w:r>
        <w:r w:rsidR="00AD1C44">
          <w:rPr>
            <w:noProof/>
            <w:webHidden/>
          </w:rPr>
          <w:fldChar w:fldCharType="begin"/>
        </w:r>
        <w:r w:rsidR="00AD1C44">
          <w:rPr>
            <w:noProof/>
            <w:webHidden/>
          </w:rPr>
          <w:instrText xml:space="preserve"> PAGEREF _Toc114582043 \h </w:instrText>
        </w:r>
        <w:r w:rsidR="00AD1C44">
          <w:rPr>
            <w:noProof/>
            <w:webHidden/>
          </w:rPr>
        </w:r>
        <w:r w:rsidR="00AD1C44">
          <w:rPr>
            <w:noProof/>
            <w:webHidden/>
          </w:rPr>
          <w:fldChar w:fldCharType="separate"/>
        </w:r>
        <w:r>
          <w:rPr>
            <w:noProof/>
            <w:webHidden/>
          </w:rPr>
          <w:t>4</w:t>
        </w:r>
        <w:r w:rsidR="00AD1C44">
          <w:rPr>
            <w:noProof/>
            <w:webHidden/>
          </w:rPr>
          <w:fldChar w:fldCharType="end"/>
        </w:r>
      </w:hyperlink>
    </w:p>
    <w:p w14:paraId="4FB10949" w14:textId="3AB3DE3C" w:rsidR="00AD1C44" w:rsidRDefault="0070527D">
      <w:pPr>
        <w:pStyle w:val="TM3"/>
        <w:tabs>
          <w:tab w:leader="dot" w:pos="9062" w:val="right"/>
        </w:tabs>
        <w:rPr>
          <w:rFonts w:asciiTheme="minorHAnsi" w:cstheme="minorBidi" w:eastAsiaTheme="minorEastAsia" w:hAnsiTheme="minorHAnsi"/>
          <w:noProof/>
          <w:sz w:val="22"/>
          <w:szCs w:val="22"/>
        </w:rPr>
      </w:pPr>
      <w:hyperlink w:anchor="_Toc114582044" w:history="1">
        <w:r w:rsidR="00AD1C44" w:rsidRPr="00DE0B6B">
          <w:rPr>
            <w:noProof/>
          </w:rPr>
          <w:t>L’épargne salariale : Plan d’épargne entreprise (PEE) et plan d’épargne retraite (PER)</w:t>
        </w:r>
        <w:r w:rsidR="00AD1C44">
          <w:rPr>
            <w:noProof/>
            <w:webHidden/>
          </w:rPr>
          <w:tab/>
        </w:r>
        <w:r w:rsidR="00AD1C44">
          <w:rPr>
            <w:noProof/>
            <w:webHidden/>
          </w:rPr>
          <w:fldChar w:fldCharType="begin"/>
        </w:r>
        <w:r w:rsidR="00AD1C44">
          <w:rPr>
            <w:noProof/>
            <w:webHidden/>
          </w:rPr>
          <w:instrText xml:space="preserve"> PAGEREF _Toc114582044 \h </w:instrText>
        </w:r>
        <w:r w:rsidR="00AD1C44">
          <w:rPr>
            <w:noProof/>
            <w:webHidden/>
          </w:rPr>
        </w:r>
        <w:r w:rsidR="00AD1C44">
          <w:rPr>
            <w:noProof/>
            <w:webHidden/>
          </w:rPr>
          <w:fldChar w:fldCharType="separate"/>
        </w:r>
        <w:r>
          <w:rPr>
            <w:noProof/>
            <w:webHidden/>
          </w:rPr>
          <w:t>4</w:t>
        </w:r>
        <w:r w:rsidR="00AD1C44">
          <w:rPr>
            <w:noProof/>
            <w:webHidden/>
          </w:rPr>
          <w:fldChar w:fldCharType="end"/>
        </w:r>
      </w:hyperlink>
    </w:p>
    <w:p w14:paraId="55BE0B9C" w14:textId="32A7F8B3" w:rsidR="00AD1C44" w:rsidRDefault="0070527D">
      <w:pPr>
        <w:pStyle w:val="TM2"/>
        <w:tabs>
          <w:tab w:pos="1540" w:val="left"/>
          <w:tab w:leader="dot" w:pos="9062" w:val="right"/>
        </w:tabs>
        <w:rPr>
          <w:rFonts w:asciiTheme="minorHAnsi" w:cstheme="minorBidi" w:eastAsiaTheme="minorEastAsia" w:hAnsiTheme="minorHAnsi"/>
          <w:noProof/>
          <w:sz w:val="22"/>
          <w:szCs w:val="22"/>
        </w:rPr>
      </w:pPr>
      <w:hyperlink w:anchor="_Toc114582045" w:history="1">
        <w:r w:rsidR="00AD1C44" w:rsidRPr="00DE0B6B">
          <w:rPr>
            <w:noProof/>
          </w:rPr>
          <w:t>Article 2 -</w:t>
        </w:r>
        <w:r w:rsidR="00AD1C44">
          <w:rPr>
            <w:rFonts w:asciiTheme="minorHAnsi" w:cstheme="minorBidi" w:eastAsiaTheme="minorEastAsia" w:hAnsiTheme="minorHAnsi"/>
            <w:noProof/>
            <w:sz w:val="22"/>
            <w:szCs w:val="22"/>
          </w:rPr>
          <w:tab/>
        </w:r>
        <w:r w:rsidR="00AD1C44" w:rsidRPr="00DE0B6B">
          <w:rPr>
            <w:noProof/>
          </w:rPr>
          <w:t>Égalité professionnelle</w:t>
        </w:r>
        <w:r w:rsidR="00AD1C44">
          <w:rPr>
            <w:noProof/>
            <w:webHidden/>
          </w:rPr>
          <w:tab/>
        </w:r>
        <w:r w:rsidR="00AD1C44">
          <w:rPr>
            <w:noProof/>
            <w:webHidden/>
          </w:rPr>
          <w:fldChar w:fldCharType="begin"/>
        </w:r>
        <w:r w:rsidR="00AD1C44">
          <w:rPr>
            <w:noProof/>
            <w:webHidden/>
          </w:rPr>
          <w:instrText xml:space="preserve"> PAGEREF _Toc114582045 \h </w:instrText>
        </w:r>
        <w:r w:rsidR="00AD1C44">
          <w:rPr>
            <w:noProof/>
            <w:webHidden/>
          </w:rPr>
        </w:r>
        <w:r w:rsidR="00AD1C44">
          <w:rPr>
            <w:noProof/>
            <w:webHidden/>
          </w:rPr>
          <w:fldChar w:fldCharType="separate"/>
        </w:r>
        <w:r>
          <w:rPr>
            <w:noProof/>
            <w:webHidden/>
          </w:rPr>
          <w:t>5</w:t>
        </w:r>
        <w:r w:rsidR="00AD1C44">
          <w:rPr>
            <w:noProof/>
            <w:webHidden/>
          </w:rPr>
          <w:fldChar w:fldCharType="end"/>
        </w:r>
      </w:hyperlink>
    </w:p>
    <w:p w14:paraId="76D0548F" w14:textId="2BD44D6D" w:rsidR="00AD1C44" w:rsidRDefault="0070527D">
      <w:pPr>
        <w:pStyle w:val="TM2"/>
        <w:tabs>
          <w:tab w:pos="1540" w:val="left"/>
          <w:tab w:leader="dot" w:pos="9062" w:val="right"/>
        </w:tabs>
        <w:rPr>
          <w:rFonts w:asciiTheme="minorHAnsi" w:cstheme="minorBidi" w:eastAsiaTheme="minorEastAsia" w:hAnsiTheme="minorHAnsi"/>
          <w:noProof/>
          <w:sz w:val="22"/>
          <w:szCs w:val="22"/>
        </w:rPr>
      </w:pPr>
      <w:hyperlink w:anchor="_Toc114582046" w:history="1">
        <w:r w:rsidR="00AD1C44" w:rsidRPr="00DE0B6B">
          <w:rPr>
            <w:noProof/>
          </w:rPr>
          <w:t>Article 3 -</w:t>
        </w:r>
        <w:r w:rsidR="00AD1C44">
          <w:rPr>
            <w:rFonts w:asciiTheme="minorHAnsi" w:cstheme="minorBidi" w:eastAsiaTheme="minorEastAsia" w:hAnsiTheme="minorHAnsi"/>
            <w:noProof/>
            <w:sz w:val="22"/>
            <w:szCs w:val="22"/>
          </w:rPr>
          <w:tab/>
        </w:r>
        <w:r w:rsidR="00AD1C44" w:rsidRPr="00DE0B6B">
          <w:rPr>
            <w:noProof/>
          </w:rPr>
          <w:t>Qualité de vie au travail et conditions de travail</w:t>
        </w:r>
        <w:r w:rsidR="00AD1C44">
          <w:rPr>
            <w:noProof/>
            <w:webHidden/>
          </w:rPr>
          <w:tab/>
        </w:r>
        <w:r w:rsidR="00AD1C44">
          <w:rPr>
            <w:noProof/>
            <w:webHidden/>
          </w:rPr>
          <w:fldChar w:fldCharType="begin"/>
        </w:r>
        <w:r w:rsidR="00AD1C44">
          <w:rPr>
            <w:noProof/>
            <w:webHidden/>
          </w:rPr>
          <w:instrText xml:space="preserve"> PAGEREF _Toc114582046 \h </w:instrText>
        </w:r>
        <w:r w:rsidR="00AD1C44">
          <w:rPr>
            <w:noProof/>
            <w:webHidden/>
          </w:rPr>
        </w:r>
        <w:r w:rsidR="00AD1C44">
          <w:rPr>
            <w:noProof/>
            <w:webHidden/>
          </w:rPr>
          <w:fldChar w:fldCharType="separate"/>
        </w:r>
        <w:r>
          <w:rPr>
            <w:noProof/>
            <w:webHidden/>
          </w:rPr>
          <w:t>5</w:t>
        </w:r>
        <w:r w:rsidR="00AD1C44">
          <w:rPr>
            <w:noProof/>
            <w:webHidden/>
          </w:rPr>
          <w:fldChar w:fldCharType="end"/>
        </w:r>
      </w:hyperlink>
    </w:p>
    <w:p w14:paraId="3148D994" w14:textId="60C2BECF" w:rsidR="00AD1C44" w:rsidRDefault="0070527D">
      <w:pPr>
        <w:pStyle w:val="TM3"/>
        <w:tabs>
          <w:tab w:leader="dot" w:pos="9062" w:val="right"/>
        </w:tabs>
        <w:rPr>
          <w:rFonts w:asciiTheme="minorHAnsi" w:cstheme="minorBidi" w:eastAsiaTheme="minorEastAsia" w:hAnsiTheme="minorHAnsi"/>
          <w:noProof/>
          <w:sz w:val="22"/>
          <w:szCs w:val="22"/>
        </w:rPr>
      </w:pPr>
      <w:hyperlink w:anchor="_Toc114582047" w:history="1">
        <w:r w:rsidR="00AD1C44" w:rsidRPr="00DE0B6B">
          <w:rPr>
            <w:noProof/>
          </w:rPr>
          <w:t>Rappel : Emploi de travailleurs handicapés</w:t>
        </w:r>
        <w:r w:rsidR="00AD1C44">
          <w:rPr>
            <w:noProof/>
            <w:webHidden/>
          </w:rPr>
          <w:tab/>
        </w:r>
        <w:r w:rsidR="00AD1C44">
          <w:rPr>
            <w:noProof/>
            <w:webHidden/>
          </w:rPr>
          <w:fldChar w:fldCharType="begin"/>
        </w:r>
        <w:r w:rsidR="00AD1C44">
          <w:rPr>
            <w:noProof/>
            <w:webHidden/>
          </w:rPr>
          <w:instrText xml:space="preserve"> PAGEREF _Toc114582047 \h </w:instrText>
        </w:r>
        <w:r w:rsidR="00AD1C44">
          <w:rPr>
            <w:noProof/>
            <w:webHidden/>
          </w:rPr>
        </w:r>
        <w:r w:rsidR="00AD1C44">
          <w:rPr>
            <w:noProof/>
            <w:webHidden/>
          </w:rPr>
          <w:fldChar w:fldCharType="separate"/>
        </w:r>
        <w:r>
          <w:rPr>
            <w:noProof/>
            <w:webHidden/>
          </w:rPr>
          <w:t>5</w:t>
        </w:r>
        <w:r w:rsidR="00AD1C44">
          <w:rPr>
            <w:noProof/>
            <w:webHidden/>
          </w:rPr>
          <w:fldChar w:fldCharType="end"/>
        </w:r>
      </w:hyperlink>
    </w:p>
    <w:p w14:paraId="52CFBE55" w14:textId="01D7992F" w:rsidR="00AD1C44" w:rsidRDefault="0070527D">
      <w:pPr>
        <w:pStyle w:val="TM2"/>
        <w:tabs>
          <w:tab w:pos="1760" w:val="left"/>
          <w:tab w:leader="dot" w:pos="9062" w:val="right"/>
        </w:tabs>
        <w:rPr>
          <w:noProof/>
        </w:rPr>
      </w:pPr>
      <w:hyperlink w:anchor="_Toc114582048" w:history="1">
        <w:r w:rsidR="00AD1C44" w:rsidRPr="00DE0B6B">
          <w:rPr>
            <w:noProof/>
          </w:rPr>
          <w:t>Article 4 -</w:t>
        </w:r>
        <w:r w:rsidR="00AD1C44">
          <w:rPr>
            <w:rFonts w:asciiTheme="minorHAnsi" w:cstheme="minorBidi" w:eastAsiaTheme="minorEastAsia" w:hAnsiTheme="minorHAnsi"/>
            <w:noProof/>
            <w:sz w:val="22"/>
            <w:szCs w:val="22"/>
          </w:rPr>
          <w:tab/>
        </w:r>
        <w:r w:rsidR="00AD1C44" w:rsidRPr="00DE0B6B">
          <w:rPr>
            <w:noProof/>
          </w:rPr>
          <w:t>La santé et la sécurité au travail et la prévention des risques professionnels</w:t>
        </w:r>
        <w:r w:rsidR="00AD1C44">
          <w:rPr>
            <w:noProof/>
            <w:webHidden/>
          </w:rPr>
          <w:tab/>
        </w:r>
        <w:r w:rsidR="00AD1C44">
          <w:rPr>
            <w:noProof/>
            <w:webHidden/>
          </w:rPr>
          <w:fldChar w:fldCharType="begin"/>
        </w:r>
        <w:r w:rsidR="00AD1C44">
          <w:rPr>
            <w:noProof/>
            <w:webHidden/>
          </w:rPr>
          <w:instrText xml:space="preserve"> PAGEREF _Toc114582048 \h </w:instrText>
        </w:r>
        <w:r w:rsidR="00AD1C44">
          <w:rPr>
            <w:noProof/>
            <w:webHidden/>
          </w:rPr>
        </w:r>
        <w:r w:rsidR="00AD1C44">
          <w:rPr>
            <w:noProof/>
            <w:webHidden/>
          </w:rPr>
          <w:fldChar w:fldCharType="separate"/>
        </w:r>
        <w:r>
          <w:rPr>
            <w:noProof/>
            <w:webHidden/>
          </w:rPr>
          <w:t>5</w:t>
        </w:r>
        <w:r w:rsidR="00AD1C44">
          <w:rPr>
            <w:noProof/>
            <w:webHidden/>
          </w:rPr>
          <w:fldChar w:fldCharType="end"/>
        </w:r>
      </w:hyperlink>
    </w:p>
    <w:p w14:paraId="06C5AC3B" w14:textId="23C12548" w:rsidP="00E25DF3" w:rsidR="00AD1C44" w:rsidRDefault="0070527D">
      <w:pPr>
        <w:pStyle w:val="TM1"/>
        <w:rPr>
          <w:rFonts w:asciiTheme="minorHAnsi" w:cstheme="minorBidi" w:eastAsiaTheme="minorEastAsia" w:hAnsiTheme="minorHAnsi"/>
          <w:sz w:val="22"/>
          <w:szCs w:val="22"/>
        </w:rPr>
      </w:pPr>
      <w:hyperlink w:anchor="_Toc114582049" w:history="1">
        <w:r w:rsidR="00AD1C44" w:rsidRPr="00DE0B6B">
          <w:t>Chapitre 3 -</w:t>
        </w:r>
        <w:r w:rsidR="00AD1C44">
          <w:rPr>
            <w:rFonts w:asciiTheme="minorHAnsi" w:cstheme="minorBidi" w:eastAsiaTheme="minorEastAsia" w:hAnsiTheme="minorHAnsi"/>
            <w:sz w:val="22"/>
            <w:szCs w:val="22"/>
          </w:rPr>
          <w:tab/>
        </w:r>
        <w:r w:rsidR="00AD1C44" w:rsidRPr="00DE0B6B">
          <w:t>Les négociations qui continuent au-delà de la NAO : durée effective du temps de travail, organisation du travail et télétravail, et les mobilités durables</w:t>
        </w:r>
        <w:r w:rsidR="00AD1C44">
          <w:rPr>
            <w:webHidden/>
          </w:rPr>
          <w:tab/>
        </w:r>
        <w:r w:rsidR="00AD1C44">
          <w:rPr>
            <w:webHidden/>
          </w:rPr>
          <w:fldChar w:fldCharType="begin"/>
        </w:r>
        <w:r w:rsidR="00AD1C44">
          <w:rPr>
            <w:webHidden/>
          </w:rPr>
          <w:instrText xml:space="preserve"> PAGEREF _Toc114582049 \h </w:instrText>
        </w:r>
        <w:r w:rsidR="00AD1C44">
          <w:rPr>
            <w:webHidden/>
          </w:rPr>
        </w:r>
        <w:r w:rsidR="00AD1C44">
          <w:rPr>
            <w:webHidden/>
          </w:rPr>
          <w:fldChar w:fldCharType="separate"/>
        </w:r>
        <w:r>
          <w:rPr>
            <w:webHidden/>
          </w:rPr>
          <w:t>5</w:t>
        </w:r>
        <w:r w:rsidR="00AD1C44">
          <w:rPr>
            <w:webHidden/>
          </w:rPr>
          <w:fldChar w:fldCharType="end"/>
        </w:r>
      </w:hyperlink>
    </w:p>
    <w:p w14:paraId="686D15BE" w14:textId="356EEBCF" w:rsidR="00AD1C44" w:rsidRDefault="0070527D">
      <w:pPr>
        <w:pStyle w:val="TM2"/>
        <w:tabs>
          <w:tab w:pos="1540" w:val="left"/>
          <w:tab w:leader="dot" w:pos="9062" w:val="right"/>
        </w:tabs>
        <w:rPr>
          <w:rFonts w:asciiTheme="minorHAnsi" w:cstheme="minorBidi" w:eastAsiaTheme="minorEastAsia" w:hAnsiTheme="minorHAnsi"/>
          <w:noProof/>
          <w:sz w:val="22"/>
          <w:szCs w:val="22"/>
        </w:rPr>
      </w:pPr>
      <w:hyperlink w:anchor="_Toc114582050" w:history="1">
        <w:r w:rsidR="00AD1C44" w:rsidRPr="00DE0B6B">
          <w:rPr>
            <w:noProof/>
          </w:rPr>
          <w:t>Article 1 -</w:t>
        </w:r>
        <w:r w:rsidR="00AD1C44">
          <w:rPr>
            <w:rFonts w:asciiTheme="minorHAnsi" w:cstheme="minorBidi" w:eastAsiaTheme="minorEastAsia" w:hAnsiTheme="minorHAnsi"/>
            <w:noProof/>
            <w:sz w:val="22"/>
            <w:szCs w:val="22"/>
          </w:rPr>
          <w:tab/>
        </w:r>
        <w:r w:rsidR="00AD1C44" w:rsidRPr="00DE0B6B">
          <w:rPr>
            <w:noProof/>
          </w:rPr>
          <w:t>Durée effective du temps de travail, organisation du travail et télétravail</w:t>
        </w:r>
        <w:r w:rsidR="00AD1C44">
          <w:rPr>
            <w:noProof/>
            <w:webHidden/>
          </w:rPr>
          <w:tab/>
        </w:r>
        <w:r w:rsidR="00AD1C44">
          <w:rPr>
            <w:noProof/>
            <w:webHidden/>
          </w:rPr>
          <w:tab/>
        </w:r>
        <w:r w:rsidR="00AD1C44">
          <w:rPr>
            <w:noProof/>
            <w:webHidden/>
          </w:rPr>
          <w:fldChar w:fldCharType="begin"/>
        </w:r>
        <w:r w:rsidR="00AD1C44">
          <w:rPr>
            <w:noProof/>
            <w:webHidden/>
          </w:rPr>
          <w:instrText xml:space="preserve"> PAGEREF _Toc114582050 \h </w:instrText>
        </w:r>
        <w:r w:rsidR="00AD1C44">
          <w:rPr>
            <w:noProof/>
            <w:webHidden/>
          </w:rPr>
        </w:r>
        <w:r w:rsidR="00AD1C44">
          <w:rPr>
            <w:noProof/>
            <w:webHidden/>
          </w:rPr>
          <w:fldChar w:fldCharType="separate"/>
        </w:r>
        <w:r>
          <w:rPr>
            <w:noProof/>
            <w:webHidden/>
          </w:rPr>
          <w:t>6</w:t>
        </w:r>
        <w:r w:rsidR="00AD1C44">
          <w:rPr>
            <w:noProof/>
            <w:webHidden/>
          </w:rPr>
          <w:fldChar w:fldCharType="end"/>
        </w:r>
      </w:hyperlink>
    </w:p>
    <w:p w14:paraId="3BE810B6" w14:textId="28240906" w:rsidR="00AD1C44" w:rsidRDefault="0070527D">
      <w:pPr>
        <w:pStyle w:val="TM2"/>
        <w:tabs>
          <w:tab w:pos="1540" w:val="left"/>
          <w:tab w:leader="dot" w:pos="9062" w:val="right"/>
        </w:tabs>
        <w:rPr>
          <w:noProof/>
        </w:rPr>
      </w:pPr>
      <w:hyperlink w:anchor="_Toc114582051" w:history="1">
        <w:r w:rsidR="00AD1C44" w:rsidRPr="00DE0B6B">
          <w:rPr>
            <w:noProof/>
          </w:rPr>
          <w:t>Article 2 -</w:t>
        </w:r>
        <w:r w:rsidR="00AD1C44">
          <w:rPr>
            <w:rFonts w:asciiTheme="minorHAnsi" w:cstheme="minorBidi" w:eastAsiaTheme="minorEastAsia" w:hAnsiTheme="minorHAnsi"/>
            <w:noProof/>
            <w:sz w:val="22"/>
            <w:szCs w:val="22"/>
          </w:rPr>
          <w:tab/>
        </w:r>
        <w:r w:rsidR="00AD1C44" w:rsidRPr="00DE0B6B">
          <w:rPr>
            <w:noProof/>
          </w:rPr>
          <w:t>Les mobilités durables</w:t>
        </w:r>
        <w:r w:rsidR="00AD1C44">
          <w:rPr>
            <w:noProof/>
            <w:webHidden/>
          </w:rPr>
          <w:tab/>
        </w:r>
        <w:r w:rsidR="00AD1C44">
          <w:rPr>
            <w:noProof/>
            <w:webHidden/>
          </w:rPr>
          <w:fldChar w:fldCharType="begin"/>
        </w:r>
        <w:r w:rsidR="00AD1C44">
          <w:rPr>
            <w:noProof/>
            <w:webHidden/>
          </w:rPr>
          <w:instrText xml:space="preserve"> PAGEREF _Toc114582051 \h </w:instrText>
        </w:r>
        <w:r w:rsidR="00AD1C44">
          <w:rPr>
            <w:noProof/>
            <w:webHidden/>
          </w:rPr>
        </w:r>
        <w:r w:rsidR="00AD1C44">
          <w:rPr>
            <w:noProof/>
            <w:webHidden/>
          </w:rPr>
          <w:fldChar w:fldCharType="separate"/>
        </w:r>
        <w:r>
          <w:rPr>
            <w:noProof/>
            <w:webHidden/>
          </w:rPr>
          <w:t>6</w:t>
        </w:r>
        <w:r w:rsidR="00AD1C44">
          <w:rPr>
            <w:noProof/>
            <w:webHidden/>
          </w:rPr>
          <w:fldChar w:fldCharType="end"/>
        </w:r>
      </w:hyperlink>
    </w:p>
    <w:p w14:paraId="50D5E52A" w14:textId="4DCD35E3" w:rsidP="00E25DF3" w:rsidR="00AD1C44" w:rsidRDefault="0070527D">
      <w:pPr>
        <w:pStyle w:val="TM1"/>
        <w:rPr>
          <w:rFonts w:asciiTheme="minorHAnsi" w:cstheme="minorBidi" w:eastAsiaTheme="minorEastAsia" w:hAnsiTheme="minorHAnsi"/>
          <w:sz w:val="22"/>
          <w:szCs w:val="22"/>
        </w:rPr>
      </w:pPr>
      <w:hyperlink w:anchor="_Toc114582052" w:history="1">
        <w:r w:rsidR="00AD1C44" w:rsidRPr="00DE0B6B">
          <w:t>Chapitre 4 -</w:t>
        </w:r>
        <w:r w:rsidR="00AD1C44">
          <w:rPr>
            <w:rFonts w:asciiTheme="minorHAnsi" w:cstheme="minorBidi" w:eastAsiaTheme="minorEastAsia" w:hAnsiTheme="minorHAnsi"/>
            <w:sz w:val="22"/>
            <w:szCs w:val="22"/>
          </w:rPr>
          <w:tab/>
        </w:r>
        <w:r w:rsidR="00AD1C44" w:rsidRPr="00DE0B6B">
          <w:t>Les prochaines négociations à mener rapidement et courant 2023 : prévoyance, et couverture complémentaire frais de santé, classification et référentiel métier, intéressement</w:t>
        </w:r>
        <w:r w:rsidR="00AD1C44">
          <w:rPr>
            <w:webHidden/>
          </w:rPr>
          <w:tab/>
        </w:r>
        <w:r w:rsidR="00AD1C44">
          <w:rPr>
            <w:webHidden/>
          </w:rPr>
          <w:fldChar w:fldCharType="begin"/>
        </w:r>
        <w:r w:rsidR="00AD1C44">
          <w:rPr>
            <w:webHidden/>
          </w:rPr>
          <w:instrText xml:space="preserve"> PAGEREF _Toc114582052 \h </w:instrText>
        </w:r>
        <w:r w:rsidR="00AD1C44">
          <w:rPr>
            <w:webHidden/>
          </w:rPr>
        </w:r>
        <w:r w:rsidR="00AD1C44">
          <w:rPr>
            <w:webHidden/>
          </w:rPr>
          <w:fldChar w:fldCharType="separate"/>
        </w:r>
        <w:r>
          <w:rPr>
            <w:webHidden/>
          </w:rPr>
          <w:t>6</w:t>
        </w:r>
        <w:r w:rsidR="00AD1C44">
          <w:rPr>
            <w:webHidden/>
          </w:rPr>
          <w:fldChar w:fldCharType="end"/>
        </w:r>
      </w:hyperlink>
    </w:p>
    <w:p w14:paraId="38C56E4D" w14:textId="11E83E49" w:rsidR="00AD1C44" w:rsidRDefault="0070527D">
      <w:pPr>
        <w:pStyle w:val="TM2"/>
        <w:tabs>
          <w:tab w:pos="1540" w:val="left"/>
          <w:tab w:leader="dot" w:pos="9062" w:val="right"/>
        </w:tabs>
        <w:rPr>
          <w:rFonts w:asciiTheme="minorHAnsi" w:cstheme="minorBidi" w:eastAsiaTheme="minorEastAsia" w:hAnsiTheme="minorHAnsi"/>
          <w:noProof/>
          <w:sz w:val="22"/>
          <w:szCs w:val="22"/>
        </w:rPr>
      </w:pPr>
      <w:hyperlink w:anchor="_Toc114582053" w:history="1">
        <w:r w:rsidR="00AD1C44" w:rsidRPr="00DE0B6B">
          <w:rPr>
            <w:noProof/>
          </w:rPr>
          <w:t>Article 1 -</w:t>
        </w:r>
        <w:r w:rsidR="00AD1C44">
          <w:rPr>
            <w:rFonts w:asciiTheme="minorHAnsi" w:cstheme="minorBidi" w:eastAsiaTheme="minorEastAsia" w:hAnsiTheme="minorHAnsi"/>
            <w:noProof/>
            <w:sz w:val="22"/>
            <w:szCs w:val="22"/>
          </w:rPr>
          <w:tab/>
        </w:r>
        <w:r w:rsidR="00AD1C44" w:rsidRPr="00DE0B6B">
          <w:rPr>
            <w:noProof/>
          </w:rPr>
          <w:t>Prévoyance - maintien de salaire et couverture complémentaire de frais de santé</w:t>
        </w:r>
        <w:r w:rsidR="00AD1C44">
          <w:rPr>
            <w:noProof/>
            <w:webHidden/>
          </w:rPr>
          <w:tab/>
        </w:r>
        <w:r w:rsidR="00AD1C44">
          <w:rPr>
            <w:noProof/>
            <w:webHidden/>
          </w:rPr>
          <w:fldChar w:fldCharType="begin"/>
        </w:r>
        <w:r w:rsidR="00AD1C44">
          <w:rPr>
            <w:noProof/>
            <w:webHidden/>
          </w:rPr>
          <w:instrText xml:space="preserve"> PAGEREF _Toc114582053 \h </w:instrText>
        </w:r>
        <w:r w:rsidR="00AD1C44">
          <w:rPr>
            <w:noProof/>
            <w:webHidden/>
          </w:rPr>
        </w:r>
        <w:r w:rsidR="00AD1C44">
          <w:rPr>
            <w:noProof/>
            <w:webHidden/>
          </w:rPr>
          <w:fldChar w:fldCharType="separate"/>
        </w:r>
        <w:r>
          <w:rPr>
            <w:noProof/>
            <w:webHidden/>
          </w:rPr>
          <w:t>6</w:t>
        </w:r>
        <w:r w:rsidR="00AD1C44">
          <w:rPr>
            <w:noProof/>
            <w:webHidden/>
          </w:rPr>
          <w:fldChar w:fldCharType="end"/>
        </w:r>
      </w:hyperlink>
    </w:p>
    <w:p w14:paraId="092544FC" w14:textId="3E6A12AB" w:rsidR="00AD1C44" w:rsidRDefault="0070527D">
      <w:pPr>
        <w:pStyle w:val="TM3"/>
        <w:tabs>
          <w:tab w:leader="dot" w:pos="9062" w:val="right"/>
        </w:tabs>
        <w:rPr>
          <w:rFonts w:asciiTheme="minorHAnsi" w:cstheme="minorBidi" w:eastAsiaTheme="minorEastAsia" w:hAnsiTheme="minorHAnsi"/>
          <w:noProof/>
          <w:sz w:val="22"/>
          <w:szCs w:val="22"/>
        </w:rPr>
      </w:pPr>
      <w:hyperlink w:anchor="_Toc114582054" w:history="1">
        <w:r w:rsidR="00AD1C44" w:rsidRPr="00DE0B6B">
          <w:rPr>
            <w:noProof/>
          </w:rPr>
          <w:t>Prévoyance – Maintien de salaire</w:t>
        </w:r>
        <w:r w:rsidR="00AD1C44">
          <w:rPr>
            <w:noProof/>
            <w:webHidden/>
          </w:rPr>
          <w:tab/>
        </w:r>
        <w:r w:rsidR="00AD1C44">
          <w:rPr>
            <w:noProof/>
            <w:webHidden/>
          </w:rPr>
          <w:fldChar w:fldCharType="begin"/>
        </w:r>
        <w:r w:rsidR="00AD1C44">
          <w:rPr>
            <w:noProof/>
            <w:webHidden/>
          </w:rPr>
          <w:instrText xml:space="preserve"> PAGEREF _Toc114582054 \h </w:instrText>
        </w:r>
        <w:r w:rsidR="00AD1C44">
          <w:rPr>
            <w:noProof/>
            <w:webHidden/>
          </w:rPr>
        </w:r>
        <w:r w:rsidR="00AD1C44">
          <w:rPr>
            <w:noProof/>
            <w:webHidden/>
          </w:rPr>
          <w:fldChar w:fldCharType="separate"/>
        </w:r>
        <w:r>
          <w:rPr>
            <w:noProof/>
            <w:webHidden/>
          </w:rPr>
          <w:t>6</w:t>
        </w:r>
        <w:r w:rsidR="00AD1C44">
          <w:rPr>
            <w:noProof/>
            <w:webHidden/>
          </w:rPr>
          <w:fldChar w:fldCharType="end"/>
        </w:r>
      </w:hyperlink>
    </w:p>
    <w:p w14:paraId="75D4362F" w14:textId="6BE4CF59" w:rsidR="00AD1C44" w:rsidRDefault="0070527D">
      <w:pPr>
        <w:pStyle w:val="TM3"/>
        <w:tabs>
          <w:tab w:leader="dot" w:pos="9062" w:val="right"/>
        </w:tabs>
        <w:rPr>
          <w:rFonts w:asciiTheme="minorHAnsi" w:cstheme="minorBidi" w:eastAsiaTheme="minorEastAsia" w:hAnsiTheme="minorHAnsi"/>
          <w:noProof/>
          <w:sz w:val="22"/>
          <w:szCs w:val="22"/>
        </w:rPr>
      </w:pPr>
      <w:hyperlink w:anchor="_Toc114582055" w:history="1">
        <w:r w:rsidR="00AD1C44" w:rsidRPr="00DE0B6B">
          <w:rPr>
            <w:noProof/>
          </w:rPr>
          <w:t>Couverture complémentaire de frais de santé</w:t>
        </w:r>
        <w:r w:rsidR="00AD1C44">
          <w:rPr>
            <w:noProof/>
            <w:webHidden/>
          </w:rPr>
          <w:tab/>
        </w:r>
        <w:r w:rsidR="00AD1C44">
          <w:rPr>
            <w:noProof/>
            <w:webHidden/>
          </w:rPr>
          <w:fldChar w:fldCharType="begin"/>
        </w:r>
        <w:r w:rsidR="00AD1C44">
          <w:rPr>
            <w:noProof/>
            <w:webHidden/>
          </w:rPr>
          <w:instrText xml:space="preserve"> PAGEREF _Toc114582055 \h </w:instrText>
        </w:r>
        <w:r w:rsidR="00AD1C44">
          <w:rPr>
            <w:noProof/>
            <w:webHidden/>
          </w:rPr>
        </w:r>
        <w:r w:rsidR="00AD1C44">
          <w:rPr>
            <w:noProof/>
            <w:webHidden/>
          </w:rPr>
          <w:fldChar w:fldCharType="separate"/>
        </w:r>
        <w:r>
          <w:rPr>
            <w:noProof/>
            <w:webHidden/>
          </w:rPr>
          <w:t>7</w:t>
        </w:r>
        <w:r w:rsidR="00AD1C44">
          <w:rPr>
            <w:noProof/>
            <w:webHidden/>
          </w:rPr>
          <w:fldChar w:fldCharType="end"/>
        </w:r>
      </w:hyperlink>
    </w:p>
    <w:p w14:paraId="692FA394" w14:textId="6F57F0E1" w:rsidR="00AD1C44" w:rsidRDefault="0070527D">
      <w:pPr>
        <w:pStyle w:val="TM2"/>
        <w:tabs>
          <w:tab w:pos="1540" w:val="left"/>
          <w:tab w:leader="dot" w:pos="9062" w:val="right"/>
        </w:tabs>
        <w:rPr>
          <w:rFonts w:asciiTheme="minorHAnsi" w:cstheme="minorBidi" w:eastAsiaTheme="minorEastAsia" w:hAnsiTheme="minorHAnsi"/>
          <w:noProof/>
          <w:sz w:val="22"/>
          <w:szCs w:val="22"/>
        </w:rPr>
      </w:pPr>
      <w:hyperlink w:anchor="_Toc114582056" w:history="1">
        <w:r w:rsidR="00AD1C44" w:rsidRPr="00DE0B6B">
          <w:rPr>
            <w:noProof/>
          </w:rPr>
          <w:t>Article 2 -</w:t>
        </w:r>
        <w:r w:rsidR="00AD1C44">
          <w:rPr>
            <w:rFonts w:asciiTheme="minorHAnsi" w:cstheme="minorBidi" w:eastAsiaTheme="minorEastAsia" w:hAnsiTheme="minorHAnsi"/>
            <w:noProof/>
            <w:sz w:val="22"/>
            <w:szCs w:val="22"/>
          </w:rPr>
          <w:tab/>
        </w:r>
        <w:r w:rsidR="00AD1C44" w:rsidRPr="00DE0B6B">
          <w:rPr>
            <w:noProof/>
          </w:rPr>
          <w:t>Classification et référentiel métier</w:t>
        </w:r>
        <w:r w:rsidR="00AD1C44">
          <w:rPr>
            <w:noProof/>
            <w:webHidden/>
          </w:rPr>
          <w:tab/>
        </w:r>
        <w:r w:rsidR="00AD1C44">
          <w:rPr>
            <w:noProof/>
            <w:webHidden/>
          </w:rPr>
          <w:fldChar w:fldCharType="begin"/>
        </w:r>
        <w:r w:rsidR="00AD1C44">
          <w:rPr>
            <w:noProof/>
            <w:webHidden/>
          </w:rPr>
          <w:instrText xml:space="preserve"> PAGEREF _Toc114582056 \h </w:instrText>
        </w:r>
        <w:r w:rsidR="00AD1C44">
          <w:rPr>
            <w:noProof/>
            <w:webHidden/>
          </w:rPr>
        </w:r>
        <w:r w:rsidR="00AD1C44">
          <w:rPr>
            <w:noProof/>
            <w:webHidden/>
          </w:rPr>
          <w:fldChar w:fldCharType="separate"/>
        </w:r>
        <w:r>
          <w:rPr>
            <w:noProof/>
            <w:webHidden/>
          </w:rPr>
          <w:t>7</w:t>
        </w:r>
        <w:r w:rsidR="00AD1C44">
          <w:rPr>
            <w:noProof/>
            <w:webHidden/>
          </w:rPr>
          <w:fldChar w:fldCharType="end"/>
        </w:r>
      </w:hyperlink>
    </w:p>
    <w:p w14:paraId="63A3645E" w14:textId="4F3EE060" w:rsidR="00AD1C44" w:rsidRDefault="0070527D">
      <w:pPr>
        <w:pStyle w:val="TM2"/>
        <w:tabs>
          <w:tab w:pos="1540" w:val="left"/>
          <w:tab w:leader="dot" w:pos="9062" w:val="right"/>
        </w:tabs>
        <w:rPr>
          <w:noProof/>
        </w:rPr>
      </w:pPr>
      <w:hyperlink w:anchor="_Toc114582057" w:history="1">
        <w:r w:rsidR="00AD1C44" w:rsidRPr="00DE0B6B">
          <w:rPr>
            <w:noProof/>
          </w:rPr>
          <w:t>Article 3 -</w:t>
        </w:r>
        <w:r w:rsidR="00AD1C44">
          <w:rPr>
            <w:rFonts w:asciiTheme="minorHAnsi" w:cstheme="minorBidi" w:eastAsiaTheme="minorEastAsia" w:hAnsiTheme="minorHAnsi"/>
            <w:noProof/>
            <w:sz w:val="22"/>
            <w:szCs w:val="22"/>
          </w:rPr>
          <w:tab/>
        </w:r>
        <w:r w:rsidR="00AD1C44" w:rsidRPr="00DE0B6B">
          <w:rPr>
            <w:noProof/>
          </w:rPr>
          <w:t>Intéressement</w:t>
        </w:r>
        <w:r w:rsidR="00AD1C44">
          <w:rPr>
            <w:noProof/>
            <w:webHidden/>
          </w:rPr>
          <w:tab/>
        </w:r>
        <w:r w:rsidR="00AD1C44">
          <w:rPr>
            <w:noProof/>
            <w:webHidden/>
          </w:rPr>
          <w:fldChar w:fldCharType="begin"/>
        </w:r>
        <w:r w:rsidR="00AD1C44">
          <w:rPr>
            <w:noProof/>
            <w:webHidden/>
          </w:rPr>
          <w:instrText xml:space="preserve"> PAGEREF _Toc114582057 \h </w:instrText>
        </w:r>
        <w:r w:rsidR="00AD1C44">
          <w:rPr>
            <w:noProof/>
            <w:webHidden/>
          </w:rPr>
        </w:r>
        <w:r w:rsidR="00AD1C44">
          <w:rPr>
            <w:noProof/>
            <w:webHidden/>
          </w:rPr>
          <w:fldChar w:fldCharType="separate"/>
        </w:r>
        <w:r>
          <w:rPr>
            <w:noProof/>
            <w:webHidden/>
          </w:rPr>
          <w:t>7</w:t>
        </w:r>
        <w:r w:rsidR="00AD1C44">
          <w:rPr>
            <w:noProof/>
            <w:webHidden/>
          </w:rPr>
          <w:fldChar w:fldCharType="end"/>
        </w:r>
      </w:hyperlink>
    </w:p>
    <w:p w14:paraId="0E4E50CE" w14:textId="40D89F7E" w:rsidP="00E25DF3" w:rsidR="00AD1C44" w:rsidRDefault="0070527D">
      <w:pPr>
        <w:pStyle w:val="TM1"/>
        <w:rPr>
          <w:rFonts w:asciiTheme="minorHAnsi" w:cstheme="minorBidi" w:eastAsiaTheme="minorEastAsia" w:hAnsiTheme="minorHAnsi"/>
          <w:sz w:val="22"/>
          <w:szCs w:val="22"/>
        </w:rPr>
      </w:pPr>
      <w:hyperlink w:anchor="_Toc114582058" w:history="1">
        <w:r w:rsidR="00AD1C44" w:rsidRPr="00DE0B6B">
          <w:t>Chapitre 5 -</w:t>
        </w:r>
        <w:r w:rsidR="00AD1C44">
          <w:rPr>
            <w:rFonts w:asciiTheme="minorHAnsi" w:cstheme="minorBidi" w:eastAsiaTheme="minorEastAsia" w:hAnsiTheme="minorHAnsi"/>
            <w:sz w:val="22"/>
            <w:szCs w:val="22"/>
          </w:rPr>
          <w:tab/>
        </w:r>
        <w:r w:rsidR="00AD1C44" w:rsidRPr="00DE0B6B">
          <w:t>Calendrier prévisionnel des prochaines négociations</w:t>
        </w:r>
        <w:r w:rsidR="00AD1C44">
          <w:rPr>
            <w:webHidden/>
          </w:rPr>
          <w:tab/>
        </w:r>
        <w:r w:rsidR="00AD1C44">
          <w:rPr>
            <w:webHidden/>
          </w:rPr>
          <w:fldChar w:fldCharType="begin"/>
        </w:r>
        <w:r w:rsidR="00AD1C44">
          <w:rPr>
            <w:webHidden/>
          </w:rPr>
          <w:instrText xml:space="preserve"> PAGEREF _Toc114582058 \h </w:instrText>
        </w:r>
        <w:r w:rsidR="00AD1C44">
          <w:rPr>
            <w:webHidden/>
          </w:rPr>
        </w:r>
        <w:r w:rsidR="00AD1C44">
          <w:rPr>
            <w:webHidden/>
          </w:rPr>
          <w:fldChar w:fldCharType="separate"/>
        </w:r>
        <w:r>
          <w:rPr>
            <w:webHidden/>
          </w:rPr>
          <w:t>7</w:t>
        </w:r>
        <w:r w:rsidR="00AD1C44">
          <w:rPr>
            <w:webHidden/>
          </w:rPr>
          <w:fldChar w:fldCharType="end"/>
        </w:r>
      </w:hyperlink>
    </w:p>
    <w:p w14:paraId="64977707" w14:textId="6D7E9C77" w:rsidR="001B2C5C" w:rsidRDefault="001B2C5C">
      <w:r>
        <w:rPr>
          <w:b/>
          <w:bCs/>
        </w:rPr>
        <w:fldChar w:fldCharType="end"/>
      </w:r>
    </w:p>
    <w:p w14:paraId="1B930DD4" w14:textId="0F14B149" w:rsidP="00090164" w:rsidR="0075220A" w:rsidRDefault="001B2C5C" w:rsidRPr="00773AE2">
      <w:pPr>
        <w:pStyle w:val="Titre1"/>
      </w:pPr>
      <w:r>
        <w:br w:type="page"/>
      </w:r>
      <w:bookmarkStart w:id="0" w:name="_Toc114582037"/>
      <w:r w:rsidR="003D04B8">
        <w:lastRenderedPageBreak/>
        <w:t xml:space="preserve">Mesures adoptées </w:t>
      </w:r>
      <w:r w:rsidR="00104E01">
        <w:t xml:space="preserve">portant </w:t>
      </w:r>
      <w:r w:rsidR="00E140BB">
        <w:t>sur</w:t>
      </w:r>
      <w:r w:rsidR="00104E01">
        <w:t xml:space="preserve"> les r</w:t>
      </w:r>
      <w:r w:rsidR="0075220A" w:rsidRPr="00773AE2">
        <w:t>émunérations</w:t>
      </w:r>
      <w:r w:rsidR="00106F80">
        <w:t xml:space="preserve">, </w:t>
      </w:r>
      <w:r w:rsidR="00104E01">
        <w:t>les ti</w:t>
      </w:r>
      <w:r w:rsidR="00B96447">
        <w:t>tres</w:t>
      </w:r>
      <w:r w:rsidR="00104E01">
        <w:t xml:space="preserve"> restaurants</w:t>
      </w:r>
      <w:r w:rsidR="00106F80">
        <w:t>, l’accompagnement des agents de la FPT</w:t>
      </w:r>
      <w:bookmarkEnd w:id="0"/>
    </w:p>
    <w:p w14:paraId="42AC4072" w14:textId="5094E4A4" w:rsidP="001B2C5C" w:rsidR="00B357F7" w:rsidRDefault="00B357F7" w:rsidRPr="00B357F7">
      <w:r>
        <w:t xml:space="preserve">Plusieurs mesures ont été </w:t>
      </w:r>
      <w:r w:rsidR="00B96447">
        <w:t xml:space="preserve">adoptées et d’ores et déjà appliquées : </w:t>
      </w:r>
    </w:p>
    <w:p w14:paraId="0002AAFB" w14:textId="53D32B6E" w:rsidP="00C02985" w:rsidR="0075220A" w:rsidRDefault="0075220A" w:rsidRPr="00104E01">
      <w:pPr>
        <w:pStyle w:val="Titre2"/>
      </w:pPr>
      <w:bookmarkStart w:id="1" w:name="_Toc114582038"/>
      <w:r w:rsidRPr="00104E01">
        <w:t>Salaires effectifs</w:t>
      </w:r>
      <w:bookmarkEnd w:id="1"/>
    </w:p>
    <w:p w14:paraId="7DE5B373" w14:textId="0D84ADCA" w:rsidP="00B61D60" w:rsidR="00B357F7" w:rsidRDefault="00B96447" w:rsidRPr="00B357F7">
      <w:pPr>
        <w:pStyle w:val="Titre4"/>
      </w:pPr>
      <w:r>
        <w:t>A</w:t>
      </w:r>
      <w:r w:rsidR="00B357F7" w:rsidRPr="00B357F7">
        <w:t xml:space="preserve">ugmentation de salaire de </w:t>
      </w:r>
      <w:r w:rsidR="00B715F9" w:rsidRPr="00B715F9">
        <w:rPr>
          <w:sz w:val="20"/>
          <w:szCs w:val="20"/>
        </w:rPr>
        <w:t>XX</w:t>
      </w:r>
      <w:r w:rsidR="00B715F9">
        <w:t xml:space="preserve"> </w:t>
      </w:r>
      <w:r w:rsidR="00B357F7" w:rsidRPr="00B357F7">
        <w:t>% au 1</w:t>
      </w:r>
      <w:r w:rsidRPr="00B96447">
        <w:rPr>
          <w:vertAlign w:val="superscript"/>
        </w:rPr>
        <w:t>er</w:t>
      </w:r>
      <w:r>
        <w:t xml:space="preserve"> </w:t>
      </w:r>
      <w:r w:rsidR="00B357F7" w:rsidRPr="00B357F7">
        <w:t xml:space="preserve">juillet </w:t>
      </w:r>
      <w:r>
        <w:t xml:space="preserve">2022 </w:t>
      </w:r>
      <w:r w:rsidR="00B357F7" w:rsidRPr="00B357F7">
        <w:t>pour les salariés OPH catégories C1N2, C2N1 et C2N2</w:t>
      </w:r>
    </w:p>
    <w:p w14:paraId="06DA3652" w14:textId="52975AE0" w:rsidP="00B61D60" w:rsidR="00B357F7" w:rsidRDefault="00B96447">
      <w:pPr>
        <w:pStyle w:val="Titre4"/>
      </w:pPr>
      <w:r>
        <w:t>A</w:t>
      </w:r>
      <w:r w:rsidR="00B357F7" w:rsidRPr="00B357F7">
        <w:t xml:space="preserve">ugmentation de salaire de </w:t>
      </w:r>
      <w:r w:rsidR="00B715F9">
        <w:t>xx</w:t>
      </w:r>
      <w:r w:rsidR="00B357F7" w:rsidRPr="00B357F7">
        <w:t xml:space="preserve"> % au 1</w:t>
      </w:r>
      <w:r w:rsidRPr="00B96447">
        <w:rPr>
          <w:vertAlign w:val="superscript"/>
        </w:rPr>
        <w:t>er</w:t>
      </w:r>
      <w:r>
        <w:t xml:space="preserve"> </w:t>
      </w:r>
      <w:r w:rsidR="00B357F7" w:rsidRPr="00B357F7">
        <w:t xml:space="preserve">juillet </w:t>
      </w:r>
      <w:r>
        <w:t xml:space="preserve">2022 </w:t>
      </w:r>
      <w:r w:rsidR="00B357F7" w:rsidRPr="00B357F7">
        <w:t>pour les salariés OPH catégories C3N1, C3N2 et C4N1</w:t>
      </w:r>
    </w:p>
    <w:p w14:paraId="4947F9F9" w14:textId="046D9CB2" w:rsidP="00C02985" w:rsidR="00B96447" w:rsidRDefault="00B96447">
      <w:pPr>
        <w:pStyle w:val="Titre2"/>
      </w:pPr>
      <w:bookmarkStart w:id="2" w:name="_Toc114582039"/>
      <w:r>
        <w:t>Titres restaurants</w:t>
      </w:r>
      <w:bookmarkEnd w:id="2"/>
    </w:p>
    <w:p w14:paraId="7C2116B4" w14:textId="5389475F" w:rsidP="00B61D60" w:rsidR="00B96447" w:rsidRDefault="00B96447">
      <w:pPr>
        <w:pStyle w:val="Titre4"/>
      </w:pPr>
      <w:r>
        <w:t xml:space="preserve">Augmentation </w:t>
      </w:r>
      <w:r w:rsidR="00B0618F">
        <w:t xml:space="preserve">de la valeur faciale </w:t>
      </w:r>
      <w:r>
        <w:t xml:space="preserve">des titres restaurant de 7€ à </w:t>
      </w:r>
      <w:r w:rsidR="00B715F9">
        <w:t xml:space="preserve">xx </w:t>
      </w:r>
      <w:r>
        <w:t>€ au 1</w:t>
      </w:r>
      <w:r w:rsidRPr="00B96447">
        <w:rPr>
          <w:vertAlign w:val="superscript"/>
        </w:rPr>
        <w:t>er</w:t>
      </w:r>
      <w:r w:rsidR="00B0618F">
        <w:t> </w:t>
      </w:r>
      <w:r>
        <w:t>juillet 2022 avec maintien de la prise en charge employeur à hauteur de 60%.</w:t>
      </w:r>
    </w:p>
    <w:p w14:paraId="2E566D52" w14:textId="022AEB41" w:rsidP="00C02985" w:rsidR="00824BE4" w:rsidRDefault="00824BE4">
      <w:pPr>
        <w:pStyle w:val="Titre2"/>
      </w:pPr>
      <w:bookmarkStart w:id="3" w:name="_Toc114582040"/>
      <w:r>
        <w:t>Accompagnement collectif et individuel des agents de la FPT dans leur réflexion pour un changement éventuel de statut</w:t>
      </w:r>
      <w:bookmarkEnd w:id="3"/>
    </w:p>
    <w:p w14:paraId="438FC78C" w14:textId="414B6701" w:rsidP="00447244" w:rsidR="00824BE4" w:rsidRDefault="00824BE4">
      <w:pPr>
        <w:pStyle w:val="Titre4"/>
      </w:pPr>
      <w:r>
        <w:t>2 réunions d’informations collectives ont été organisées en juin en présence de la consultante spéciali</w:t>
      </w:r>
      <w:r w:rsidR="0094434F">
        <w:t>s</w:t>
      </w:r>
      <w:r>
        <w:t>é</w:t>
      </w:r>
      <w:r w:rsidR="0094434F">
        <w:t>e</w:t>
      </w:r>
      <w:r>
        <w:t xml:space="preserve"> de </w:t>
      </w:r>
      <w:r w:rsidR="00B715F9">
        <w:t>xxx</w:t>
      </w:r>
      <w:r>
        <w:t xml:space="preserve">. </w:t>
      </w:r>
    </w:p>
    <w:p w14:paraId="5CE3FDDB" w14:textId="0CB22EBE" w:rsidP="00447244" w:rsidR="00824BE4" w:rsidRDefault="00824BE4">
      <w:pPr>
        <w:pStyle w:val="Titre4"/>
      </w:pPr>
      <w:r>
        <w:t xml:space="preserve">En complément, des entretiens individuels et personnalisés se déroulent depuis juillet jusqu’en octobre. </w:t>
      </w:r>
    </w:p>
    <w:p w14:paraId="2AB7D889" w14:textId="1710D634" w:rsidP="00824BE4" w:rsidR="00824BE4" w:rsidRDefault="00824BE4" w:rsidRPr="00824BE4">
      <w:r>
        <w:t xml:space="preserve">À l’issue de ces rendez-vous, </w:t>
      </w:r>
      <w:r w:rsidR="00106F80">
        <w:t>la Direction de Mayenne Habitat va communiquer sur le déroulé des prochaines étapes notamment du choix définitif des agents qui auront jusqu’au 30 juin 2023 pour le faire connaitre.</w:t>
      </w:r>
    </w:p>
    <w:p w14:paraId="37B8DA75" w14:textId="48079A10" w:rsidP="00090164" w:rsidR="00B96447" w:rsidRDefault="00C3656A">
      <w:pPr>
        <w:pStyle w:val="Titre1"/>
      </w:pPr>
      <w:bookmarkStart w:id="4" w:name="_Toc114582041"/>
      <w:r>
        <w:t xml:space="preserve">Mesures </w:t>
      </w:r>
      <w:r w:rsidR="00106F80">
        <w:t xml:space="preserve">d’ores et déjà </w:t>
      </w:r>
      <w:r>
        <w:t xml:space="preserve">engagées par Mayenne Habitat portant </w:t>
      </w:r>
      <w:r w:rsidR="00106F80">
        <w:t>sur</w:t>
      </w:r>
      <w:r>
        <w:t xml:space="preserve"> l’intéressement</w:t>
      </w:r>
      <w:r w:rsidR="00106F80">
        <w:t xml:space="preserve"> et </w:t>
      </w:r>
      <w:r>
        <w:t>l’épargne salariale, l’égalité professionnelle</w:t>
      </w:r>
      <w:r w:rsidR="00AD1C44">
        <w:t xml:space="preserve"> et </w:t>
      </w:r>
      <w:r>
        <w:t>la qualité de vie au travail</w:t>
      </w:r>
      <w:r w:rsidR="00290388">
        <w:t xml:space="preserve"> et conditions de travail.</w:t>
      </w:r>
      <w:bookmarkEnd w:id="4"/>
    </w:p>
    <w:p w14:paraId="3E14A599" w14:textId="2A909016" w:rsidP="00C02985" w:rsidR="0075220A" w:rsidRDefault="00B96447" w:rsidRPr="00104E01">
      <w:pPr>
        <w:pStyle w:val="Titre2"/>
        <w:numPr>
          <w:ilvl w:val="0"/>
          <w:numId w:val="5"/>
        </w:numPr>
      </w:pPr>
      <w:bookmarkStart w:id="5" w:name="_Toc114582042"/>
      <w:r>
        <w:t>Intéressement et épargne salariale</w:t>
      </w:r>
      <w:bookmarkEnd w:id="5"/>
    </w:p>
    <w:p w14:paraId="3921B068" w14:textId="2DC55E56" w:rsidP="001066BC" w:rsidR="0075220A" w:rsidRDefault="00B96447">
      <w:r>
        <w:t xml:space="preserve">Pour rappel, </w:t>
      </w:r>
      <w:r w:rsidR="0075220A">
        <w:t>2 volets</w:t>
      </w:r>
      <w:r>
        <w:t xml:space="preserve"> ont fait l’objet de négociation</w:t>
      </w:r>
      <w:r w:rsidR="00C3656A">
        <w:t>s avant l’ouverture des négociations annuelles obligatoires 2022</w:t>
      </w:r>
      <w:r w:rsidR="005B03CD">
        <w:t xml:space="preserve"> : </w:t>
      </w:r>
    </w:p>
    <w:p w14:paraId="5C7946BE" w14:textId="77777777" w:rsidP="00C02985" w:rsidR="0075220A" w:rsidRDefault="0075220A" w:rsidRPr="00DA6000">
      <w:pPr>
        <w:pStyle w:val="Titre3"/>
      </w:pPr>
      <w:bookmarkStart w:id="6" w:name="_Toc114582043"/>
      <w:r w:rsidRPr="00DA6000">
        <w:t>L’intéressement</w:t>
      </w:r>
      <w:bookmarkEnd w:id="6"/>
      <w:r w:rsidRPr="00DA6000">
        <w:t xml:space="preserve"> </w:t>
      </w:r>
    </w:p>
    <w:p w14:paraId="339BD35F" w14:textId="5BBECB74" w:rsidP="001066BC" w:rsidR="00025278" w:rsidRDefault="00025278">
      <w:r>
        <w:t xml:space="preserve">Un accord a été signé le 25 </w:t>
      </w:r>
      <w:r w:rsidR="00665F51">
        <w:t>juin</w:t>
      </w:r>
      <w:r>
        <w:t xml:space="preserve"> 2020</w:t>
      </w:r>
      <w:r w:rsidR="003D1608">
        <w:t xml:space="preserve"> pour une durée de 3 ans.</w:t>
      </w:r>
      <w:r w:rsidR="00B027A8">
        <w:t xml:space="preserve"> Il conviendra d’ouvrir de nouvelles négociations</w:t>
      </w:r>
      <w:r w:rsidR="005B03CD">
        <w:t xml:space="preserve"> pour couvrir l’intéressement à partir de 2023.</w:t>
      </w:r>
    </w:p>
    <w:p w14:paraId="74554E62" w14:textId="2B1397BE" w:rsidP="00C02985" w:rsidR="0075220A" w:rsidRDefault="00B96447" w:rsidRPr="00BD338F">
      <w:pPr>
        <w:pStyle w:val="Titre3"/>
      </w:pPr>
      <w:bookmarkStart w:id="7" w:name="_Toc114582044"/>
      <w:r>
        <w:t>L’épargne salariale : Plan d’épargne entreprise (PEE) et plan d’épargne retraite (PER)</w:t>
      </w:r>
      <w:bookmarkEnd w:id="7"/>
    </w:p>
    <w:p w14:paraId="07AD0A01" w14:textId="1158EF95" w:rsidP="001066BC" w:rsidR="0075220A" w:rsidRDefault="003D1608">
      <w:r>
        <w:t xml:space="preserve">Les négociations de </w:t>
      </w:r>
      <w:r w:rsidR="00B027A8">
        <w:t xml:space="preserve">mars 2022 ayant échouées, Mayenne Habitat a déployé l’épargne salariale par décision unilatérale. </w:t>
      </w:r>
      <w:r w:rsidR="005B03CD">
        <w:t xml:space="preserve">Ainsi au titre de l’intéressement 2021, les salariés de droit privé ont pu épargner tout ou partie de </w:t>
      </w:r>
      <w:r w:rsidR="007C5209">
        <w:t xml:space="preserve">ce dernier </w:t>
      </w:r>
      <w:r w:rsidR="005B03CD">
        <w:t xml:space="preserve">avec abondement de Mayenne habitat à hauteur de </w:t>
      </w:r>
      <w:r w:rsidR="00B715F9">
        <w:rPr>
          <w:b/>
          <w:bCs/>
        </w:rPr>
        <w:t>xxx</w:t>
      </w:r>
      <w:r w:rsidR="005B03CD" w:rsidRPr="00922CBF">
        <w:rPr>
          <w:b/>
          <w:bCs/>
        </w:rPr>
        <w:t xml:space="preserve"> des sommes épargnées dans la limite de </w:t>
      </w:r>
      <w:r w:rsidR="00B715F9">
        <w:rPr>
          <w:b/>
          <w:bCs/>
        </w:rPr>
        <w:t xml:space="preserve">xxx </w:t>
      </w:r>
      <w:r w:rsidR="005B03CD" w:rsidRPr="00922CBF">
        <w:rPr>
          <w:b/>
          <w:bCs/>
        </w:rPr>
        <w:t>€</w:t>
      </w:r>
      <w:r w:rsidR="005B03CD">
        <w:t>. Pour note, les salariés ont la possibilité de faire des versements volontaires aux plans d’épargne salariale indépendamment de Mayenne Habitat.</w:t>
      </w:r>
    </w:p>
    <w:p w14:paraId="3D6F57AE" w14:textId="7AA098D4" w:rsidP="00C02985" w:rsidR="00E140BB" w:rsidRDefault="00E140BB">
      <w:pPr>
        <w:pStyle w:val="Titre2"/>
      </w:pPr>
      <w:bookmarkStart w:id="8" w:name="_Toc114582045"/>
      <w:r w:rsidRPr="00E140BB">
        <w:lastRenderedPageBreak/>
        <w:t>Égalité professionnelle</w:t>
      </w:r>
      <w:bookmarkEnd w:id="8"/>
    </w:p>
    <w:p w14:paraId="23702490" w14:textId="4B6FBFAD" w:rsidP="00C3656A" w:rsidR="00C3656A" w:rsidRDefault="00C3656A">
      <w:r>
        <w:t xml:space="preserve">Pour parvenir à l’égalité professionnelle entre les femmes et les hommes, la loi pour la Liberté de choisir son avenir professionnel du 5 septembre 2018 soumet les entreprises à une obligation de résultat en créant l’Index « égalité professionnelle Femmes-Hommes » pour mesurer où en sont les entreprises sur le plan de l’égalité professionnelle en agrégeant plusieurs indicateurs. </w:t>
      </w:r>
    </w:p>
    <w:p w14:paraId="2037665B" w14:textId="77777777" w:rsidP="00C3656A" w:rsidR="00C3656A" w:rsidRDefault="00C3656A"/>
    <w:p w14:paraId="085E73D3" w14:textId="10749C55" w:rsidP="00C3656A" w:rsidR="00C3656A" w:rsidRDefault="00C3656A">
      <w:r>
        <w:t xml:space="preserve">En ce qui concerne Mayenne Habitat, les indicateurs devant être pris en compte sont : l’écart de rémunération entre les femmes et les hommes, l’écart de taux d’augmentation entre les femmes et les hommes, le pourcentage de salariées </w:t>
      </w:r>
      <w:r w:rsidR="007C5209">
        <w:t>réévaluées</w:t>
      </w:r>
      <w:r>
        <w:t xml:space="preserve"> dans l’année suivant leur retour de congé maternité, le nombre de salariés du sexe sous-représenté parmi les 10 plus hautes rémunérations.</w:t>
      </w:r>
    </w:p>
    <w:p w14:paraId="2A8E130F" w14:textId="77777777" w:rsidP="00C3656A" w:rsidR="00C3656A" w:rsidRDefault="00C3656A"/>
    <w:p w14:paraId="73098C7C" w14:textId="0ED56D8A" w:rsidP="00C3656A" w:rsidR="005F5A0D" w:rsidRDefault="00C3656A">
      <w:r>
        <w:t xml:space="preserve">Pour 2021, le résultat de l’index égalité Femmes-Hommes </w:t>
      </w:r>
      <w:r w:rsidR="00824BE4">
        <w:rPr>
          <w:rFonts w:cs="Arial"/>
        </w:rPr>
        <w:t xml:space="preserve">est </w:t>
      </w:r>
      <w:r w:rsidR="00824BE4" w:rsidRPr="00025278">
        <w:rPr>
          <w:rFonts w:cs="Arial"/>
          <w:b/>
          <w:bCs/>
        </w:rPr>
        <w:t>9</w:t>
      </w:r>
      <w:r w:rsidR="00824BE4">
        <w:rPr>
          <w:rFonts w:cs="Arial"/>
          <w:b/>
          <w:bCs/>
        </w:rPr>
        <w:t>3</w:t>
      </w:r>
      <w:r w:rsidR="00824BE4" w:rsidRPr="00025278">
        <w:rPr>
          <w:rFonts w:cs="Arial"/>
          <w:b/>
          <w:bCs/>
        </w:rPr>
        <w:t>/100 au 1</w:t>
      </w:r>
      <w:r w:rsidR="00824BE4" w:rsidRPr="00025278">
        <w:rPr>
          <w:rFonts w:cs="Arial"/>
          <w:b/>
          <w:bCs/>
          <w:vertAlign w:val="superscript"/>
        </w:rPr>
        <w:t>er</w:t>
      </w:r>
      <w:r w:rsidR="00824BE4">
        <w:rPr>
          <w:rFonts w:cs="Arial"/>
          <w:b/>
          <w:bCs/>
        </w:rPr>
        <w:t> </w:t>
      </w:r>
      <w:r w:rsidR="00824BE4" w:rsidRPr="00025278">
        <w:rPr>
          <w:rFonts w:cs="Arial"/>
          <w:b/>
          <w:bCs/>
        </w:rPr>
        <w:t>mars</w:t>
      </w:r>
      <w:r w:rsidR="007C5209">
        <w:rPr>
          <w:rFonts w:cs="Arial"/>
          <w:b/>
          <w:bCs/>
        </w:rPr>
        <w:t> </w:t>
      </w:r>
      <w:r w:rsidR="00824BE4">
        <w:rPr>
          <w:rFonts w:cs="Arial"/>
          <w:b/>
          <w:bCs/>
        </w:rPr>
        <w:t>2022</w:t>
      </w:r>
      <w:r w:rsidR="005F5A0D">
        <w:t xml:space="preserve"> (</w:t>
      </w:r>
      <w:r w:rsidR="0070527D">
        <w:t>9</w:t>
      </w:r>
      <w:r w:rsidR="005F5A0D">
        <w:t>1 en 2021 et 93/100 en 2020).</w:t>
      </w:r>
    </w:p>
    <w:p w14:paraId="5C8BCB53" w14:textId="710CA8B6" w:rsidP="00C02985" w:rsidR="00106F80" w:rsidRDefault="00824BE4">
      <w:pPr>
        <w:pStyle w:val="Titre2"/>
      </w:pPr>
      <w:bookmarkStart w:id="9" w:name="_Toc114582046"/>
      <w:r>
        <w:t>Qualité de vie au travail</w:t>
      </w:r>
      <w:r w:rsidR="002134ED">
        <w:t xml:space="preserve"> et conditions de travail</w:t>
      </w:r>
      <w:bookmarkEnd w:id="9"/>
    </w:p>
    <w:p w14:paraId="0DB13359" w14:textId="14D67641" w:rsidP="005F5A0D" w:rsidR="005F5A0D" w:rsidRDefault="005F5A0D">
      <w:r>
        <w:t>Les actions et mesures restent les mêmes que précédemment (C</w:t>
      </w:r>
      <w:r w:rsidR="000C5F00">
        <w:t>f</w:t>
      </w:r>
      <w:r>
        <w:t>. PV du 1</w:t>
      </w:r>
      <w:r w:rsidRPr="005F5A0D">
        <w:rPr>
          <w:vertAlign w:val="superscript"/>
        </w:rPr>
        <w:t>er</w:t>
      </w:r>
      <w:r>
        <w:t xml:space="preserve"> février 2022).</w:t>
      </w:r>
    </w:p>
    <w:p w14:paraId="77E0AADB" w14:textId="2278CC4D" w:rsidP="00290388" w:rsidR="007D67EF" w:rsidRDefault="005F5A0D" w:rsidRPr="00290388">
      <w:pPr>
        <w:rPr>
          <w:rFonts w:cs="Arial"/>
        </w:rPr>
      </w:pPr>
      <w:r>
        <w:t>Elles portent sur l’a</w:t>
      </w:r>
      <w:r w:rsidR="00824BE4" w:rsidRPr="00106F80">
        <w:t>rticulation vie privée / vie professionnelle</w:t>
      </w:r>
      <w:r>
        <w:t>, la l</w:t>
      </w:r>
      <w:r w:rsidR="00254276" w:rsidRPr="00104E01">
        <w:rPr>
          <w:rFonts w:cs="Arial"/>
        </w:rPr>
        <w:t>utte contre les discriminations en matière de recrutement, de rémunération, d’emploi et d’accès à la formation</w:t>
      </w:r>
      <w:r>
        <w:rPr>
          <w:rFonts w:cs="Arial"/>
        </w:rPr>
        <w:t xml:space="preserve">, </w:t>
      </w:r>
      <w:r w:rsidR="00290388">
        <w:rPr>
          <w:rFonts w:cs="Arial"/>
        </w:rPr>
        <w:t xml:space="preserve">et à la promotion professionnelle, les conditions </w:t>
      </w:r>
      <w:r w:rsidR="007D67EF" w:rsidRPr="00290388">
        <w:rPr>
          <w:rFonts w:cs="Arial"/>
        </w:rPr>
        <w:t>des salariés à temps partiel</w:t>
      </w:r>
      <w:r w:rsidR="00290388">
        <w:rPr>
          <w:rFonts w:cs="Arial"/>
        </w:rPr>
        <w:t>.</w:t>
      </w:r>
    </w:p>
    <w:p w14:paraId="2D914CD8" w14:textId="02685BC2" w:rsidP="00C02985" w:rsidR="00596842" w:rsidRDefault="00290388" w:rsidRPr="00B96447">
      <w:pPr>
        <w:pStyle w:val="Titre3"/>
      </w:pPr>
      <w:bookmarkStart w:id="10" w:name="_Toc114582047"/>
      <w:r>
        <w:t xml:space="preserve">Rappel : </w:t>
      </w:r>
      <w:r w:rsidR="00596842" w:rsidRPr="00B96447">
        <w:t>Emploi de travailleurs handicapés</w:t>
      </w:r>
      <w:bookmarkEnd w:id="10"/>
    </w:p>
    <w:p w14:paraId="3A3DC15A" w14:textId="77777777" w:rsidP="001066BC" w:rsidR="00596842" w:rsidRDefault="00596842" w:rsidRPr="001C08BE">
      <w:r w:rsidRPr="001C08BE">
        <w:t>Le changement de statut implique que la déclaration ne se fasse plus auprès du FIPHFP (Fonds pour l’Insertion des Personnes Handicapées dans la Fonction Publ</w:t>
      </w:r>
      <w:r w:rsidR="005D43EE" w:rsidRPr="001C08BE">
        <w:t>ique) mais auprès de l’AGEFIPH.</w:t>
      </w:r>
    </w:p>
    <w:p w14:paraId="6E2F6D17" w14:textId="77777777" w:rsidP="001066BC" w:rsidR="00596842" w:rsidRDefault="009637C6" w:rsidRPr="00A72E68">
      <w:r w:rsidRPr="00A72E68">
        <w:t xml:space="preserve">Pour </w:t>
      </w:r>
      <w:r w:rsidR="008D7A10" w:rsidRPr="00A72E68">
        <w:t>20</w:t>
      </w:r>
      <w:r w:rsidR="000E41E2">
        <w:t>21</w:t>
      </w:r>
      <w:r w:rsidR="001C74A4" w:rsidRPr="00A72E68">
        <w:t xml:space="preserve">, l’obligation légale d’emploi était de </w:t>
      </w:r>
      <w:r w:rsidR="000E41E2">
        <w:t>8</w:t>
      </w:r>
      <w:r w:rsidR="001C74A4" w:rsidRPr="00A72E68">
        <w:t>.</w:t>
      </w:r>
    </w:p>
    <w:p w14:paraId="2C78EB91" w14:textId="325268DC" w:rsidP="001066BC" w:rsidR="001C74A4" w:rsidRDefault="001C74A4" w:rsidRPr="001C08BE">
      <w:r w:rsidRPr="00A72E68">
        <w:t xml:space="preserve">Mayenne Habitat a employé l’équivalent de </w:t>
      </w:r>
      <w:r w:rsidR="00B715F9">
        <w:rPr>
          <w:b/>
          <w:bCs/>
        </w:rPr>
        <w:t>xx</w:t>
      </w:r>
      <w:r w:rsidR="00287776" w:rsidRPr="00290388">
        <w:rPr>
          <w:b/>
          <w:bCs/>
        </w:rPr>
        <w:t xml:space="preserve"> unités</w:t>
      </w:r>
      <w:r w:rsidR="00287776" w:rsidRPr="00A72E68">
        <w:t xml:space="preserve"> </w:t>
      </w:r>
      <w:r w:rsidRPr="00A72E68">
        <w:t>et a fait appel à des associations</w:t>
      </w:r>
      <w:r w:rsidR="002C0CBB" w:rsidRPr="00A72E68">
        <w:t xml:space="preserve"> (contrats avec le secteur protégé)</w:t>
      </w:r>
      <w:r w:rsidRPr="00A72E68">
        <w:t xml:space="preserve"> </w:t>
      </w:r>
      <w:r w:rsidR="00500CE2">
        <w:t xml:space="preserve">pour un montant de </w:t>
      </w:r>
      <w:r w:rsidR="00B715F9">
        <w:t>xxx</w:t>
      </w:r>
      <w:r w:rsidR="00500CE2">
        <w:t xml:space="preserve"> €. En date du 14 mars 2022, l’URSSAF confirme que l’obligation d’emploi des travailleurs handicapés est respectée compte-tenu de l’effectif moyen annuel des travailleurs handicapés</w:t>
      </w:r>
      <w:r w:rsidR="00251754">
        <w:t xml:space="preserve"> interne</w:t>
      </w:r>
      <w:r w:rsidR="00AB78AF">
        <w:t>s au sein de Mayenne Habitat.</w:t>
      </w:r>
      <w:r w:rsidR="00500CE2">
        <w:t xml:space="preserve"> </w:t>
      </w:r>
    </w:p>
    <w:p w14:paraId="35F1D5D8" w14:textId="77777777" w:rsidP="009F018B" w:rsidR="00DC1CD7" w:rsidRDefault="00DC1CD7">
      <w:pPr>
        <w:rPr>
          <w:rFonts w:cs="Arial"/>
        </w:rPr>
      </w:pPr>
    </w:p>
    <w:p w14:paraId="19A593D7" w14:textId="1C292211" w:rsidP="001066BC" w:rsidR="008D7A10" w:rsidRDefault="00FD44CA">
      <w:r>
        <w:t>Via</w:t>
      </w:r>
      <w:r w:rsidR="008D7A10" w:rsidRPr="00A72E68">
        <w:t xml:space="preserve"> la DSN d</w:t>
      </w:r>
      <w:r>
        <w:t xml:space="preserve">’avril </w:t>
      </w:r>
      <w:r w:rsidR="008D7A10" w:rsidRPr="00A72E68">
        <w:t>202</w:t>
      </w:r>
      <w:r>
        <w:t xml:space="preserve">2, la déclaration </w:t>
      </w:r>
      <w:r w:rsidR="005F5A0D">
        <w:t xml:space="preserve">était </w:t>
      </w:r>
      <w:r w:rsidR="002C1BD4" w:rsidRPr="00A72E68">
        <w:t xml:space="preserve">exigible au 5 </w:t>
      </w:r>
      <w:r>
        <w:t>mai</w:t>
      </w:r>
      <w:r w:rsidR="002C1BD4" w:rsidRPr="00A72E68">
        <w:t xml:space="preserve"> 202</w:t>
      </w:r>
      <w:r>
        <w:t>2.</w:t>
      </w:r>
    </w:p>
    <w:p w14:paraId="06B7E5A6" w14:textId="49C43434" w:rsidP="00C02985" w:rsidR="00ED5746" w:rsidRDefault="00290388">
      <w:pPr>
        <w:pStyle w:val="Titre2"/>
      </w:pPr>
      <w:bookmarkStart w:id="11" w:name="_Toc114582048"/>
      <w:r>
        <w:t>L</w:t>
      </w:r>
      <w:r w:rsidRPr="00290388">
        <w:t>a santé et la sécurité au travail et la prévention des risques professionnels</w:t>
      </w:r>
      <w:bookmarkEnd w:id="11"/>
    </w:p>
    <w:p w14:paraId="0713903A" w14:textId="5B7C2BD4" w:rsidP="00290388" w:rsidR="00290388" w:rsidRDefault="00290388" w:rsidRPr="00290388">
      <w:r>
        <w:t>Mayenne Habitat a une politique volontariste en matière de santé et sécurité au travail et de prévention des risques professionnels. Les procès-verbaux des CSE ainsi que les documents bilan, attestent de cette dynamique.</w:t>
      </w:r>
    </w:p>
    <w:p w14:paraId="4599F181" w14:textId="53FB738D" w:rsidP="00090164" w:rsidR="002134ED" w:rsidRDefault="002134ED">
      <w:pPr>
        <w:pStyle w:val="Titre1"/>
      </w:pPr>
      <w:bookmarkStart w:id="12" w:name="_Toc114582049"/>
      <w:r>
        <w:t>Les négociations qui continuent au-delà de la NAO</w:t>
      </w:r>
      <w:r w:rsidR="00495DC8">
        <w:t> : durée effective du temps de travail, organisation du travail et télétravail, et les mobilités durables</w:t>
      </w:r>
      <w:bookmarkEnd w:id="12"/>
    </w:p>
    <w:p w14:paraId="7A3D1085" w14:textId="13AFAD23" w:rsidP="002B4721" w:rsidR="002B4721" w:rsidRDefault="002B4721">
      <w:r>
        <w:t xml:space="preserve">Les thèmes de négociation demandant des études plus approfondies et des échanges, il a donc été proposé et décidé de clore les NAO 2022 avec les mesures précédemment citées et d’organiser les prochaines négociations. </w:t>
      </w:r>
    </w:p>
    <w:p w14:paraId="3DD2A96C" w14:textId="65D3DF8B" w:rsidP="00C02985" w:rsidR="002134ED" w:rsidRDefault="002134ED">
      <w:pPr>
        <w:pStyle w:val="Titre2"/>
        <w:numPr>
          <w:ilvl w:val="0"/>
          <w:numId w:val="6"/>
        </w:numPr>
      </w:pPr>
      <w:bookmarkStart w:id="13" w:name="_Toc114582050"/>
      <w:r w:rsidRPr="00104E01">
        <w:lastRenderedPageBreak/>
        <w:t xml:space="preserve">Durée effective </w:t>
      </w:r>
      <w:r>
        <w:t>du temps de travail</w:t>
      </w:r>
      <w:r w:rsidR="00D87540">
        <w:t xml:space="preserve">, </w:t>
      </w:r>
      <w:r w:rsidRPr="00104E01">
        <w:t>organisation du travail</w:t>
      </w:r>
      <w:r w:rsidR="00D87540">
        <w:t xml:space="preserve"> et télétravail</w:t>
      </w:r>
      <w:bookmarkEnd w:id="13"/>
    </w:p>
    <w:p w14:paraId="57F5AFF4" w14:textId="0ED192B1" w:rsidP="00D87540" w:rsidR="00D87540" w:rsidRDefault="00D87540">
      <w:r w:rsidRPr="00D87540">
        <w:t xml:space="preserve">Dans le prolongement des Rencontres du 6 mai 2022, une refonte de l’accord sur le temps de travail à Mayenne Habitat </w:t>
      </w:r>
      <w:r>
        <w:t>est prévue sans doute avec un</w:t>
      </w:r>
      <w:r w:rsidR="00566A4D">
        <w:t xml:space="preserve"> démarrage des négociations en 2023 ; l</w:t>
      </w:r>
      <w:r>
        <w:t xml:space="preserve">es études sur le fonctionnement actuel sont encore en cours. </w:t>
      </w:r>
    </w:p>
    <w:p w14:paraId="18F552FD" w14:textId="167D80B7" w:rsidP="00D87540" w:rsidR="00566A4D" w:rsidRDefault="00566A4D"/>
    <w:p w14:paraId="67BFA6EC" w14:textId="4107535C" w:rsidP="00D87540" w:rsidR="00566A4D" w:rsidRDefault="00566A4D" w:rsidRPr="00566A4D">
      <w:pPr>
        <w:rPr>
          <w:b/>
          <w:bCs/>
        </w:rPr>
      </w:pPr>
      <w:r>
        <w:t xml:space="preserve">En parallèle de cette refonte, les négociations portant sur le </w:t>
      </w:r>
      <w:r w:rsidRPr="00566A4D">
        <w:rPr>
          <w:b/>
          <w:bCs/>
        </w:rPr>
        <w:t>télétravail vont démarrer immédiatement pour une mise en œuvre d’une expérimentation dès le mois de janvier 2023.</w:t>
      </w:r>
    </w:p>
    <w:p w14:paraId="55BA599E" w14:textId="5115CDA2" w:rsidP="00C02985" w:rsidR="002134ED" w:rsidRDefault="002134ED">
      <w:pPr>
        <w:pStyle w:val="Titre2"/>
      </w:pPr>
      <w:bookmarkStart w:id="14" w:name="_Toc114582051"/>
      <w:r>
        <w:t>Les mobilités durables</w:t>
      </w:r>
      <w:bookmarkEnd w:id="14"/>
    </w:p>
    <w:p w14:paraId="4C7E9831" w14:textId="62418C60" w:rsidP="00566A4D" w:rsidR="00566A4D" w:rsidRDefault="00566A4D">
      <w:r>
        <w:t xml:space="preserve">De 1ers échanges ainsi qu’une étude (cf. annexe) sur les déplacements personnels et professionnels des salariés ont permis d’identifier des axes </w:t>
      </w:r>
      <w:r w:rsidR="002B618C">
        <w:t xml:space="preserve">possibles </w:t>
      </w:r>
      <w:r>
        <w:t xml:space="preserve">de développement. En revanche, il reste encore beaucoup d’éléments à discuter et à articuler avec les actions </w:t>
      </w:r>
      <w:r w:rsidR="007C5209">
        <w:t>des collectivités</w:t>
      </w:r>
      <w:r>
        <w:t xml:space="preserve"> et toutes les mesures annoncées par le gouvernement. </w:t>
      </w:r>
      <w:r w:rsidR="002B618C">
        <w:t xml:space="preserve">Avant de négocier des mesures concrètes, il est important de s’entendre sur l’orientation que nous souhaitons donner à un accord portant sur les mobilités durables. La Direction de Mayenne Habitat souhaite que l’accord soit axé sur la responsabilité sociétale et sociale des entreprises, et pas uniquement un accord avec des mesures financières. </w:t>
      </w:r>
    </w:p>
    <w:p w14:paraId="7B4366CE" w14:textId="15AD9987" w:rsidP="00566A4D" w:rsidR="002B618C" w:rsidRDefault="002B618C" w:rsidRPr="00566A4D">
      <w:r>
        <w:t xml:space="preserve">Ainsi, afin d’avancer sereinement sur ces négociations </w:t>
      </w:r>
      <w:r w:rsidR="007C5209">
        <w:t>et</w:t>
      </w:r>
      <w:r>
        <w:t xml:space="preserve"> de conclure un accord ambitieux en phase avec les grands enjeux actuels de la société, il est décidé de continuer les </w:t>
      </w:r>
      <w:r w:rsidR="007C5209">
        <w:t>discussions</w:t>
      </w:r>
      <w:r>
        <w:t xml:space="preserve"> en dehors des négociations annuelles obligatoires 2022.</w:t>
      </w:r>
    </w:p>
    <w:p w14:paraId="2E03746B" w14:textId="3F69C625" w:rsidP="00090164" w:rsidR="003D1608" w:rsidRDefault="003D1608">
      <w:pPr>
        <w:pStyle w:val="Titre1"/>
      </w:pPr>
      <w:bookmarkStart w:id="15" w:name="_Toc114582052"/>
      <w:r>
        <w:t>Les prochaines négociations</w:t>
      </w:r>
      <w:r w:rsidR="002B618C">
        <w:t xml:space="preserve"> à mener rapidement et courant 2023</w:t>
      </w:r>
      <w:r w:rsidR="00495DC8">
        <w:t xml:space="preserve"> : prévoyance, </w:t>
      </w:r>
      <w:r w:rsidR="00090164">
        <w:t>et couverture complémentaire frais de santé, classification et référentiel métier, intéressement</w:t>
      </w:r>
      <w:bookmarkEnd w:id="15"/>
    </w:p>
    <w:p w14:paraId="506AB447" w14:textId="783B7DF5" w:rsidP="002B618C" w:rsidR="002B618C" w:rsidRDefault="002B618C" w:rsidRPr="002B618C">
      <w:r>
        <w:t xml:space="preserve">En complément des négociations prévues au chapitre 3 du présent accord, il est d’ores et déjà prévu des </w:t>
      </w:r>
      <w:r w:rsidR="007C5209">
        <w:t>échanges</w:t>
      </w:r>
      <w:r>
        <w:t xml:space="preserve"> complémentaires. </w:t>
      </w:r>
    </w:p>
    <w:p w14:paraId="2B86C652" w14:textId="283FE74E" w:rsidP="00C02985" w:rsidR="00D26118" w:rsidRDefault="00D26118">
      <w:pPr>
        <w:pStyle w:val="Titre2"/>
        <w:numPr>
          <w:ilvl w:val="0"/>
          <w:numId w:val="7"/>
        </w:numPr>
      </w:pPr>
      <w:bookmarkStart w:id="16" w:name="_Toc114582053"/>
      <w:r w:rsidRPr="00BC7199">
        <w:t>Prévoyance</w:t>
      </w:r>
      <w:r>
        <w:t xml:space="preserve"> - maintien de salaire et couverture complémentaire de frais de santé</w:t>
      </w:r>
      <w:bookmarkEnd w:id="16"/>
    </w:p>
    <w:p w14:paraId="74B5CF05" w14:textId="29375A50" w:rsidP="00C02985" w:rsidR="00495DC8" w:rsidRDefault="00495DC8">
      <w:pPr>
        <w:pStyle w:val="Titre3"/>
      </w:pPr>
      <w:bookmarkStart w:id="17" w:name="_Toc114582054"/>
      <w:r>
        <w:t>Prévoyance – Maintien de salaire</w:t>
      </w:r>
      <w:bookmarkEnd w:id="17"/>
    </w:p>
    <w:p w14:paraId="36996D9C" w14:textId="46A9A1ED" w:rsidP="002B618C" w:rsidR="002B618C" w:rsidRDefault="002B618C">
      <w:r>
        <w:t>En effet, l</w:t>
      </w:r>
      <w:r w:rsidR="002B4721">
        <w:t xml:space="preserve">e marché relatif à la prévoyance arrivant à expiration, un appel d’offres est en cours. Dans le cahier des charges, plusieurs mesures de développement du pouvoir d’achat ont été demandées à l’initiative de l’employeur : </w:t>
      </w:r>
    </w:p>
    <w:p w14:paraId="1B4BFD5A" w14:textId="047B5C74" w:rsidP="00B61D60" w:rsidR="002B4721" w:rsidRDefault="002B4721" w:rsidRPr="000C5F00">
      <w:pPr>
        <w:pStyle w:val="Titre4"/>
        <w:rPr>
          <w:b/>
          <w:bCs/>
        </w:rPr>
      </w:pPr>
      <w:r w:rsidRPr="000C5F00">
        <w:rPr>
          <w:b/>
          <w:bCs/>
        </w:rPr>
        <w:t xml:space="preserve">Prise en charge à </w:t>
      </w:r>
      <w:r w:rsidR="00B715F9">
        <w:rPr>
          <w:b/>
          <w:bCs/>
        </w:rPr>
        <w:t xml:space="preserve">xx </w:t>
      </w:r>
      <w:r w:rsidRPr="000C5F00">
        <w:rPr>
          <w:b/>
          <w:bCs/>
        </w:rPr>
        <w:t>% des cotisations des salarié.es non-cadres</w:t>
      </w:r>
    </w:p>
    <w:p w14:paraId="03D56861" w14:textId="500887C5" w:rsidP="00B61D60" w:rsidR="002B4721" w:rsidRDefault="002B4721" w:rsidRPr="000C5F00">
      <w:pPr>
        <w:pStyle w:val="Titre4"/>
        <w:rPr>
          <w:b/>
          <w:bCs/>
        </w:rPr>
      </w:pPr>
      <w:r w:rsidRPr="000C5F00">
        <w:rPr>
          <w:b/>
          <w:bCs/>
        </w:rPr>
        <w:t>Pas de carence pour le démarrage de la protection prévoyance</w:t>
      </w:r>
    </w:p>
    <w:p w14:paraId="05B9A66D" w14:textId="1D5C289A" w:rsidP="002B4721" w:rsidR="002B4721" w:rsidRDefault="002B4721">
      <w:r>
        <w:t xml:space="preserve">Ainsi, un nouvel accord devra être conclu avant le 12 décembre 2022, anniversaire du précédent qui durait 5 ans. </w:t>
      </w:r>
    </w:p>
    <w:p w14:paraId="6A2C483A" w14:textId="62D41A92" w:rsidP="002B4721" w:rsidR="002B4721" w:rsidRDefault="002B4721">
      <w:r>
        <w:t xml:space="preserve">Pour rappel, </w:t>
      </w:r>
      <w:r w:rsidRPr="002B4721">
        <w:t>pour les agents de la FPT,</w:t>
      </w:r>
      <w:r>
        <w:t xml:space="preserve"> en séance du 14 décembre 2012, le Conseil d’Administration a décidé de retenir la mise en place de la labellisation et de limiter la participation annuelle de l’employeur à </w:t>
      </w:r>
      <w:r w:rsidR="00B715F9">
        <w:t xml:space="preserve">xx </w:t>
      </w:r>
      <w:r>
        <w:t xml:space="preserve">€ pour la catégorie A, </w:t>
      </w:r>
      <w:r w:rsidR="00B715F9">
        <w:t xml:space="preserve">xx </w:t>
      </w:r>
      <w:r>
        <w:t xml:space="preserve">€ pour la catégorie B et </w:t>
      </w:r>
      <w:r w:rsidR="00B715F9">
        <w:t xml:space="preserve">xx </w:t>
      </w:r>
      <w:r>
        <w:t xml:space="preserve">€ pour la catégorie C. </w:t>
      </w:r>
    </w:p>
    <w:p w14:paraId="2E59F532" w14:textId="6AF183A0" w:rsidP="00C02985" w:rsidR="00D26118" w:rsidRDefault="00495DC8">
      <w:pPr>
        <w:pStyle w:val="Titre3"/>
      </w:pPr>
      <w:bookmarkStart w:id="18" w:name="_Toc114582055"/>
      <w:r>
        <w:lastRenderedPageBreak/>
        <w:t>Couverture complémentaire de frais de santé</w:t>
      </w:r>
      <w:bookmarkEnd w:id="18"/>
    </w:p>
    <w:p w14:paraId="5295D68D" w14:textId="34B449A2" w:rsidP="001066BC" w:rsidR="00D26118" w:rsidRDefault="00495DC8">
      <w:r>
        <w:t>Pour rappel, à</w:t>
      </w:r>
      <w:r w:rsidRPr="00495DC8">
        <w:t xml:space="preserve"> la suite du renouvellement du marché au 1er janvier 2022, une nouvelle décision unilatérale a été signée le 8 novembre 2021</w:t>
      </w:r>
      <w:r>
        <w:t xml:space="preserve"> pour les salariés de droit privé. </w:t>
      </w:r>
    </w:p>
    <w:p w14:paraId="0379974F" w14:textId="1D9835D0" w:rsidP="001066BC" w:rsidR="00495DC8" w:rsidRDefault="00495DC8">
      <w:r w:rsidRPr="00495DC8">
        <w:t xml:space="preserve">Pour les agents de la FPT, en séance du 16 décembre 2015, le Conseil d’Administration a décidé de retenir la mise en place de la labellisation et de limiter la participation mensuelle de l’employeur à </w:t>
      </w:r>
      <w:r w:rsidR="00B715F9">
        <w:t>xx</w:t>
      </w:r>
      <w:r w:rsidRPr="00495DC8">
        <w:t xml:space="preserve"> euros.</w:t>
      </w:r>
    </w:p>
    <w:p w14:paraId="245D54B1" w14:textId="25DDF4D4" w:rsidP="00C02985" w:rsidR="00D26118" w:rsidRDefault="00495DC8">
      <w:pPr>
        <w:pStyle w:val="Titre2"/>
      </w:pPr>
      <w:bookmarkStart w:id="19" w:name="_Toc114582056"/>
      <w:r>
        <w:t>Classification et référentiel métier</w:t>
      </w:r>
      <w:bookmarkEnd w:id="19"/>
    </w:p>
    <w:p w14:paraId="3BF5379D" w14:textId="2B6F2C6A" w:rsidP="001066BC" w:rsidR="00495DC8" w:rsidRDefault="00495DC8">
      <w:r>
        <w:t xml:space="preserve">Un travail de fond est en cours pour actualiser le référentiel métier et les fiches de poste associées, ainsi que la création d’un référentiel de compétences. </w:t>
      </w:r>
    </w:p>
    <w:p w14:paraId="2E11884E" w14:textId="11A4C47D" w:rsidP="001066BC" w:rsidR="00495DC8" w:rsidRDefault="00495DC8">
      <w:r>
        <w:t>Cette 1</w:t>
      </w:r>
      <w:r w:rsidRPr="00495DC8">
        <w:rPr>
          <w:vertAlign w:val="superscript"/>
        </w:rPr>
        <w:t>ère</w:t>
      </w:r>
      <w:r>
        <w:t xml:space="preserve"> phase d’actualisation, qui sera complétée par les informations collectées dans le cadre des entretiens annuels, permettra d’engager des </w:t>
      </w:r>
      <w:r w:rsidR="007C5209">
        <w:t>discussions</w:t>
      </w:r>
      <w:r>
        <w:t xml:space="preserve"> sur la classification et sur les rémunérations par emploi-repère. </w:t>
      </w:r>
    </w:p>
    <w:p w14:paraId="301F3D9C" w14:textId="30339555" w:rsidP="00C02985" w:rsidR="00495DC8" w:rsidRDefault="00495DC8">
      <w:pPr>
        <w:pStyle w:val="Titre2"/>
      </w:pPr>
      <w:bookmarkStart w:id="20" w:name="_Toc114582057"/>
      <w:r>
        <w:t>Intéressement</w:t>
      </w:r>
      <w:bookmarkEnd w:id="20"/>
    </w:p>
    <w:p w14:paraId="2529A066" w14:textId="2DFC559D" w:rsidP="001066BC" w:rsidR="003D1608" w:rsidRDefault="00AC5FDE">
      <w:r>
        <w:t xml:space="preserve">L’accord </w:t>
      </w:r>
      <w:r w:rsidR="003D1608">
        <w:t>relati</w:t>
      </w:r>
      <w:r>
        <w:t>f</w:t>
      </w:r>
      <w:r w:rsidR="003D1608">
        <w:t xml:space="preserve"> à l’intéressement </w:t>
      </w:r>
      <w:r w:rsidR="00B027A8">
        <w:t>signé le 25 juin 2020 stipule dans son article 6 qu’il prend fin le 31 décembre 202</w:t>
      </w:r>
      <w:r>
        <w:t>2</w:t>
      </w:r>
      <w:r w:rsidR="003D1608">
        <w:t xml:space="preserve">. </w:t>
      </w:r>
      <w:r>
        <w:t xml:space="preserve">Pour note, l’accord couvre l’année 2022 </w:t>
      </w:r>
      <w:r w:rsidR="0094434F">
        <w:t xml:space="preserve">qui donnera lieu à calcul et versement potentiel </w:t>
      </w:r>
      <w:r>
        <w:t xml:space="preserve">en avril/mai 2023. </w:t>
      </w:r>
    </w:p>
    <w:p w14:paraId="2F107DFA" w14:textId="754B381E" w:rsidP="001066BC" w:rsidR="00AC5FDE" w:rsidRDefault="009A5A1B">
      <w:r>
        <w:t>L</w:t>
      </w:r>
      <w:r w:rsidR="00AC5FDE">
        <w:t xml:space="preserve">es négociations pour un nouvel accord seront </w:t>
      </w:r>
      <w:r>
        <w:t xml:space="preserve">toutefois </w:t>
      </w:r>
      <w:r w:rsidR="00AC5FDE">
        <w:t xml:space="preserve">à démarrer </w:t>
      </w:r>
      <w:r>
        <w:t>au 1</w:t>
      </w:r>
      <w:r w:rsidRPr="009A5A1B">
        <w:rPr>
          <w:vertAlign w:val="superscript"/>
        </w:rPr>
        <w:t>er</w:t>
      </w:r>
      <w:r>
        <w:t xml:space="preserve"> semestre 2023</w:t>
      </w:r>
      <w:r w:rsidR="00AC5FDE">
        <w:t>.</w:t>
      </w:r>
    </w:p>
    <w:p w14:paraId="279414D7" w14:textId="326BE6F9" w:rsidP="00090164" w:rsidR="009F018B" w:rsidRDefault="00AC5FDE" w:rsidRPr="0045584B">
      <w:pPr>
        <w:pStyle w:val="Titre1"/>
      </w:pPr>
      <w:bookmarkStart w:id="21" w:name="_Toc114582058"/>
      <w:r>
        <w:t>Calendrier</w:t>
      </w:r>
      <w:r w:rsidR="00AD1C44">
        <w:t xml:space="preserve"> prévisionnel</w:t>
      </w:r>
      <w:r>
        <w:t xml:space="preserve"> des prochaines négociations</w:t>
      </w:r>
      <w:bookmarkEnd w:id="21"/>
    </w:p>
    <w:tbl>
      <w:tblPr>
        <w:tblW w:type="auto" w:w="0"/>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ook w:firstColumn="1" w:firstRow="1" w:lastColumn="0" w:lastRow="0" w:noHBand="0" w:noVBand="1" w:val="04A0"/>
      </w:tblPr>
      <w:tblGrid>
        <w:gridCol w:w="2417"/>
        <w:gridCol w:w="5726"/>
      </w:tblGrid>
      <w:tr w14:paraId="65199EF3" w14:textId="77777777" w:rsidR="00AC5FDE" w:rsidRPr="001B2C5C" w:rsidTr="00AD1C44">
        <w:tc>
          <w:tcPr>
            <w:tcW w:type="auto" w:w="0"/>
            <w:shd w:color="auto" w:fill="auto" w:val="clear"/>
            <w:vAlign w:val="center"/>
          </w:tcPr>
          <w:p w14:paraId="7D57EDC3" w14:textId="0029B862" w:rsidP="001066BC" w:rsidR="00AC5FDE" w:rsidRDefault="00AC5FDE" w:rsidRPr="001B2C5C">
            <w:pPr>
              <w:rPr>
                <w:b/>
                <w:bCs/>
              </w:rPr>
            </w:pPr>
            <w:r w:rsidRPr="001B2C5C">
              <w:rPr>
                <w:b/>
                <w:bCs/>
              </w:rPr>
              <w:t>Période</w:t>
            </w:r>
          </w:p>
        </w:tc>
        <w:tc>
          <w:tcPr>
            <w:tcW w:type="auto" w:w="0"/>
            <w:shd w:color="auto" w:fill="auto" w:val="clear"/>
            <w:vAlign w:val="center"/>
          </w:tcPr>
          <w:p w14:paraId="3149539E" w14:textId="1A8A5E57" w:rsidP="001066BC" w:rsidR="00AC5FDE" w:rsidRDefault="00AC5FDE" w:rsidRPr="001B2C5C">
            <w:pPr>
              <w:rPr>
                <w:b/>
                <w:bCs/>
              </w:rPr>
            </w:pPr>
            <w:r w:rsidRPr="001B2C5C">
              <w:rPr>
                <w:b/>
                <w:bCs/>
              </w:rPr>
              <w:t>Thème</w:t>
            </w:r>
          </w:p>
        </w:tc>
      </w:tr>
      <w:tr w14:paraId="3744616E" w14:textId="77777777" w:rsidR="00AC5FDE" w:rsidTr="00AD1C44">
        <w:tc>
          <w:tcPr>
            <w:tcW w:type="auto" w:w="0"/>
            <w:shd w:color="auto" w:fill="auto" w:val="clear"/>
            <w:vAlign w:val="center"/>
          </w:tcPr>
          <w:p w14:paraId="22F3C637" w14:textId="68F7247D" w:rsidP="001066BC" w:rsidR="00AC5FDE" w:rsidRDefault="00BD72D3">
            <w:r>
              <w:t>Octobre 2022</w:t>
            </w:r>
          </w:p>
        </w:tc>
        <w:tc>
          <w:tcPr>
            <w:tcW w:type="auto" w:w="0"/>
            <w:shd w:color="auto" w:fill="auto" w:val="clear"/>
            <w:vAlign w:val="center"/>
          </w:tcPr>
          <w:p w14:paraId="15A7894D" w14:textId="5EEC5190" w:rsidP="001066BC" w:rsidR="00AD1C44" w:rsidRDefault="00AD1C44" w:rsidRPr="00AD1C44">
            <w:pPr>
              <w:rPr>
                <w:i/>
                <w:iCs/>
              </w:rPr>
            </w:pPr>
            <w:r w:rsidRPr="00AD1C44">
              <w:rPr>
                <w:i/>
                <w:iCs/>
              </w:rPr>
              <w:t>Élections professionnelles - CSE</w:t>
            </w:r>
          </w:p>
          <w:p w14:paraId="7D080212" w14:textId="6C04F7E9" w:rsidP="001066BC" w:rsidR="00AC5FDE" w:rsidRDefault="00BD72D3">
            <w:r>
              <w:t>Prévoyance</w:t>
            </w:r>
          </w:p>
        </w:tc>
      </w:tr>
      <w:tr w14:paraId="760E7CB1" w14:textId="77777777" w:rsidR="00BD72D3" w:rsidTr="00AD1C44">
        <w:tc>
          <w:tcPr>
            <w:tcW w:type="auto" w:w="0"/>
            <w:shd w:color="auto" w:fill="auto" w:val="clear"/>
            <w:vAlign w:val="center"/>
          </w:tcPr>
          <w:p w14:paraId="555A7A39" w14:textId="1125462E" w:rsidP="00BD72D3" w:rsidR="00BD72D3" w:rsidRDefault="00BD72D3">
            <w:r>
              <w:t>Novembre 2022</w:t>
            </w:r>
          </w:p>
        </w:tc>
        <w:tc>
          <w:tcPr>
            <w:tcW w:type="auto" w:w="0"/>
            <w:shd w:color="auto" w:fill="auto" w:val="clear"/>
            <w:vAlign w:val="center"/>
          </w:tcPr>
          <w:p w14:paraId="0B0FBE91" w14:textId="3269A404" w:rsidP="00BD72D3" w:rsidR="00BD72D3" w:rsidRDefault="00BD72D3">
            <w:r>
              <w:t>Télétravail</w:t>
            </w:r>
          </w:p>
        </w:tc>
      </w:tr>
      <w:tr w14:paraId="2D1F8189" w14:textId="77777777" w:rsidR="00BD72D3" w:rsidTr="00AD1C44">
        <w:tc>
          <w:tcPr>
            <w:tcW w:type="auto" w:w="0"/>
            <w:shd w:color="auto" w:fill="auto" w:val="clear"/>
            <w:vAlign w:val="center"/>
          </w:tcPr>
          <w:p w14:paraId="06DCBB9B" w14:textId="0AB4B3B5" w:rsidP="00BD72D3" w:rsidR="00BD72D3" w:rsidRDefault="00BD72D3">
            <w:r>
              <w:t>Janvier-Février 2023</w:t>
            </w:r>
          </w:p>
        </w:tc>
        <w:tc>
          <w:tcPr>
            <w:tcW w:type="auto" w:w="0"/>
            <w:shd w:color="auto" w:fill="auto" w:val="clear"/>
            <w:vAlign w:val="center"/>
          </w:tcPr>
          <w:p w14:paraId="5D15EC85" w14:textId="4EBD7932" w:rsidP="00BD72D3" w:rsidR="00BD72D3" w:rsidRDefault="00BD72D3">
            <w:r>
              <w:t>Mobilités durables</w:t>
            </w:r>
          </w:p>
        </w:tc>
      </w:tr>
      <w:tr w14:paraId="29DF5353" w14:textId="77777777" w:rsidR="00BD72D3" w:rsidTr="00AD1C44">
        <w:tc>
          <w:tcPr>
            <w:tcW w:type="auto" w:w="0"/>
            <w:shd w:color="auto" w:fill="auto" w:val="clear"/>
            <w:vAlign w:val="center"/>
          </w:tcPr>
          <w:p w14:paraId="7271AA78" w14:textId="137A4AAC" w:rsidP="00BD72D3" w:rsidR="00BD72D3" w:rsidRDefault="00BD72D3">
            <w:r>
              <w:t>Février-Mars 2023</w:t>
            </w:r>
          </w:p>
        </w:tc>
        <w:tc>
          <w:tcPr>
            <w:tcW w:type="auto" w:w="0"/>
            <w:shd w:color="auto" w:fill="auto" w:val="clear"/>
            <w:vAlign w:val="center"/>
          </w:tcPr>
          <w:p w14:paraId="0DA5BA0E" w14:textId="28D429B4" w:rsidP="00BD72D3" w:rsidR="00BD72D3" w:rsidRDefault="00BD72D3">
            <w:r>
              <w:t>Ouverture des NAO 2023</w:t>
            </w:r>
          </w:p>
        </w:tc>
      </w:tr>
      <w:tr w14:paraId="527550F2" w14:textId="77777777" w:rsidR="00AD1C44" w:rsidTr="00AD1C44">
        <w:tc>
          <w:tcPr>
            <w:tcW w:type="auto" w:w="0"/>
            <w:shd w:color="auto" w:fill="auto" w:val="clear"/>
            <w:vAlign w:val="center"/>
          </w:tcPr>
          <w:p w14:paraId="509032C7" w14:textId="6A8E3144" w:rsidP="007F1917" w:rsidR="00AD1C44" w:rsidRDefault="00AD1C44">
            <w:r>
              <w:t>Avril 2023</w:t>
            </w:r>
          </w:p>
        </w:tc>
        <w:tc>
          <w:tcPr>
            <w:tcW w:type="auto" w:w="0"/>
            <w:shd w:color="auto" w:fill="auto" w:val="clear"/>
            <w:vAlign w:val="center"/>
          </w:tcPr>
          <w:p w14:paraId="46F8D0F6" w14:textId="77777777" w:rsidP="007F1917" w:rsidR="00AD1C44" w:rsidRDefault="00AD1C44">
            <w:r>
              <w:t>Intéressement</w:t>
            </w:r>
          </w:p>
        </w:tc>
      </w:tr>
      <w:tr w14:paraId="6E585CBF" w14:textId="77777777" w:rsidR="00AD1C44" w:rsidTr="00AD1C44">
        <w:tc>
          <w:tcPr>
            <w:tcW w:type="auto" w:w="0"/>
            <w:vMerge w:val="restart"/>
            <w:shd w:color="auto" w:fill="auto" w:val="clear"/>
            <w:vAlign w:val="center"/>
          </w:tcPr>
          <w:p w14:paraId="33AF2A53" w14:textId="7140007E" w:rsidP="00BD72D3" w:rsidR="00AD1C44" w:rsidRDefault="00AD1C44">
            <w:r>
              <w:t>2</w:t>
            </w:r>
            <w:r w:rsidRPr="001B2C5C">
              <w:rPr>
                <w:vertAlign w:val="superscript"/>
              </w:rPr>
              <w:t>ème</w:t>
            </w:r>
            <w:r>
              <w:t xml:space="preserve"> semestre 2023</w:t>
            </w:r>
          </w:p>
        </w:tc>
        <w:tc>
          <w:tcPr>
            <w:tcW w:type="auto" w:w="0"/>
            <w:shd w:color="auto" w:fill="auto" w:val="clear"/>
            <w:vAlign w:val="center"/>
          </w:tcPr>
          <w:p w14:paraId="61F77BE1" w14:textId="166C4768" w:rsidP="00BD72D3" w:rsidR="00AD1C44" w:rsidRDefault="009A5A1B">
            <w:r>
              <w:t>R</w:t>
            </w:r>
            <w:r w:rsidR="00AD1C44">
              <w:t>éférentiel métiers</w:t>
            </w:r>
            <w:r>
              <w:t xml:space="preserve"> et classification</w:t>
            </w:r>
          </w:p>
        </w:tc>
      </w:tr>
      <w:tr w14:paraId="711FD7DE" w14:textId="77777777" w:rsidR="00AD1C44" w:rsidTr="00AD1C44">
        <w:tc>
          <w:tcPr>
            <w:tcW w:type="auto" w:w="0"/>
            <w:vMerge/>
            <w:shd w:color="auto" w:fill="auto" w:val="clear"/>
            <w:vAlign w:val="center"/>
          </w:tcPr>
          <w:p w14:paraId="4B74C2C4" w14:textId="42930248" w:rsidP="00BD72D3" w:rsidR="00AD1C44" w:rsidRDefault="00AD1C44"/>
        </w:tc>
        <w:tc>
          <w:tcPr>
            <w:tcW w:type="auto" w:w="0"/>
            <w:shd w:color="auto" w:fill="auto" w:val="clear"/>
            <w:vAlign w:val="center"/>
          </w:tcPr>
          <w:p w14:paraId="5960C985" w14:textId="6CDBFE70" w:rsidP="00BD72D3" w:rsidR="00AD1C44" w:rsidRDefault="00AD1C44">
            <w:r>
              <w:t>Durée effective du temps de travail</w:t>
            </w:r>
          </w:p>
        </w:tc>
      </w:tr>
      <w:tr w14:paraId="55777D76" w14:textId="77777777" w:rsidR="00AD1C44" w:rsidTr="00AD1C44">
        <w:tc>
          <w:tcPr>
            <w:tcW w:type="auto" w:w="0"/>
            <w:vMerge w:val="restart"/>
            <w:shd w:color="auto" w:fill="auto" w:val="clear"/>
            <w:vAlign w:val="center"/>
          </w:tcPr>
          <w:p w14:paraId="7134E38E" w14:textId="46722227" w:rsidP="00AD1C44" w:rsidR="00AD1C44" w:rsidRDefault="00AD1C44">
            <w:r>
              <w:t>2024</w:t>
            </w:r>
          </w:p>
        </w:tc>
        <w:tc>
          <w:tcPr>
            <w:tcW w:type="auto" w:w="0"/>
            <w:shd w:color="auto" w:fill="auto" w:val="clear"/>
            <w:vAlign w:val="center"/>
          </w:tcPr>
          <w:p w14:paraId="150AAC0F" w14:textId="29A66476" w:rsidP="00BD72D3" w:rsidR="00AD1C44" w:rsidRDefault="00AD1C44">
            <w:r>
              <w:t>Gestion des emplois et des parcours professionnels</w:t>
            </w:r>
          </w:p>
        </w:tc>
      </w:tr>
      <w:tr w14:paraId="2418B513" w14:textId="77777777" w:rsidR="00AD1C44" w:rsidTr="00AD1C44">
        <w:tc>
          <w:tcPr>
            <w:tcW w:type="auto" w:w="0"/>
            <w:vMerge/>
            <w:shd w:color="auto" w:fill="auto" w:val="clear"/>
            <w:vAlign w:val="center"/>
          </w:tcPr>
          <w:p w14:paraId="0312113E" w14:textId="096CF111" w:rsidP="00BD72D3" w:rsidR="00AD1C44" w:rsidRDefault="00AD1C44"/>
        </w:tc>
        <w:tc>
          <w:tcPr>
            <w:tcW w:type="auto" w:w="0"/>
            <w:shd w:color="auto" w:fill="auto" w:val="clear"/>
            <w:vAlign w:val="center"/>
          </w:tcPr>
          <w:p w14:paraId="672C2873" w14:textId="456883B2" w:rsidP="00BD72D3" w:rsidR="00AD1C44" w:rsidRDefault="00AD1C44">
            <w:r>
              <w:t>Qualité de vie au travail et égalité professionnelle</w:t>
            </w:r>
          </w:p>
        </w:tc>
      </w:tr>
    </w:tbl>
    <w:p w14:paraId="591DEA7F" w14:textId="77777777" w:rsidP="001066BC" w:rsidR="00AC5FDE" w:rsidRDefault="00AC5FDE"/>
    <w:p w14:paraId="5099DC4F" w14:textId="18D8AB33" w:rsidP="00AC5FDE" w:rsidR="00AC5FDE" w:rsidRDefault="00AC5FDE">
      <w:pPr>
        <w:tabs>
          <w:tab w:pos="709" w:val="left"/>
        </w:tabs>
        <w:rPr>
          <w:rFonts w:cs="Arial"/>
        </w:rPr>
      </w:pPr>
      <w:r>
        <w:rPr>
          <w:rFonts w:cs="Arial"/>
        </w:rPr>
        <w:t xml:space="preserve">Fait à Laval, le </w:t>
      </w:r>
      <w:r w:rsidR="00795351">
        <w:rPr>
          <w:rFonts w:cs="Arial"/>
        </w:rPr>
        <w:t>19 octobre</w:t>
      </w:r>
      <w:r>
        <w:rPr>
          <w:rFonts w:cs="Arial"/>
        </w:rPr>
        <w:t xml:space="preserve"> 2022</w:t>
      </w:r>
    </w:p>
    <w:p w14:paraId="39A5B08B" w14:textId="77777777" w:rsidP="00AC5FDE" w:rsidR="00AC5FDE" w:rsidRDefault="00AC5FDE" w:rsidRPr="00BD72D3"/>
    <w:p w14:paraId="6B986824" w14:textId="7355255B" w:rsidP="00134D73" w:rsidR="00E7065D" w:rsidRDefault="00E7065D" w:rsidRPr="00E25DF3">
      <w:pPr>
        <w:tabs>
          <w:tab w:pos="5670" w:val="left"/>
        </w:tabs>
        <w:spacing w:after="120"/>
        <w:ind w:firstLine="851"/>
        <w:rPr>
          <w:rFonts w:cs="Arial"/>
          <w:b/>
        </w:rPr>
      </w:pPr>
    </w:p>
    <w:sectPr w:rsidR="00E7065D" w:rsidRPr="00E25DF3" w:rsidSect="00134D73">
      <w:footerReference r:id="rId9" w:type="default"/>
      <w:pgSz w:h="16838" w:w="11906"/>
      <w:pgMar w:bottom="1135" w:footer="436" w:gutter="0" w:header="397"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31FF2" w14:textId="77777777" w:rsidR="00E47F08" w:rsidRDefault="00E47F08" w:rsidP="002E3FE6">
      <w:r>
        <w:separator/>
      </w:r>
    </w:p>
  </w:endnote>
  <w:endnote w:type="continuationSeparator" w:id="0">
    <w:p w14:paraId="779ABBC9" w14:textId="77777777" w:rsidR="00E47F08" w:rsidRDefault="00E47F08" w:rsidP="002E3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243AD51" w14:textId="116E6BDE" w:rsidP="003A16B7" w:rsidR="000B2639" w:rsidRDefault="00B61D60" w:rsidRPr="00573C24">
    <w:pPr>
      <w:ind w:hanging="142"/>
      <w:jc w:val="right"/>
    </w:pPr>
    <w:r w:rsidRPr="00B61D60">
      <w:rPr>
        <w:rFonts w:ascii="Calibri" w:hAnsi="Calibri"/>
        <w:sz w:val="20"/>
        <w:szCs w:val="20"/>
      </w:rPr>
      <w:t xml:space="preserve">Page </w:t>
    </w:r>
    <w:r w:rsidRPr="00B61D60">
      <w:rPr>
        <w:rFonts w:ascii="Calibri" w:hAnsi="Calibri"/>
        <w:b/>
        <w:bCs/>
        <w:sz w:val="20"/>
        <w:szCs w:val="20"/>
      </w:rPr>
      <w:fldChar w:fldCharType="begin"/>
    </w:r>
    <w:r w:rsidRPr="00B61D60">
      <w:rPr>
        <w:rFonts w:ascii="Calibri" w:hAnsi="Calibri"/>
        <w:b/>
        <w:bCs/>
        <w:sz w:val="20"/>
        <w:szCs w:val="20"/>
      </w:rPr>
      <w:instrText>PAGE  \* Arabic  \* MERGEFORMAT</w:instrText>
    </w:r>
    <w:r w:rsidRPr="00B61D60">
      <w:rPr>
        <w:rFonts w:ascii="Calibri" w:hAnsi="Calibri"/>
        <w:b/>
        <w:bCs/>
        <w:sz w:val="20"/>
        <w:szCs w:val="20"/>
      </w:rPr>
      <w:fldChar w:fldCharType="separate"/>
    </w:r>
    <w:r w:rsidRPr="00B61D60">
      <w:rPr>
        <w:rFonts w:ascii="Calibri" w:hAnsi="Calibri"/>
        <w:b/>
        <w:bCs/>
        <w:sz w:val="20"/>
        <w:szCs w:val="20"/>
      </w:rPr>
      <w:t>1</w:t>
    </w:r>
    <w:r w:rsidRPr="00B61D60">
      <w:rPr>
        <w:rFonts w:ascii="Calibri" w:hAnsi="Calibri"/>
        <w:b/>
        <w:bCs/>
        <w:sz w:val="20"/>
        <w:szCs w:val="20"/>
      </w:rPr>
      <w:fldChar w:fldCharType="end"/>
    </w:r>
    <w:r w:rsidRPr="00B61D60">
      <w:rPr>
        <w:rFonts w:ascii="Calibri" w:hAnsi="Calibri"/>
        <w:sz w:val="20"/>
        <w:szCs w:val="20"/>
      </w:rPr>
      <w:t xml:space="preserve"> sur </w:t>
    </w:r>
    <w:r w:rsidRPr="00B61D60">
      <w:rPr>
        <w:rFonts w:ascii="Calibri" w:hAnsi="Calibri"/>
        <w:b/>
        <w:bCs/>
        <w:sz w:val="20"/>
        <w:szCs w:val="20"/>
      </w:rPr>
      <w:fldChar w:fldCharType="begin"/>
    </w:r>
    <w:r w:rsidRPr="00B61D60">
      <w:rPr>
        <w:rFonts w:ascii="Calibri" w:hAnsi="Calibri"/>
        <w:b/>
        <w:bCs/>
        <w:sz w:val="20"/>
        <w:szCs w:val="20"/>
      </w:rPr>
      <w:instrText>NUMPAGES  \* Arabic  \* MERGEFORMAT</w:instrText>
    </w:r>
    <w:r w:rsidRPr="00B61D60">
      <w:rPr>
        <w:rFonts w:ascii="Calibri" w:hAnsi="Calibri"/>
        <w:b/>
        <w:bCs/>
        <w:sz w:val="20"/>
        <w:szCs w:val="20"/>
      </w:rPr>
      <w:fldChar w:fldCharType="separate"/>
    </w:r>
    <w:r w:rsidRPr="00B61D60">
      <w:rPr>
        <w:rFonts w:ascii="Calibri" w:hAnsi="Calibri"/>
        <w:b/>
        <w:bCs/>
        <w:sz w:val="20"/>
        <w:szCs w:val="20"/>
      </w:rPr>
      <w:t>2</w:t>
    </w:r>
    <w:r w:rsidRPr="00B61D60">
      <w:rPr>
        <w:rFonts w:ascii="Calibri" w:hAnsi="Calibri"/>
        <w:b/>
        <w:bCs/>
        <w:sz w:val="20"/>
        <w:szCs w:val="20"/>
      </w:rPr>
      <w:fldChar w:fldCharType="end"/>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50E02E1B" w14:textId="77777777" w:rsidP="002E3FE6" w:rsidR="00E47F08" w:rsidRDefault="00E47F08">
      <w:r>
        <w:separator/>
      </w:r>
    </w:p>
  </w:footnote>
  <w:footnote w:id="0" w:type="continuationSeparator">
    <w:p w14:paraId="450A8EF2" w14:textId="77777777" w:rsidP="002E3FE6" w:rsidR="00E47F08" w:rsidRDefault="00E47F08">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E296F1C"/>
    <w:multiLevelType w:val="multilevel"/>
    <w:tmpl w:val="CFFC7990"/>
    <w:styleLink w:val="Puces1"/>
    <w:lvl w:ilvl="0">
      <w:numFmt w:val="bullet"/>
      <w:lvlText w:val="•"/>
      <w:lvlJc w:val="left"/>
      <w:pPr>
        <w:ind w:hanging="705" w:left="1065"/>
      </w:pPr>
      <w:rPr>
        <w:rFonts w:ascii="Arial" w:hAnsi="Arial"/>
        <w:sz w:val="24"/>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1">
    <w:nsid w:val="1D796AE3"/>
    <w:multiLevelType w:val="hybridMultilevel"/>
    <w:tmpl w:val="D648201A"/>
    <w:lvl w:ilvl="0" w:tplc="CA56CB26">
      <w:start w:val="1"/>
      <w:numFmt w:val="decimal"/>
      <w:pStyle w:val="Titre2"/>
      <w:lvlText w:val="Article %1 - "/>
      <w:lvlJc w:val="left"/>
      <w:rPr>
        <w:rFonts w:ascii="Arial" w:hAnsi="Arial" w:hint="default"/>
        <w:color w:val="942667"/>
      </w:rPr>
    </w:lvl>
    <w:lvl w:ilvl="1" w:tentative="1" w:tplc="040C0019">
      <w:start w:val="1"/>
      <w:numFmt w:val="lowerLetter"/>
      <w:lvlText w:val="%2."/>
      <w:lvlJc w:val="left"/>
      <w:pPr>
        <w:ind w:hanging="360" w:left="2215"/>
      </w:pPr>
    </w:lvl>
    <w:lvl w:ilvl="2" w:tentative="1" w:tplc="040C001B">
      <w:start w:val="1"/>
      <w:numFmt w:val="lowerRoman"/>
      <w:lvlText w:val="%3."/>
      <w:lvlJc w:val="right"/>
      <w:pPr>
        <w:ind w:hanging="180" w:left="2935"/>
      </w:pPr>
    </w:lvl>
    <w:lvl w:ilvl="3" w:tentative="1" w:tplc="040C000F">
      <w:start w:val="1"/>
      <w:numFmt w:val="decimal"/>
      <w:lvlText w:val="%4."/>
      <w:lvlJc w:val="left"/>
      <w:pPr>
        <w:ind w:hanging="360" w:left="3655"/>
      </w:pPr>
    </w:lvl>
    <w:lvl w:ilvl="4" w:tentative="1" w:tplc="040C0019">
      <w:start w:val="1"/>
      <w:numFmt w:val="lowerLetter"/>
      <w:lvlText w:val="%5."/>
      <w:lvlJc w:val="left"/>
      <w:pPr>
        <w:ind w:hanging="360" w:left="4375"/>
      </w:pPr>
    </w:lvl>
    <w:lvl w:ilvl="5" w:tentative="1" w:tplc="040C001B">
      <w:start w:val="1"/>
      <w:numFmt w:val="lowerRoman"/>
      <w:lvlText w:val="%6."/>
      <w:lvlJc w:val="right"/>
      <w:pPr>
        <w:ind w:hanging="180" w:left="5095"/>
      </w:pPr>
    </w:lvl>
    <w:lvl w:ilvl="6" w:tentative="1" w:tplc="040C000F">
      <w:start w:val="1"/>
      <w:numFmt w:val="decimal"/>
      <w:lvlText w:val="%7."/>
      <w:lvlJc w:val="left"/>
      <w:pPr>
        <w:ind w:hanging="360" w:left="5815"/>
      </w:pPr>
    </w:lvl>
    <w:lvl w:ilvl="7" w:tentative="1" w:tplc="040C0019">
      <w:start w:val="1"/>
      <w:numFmt w:val="lowerLetter"/>
      <w:lvlText w:val="%8."/>
      <w:lvlJc w:val="left"/>
      <w:pPr>
        <w:ind w:hanging="360" w:left="6535"/>
      </w:pPr>
    </w:lvl>
    <w:lvl w:ilvl="8" w:tentative="1" w:tplc="040C001B">
      <w:start w:val="1"/>
      <w:numFmt w:val="lowerRoman"/>
      <w:lvlText w:val="%9."/>
      <w:lvlJc w:val="right"/>
      <w:pPr>
        <w:ind w:hanging="180" w:left="7255"/>
      </w:pPr>
    </w:lvl>
  </w:abstractNum>
  <w:abstractNum w15:restartNumberingAfterBreak="0" w:abstractNumId="2">
    <w:nsid w:val="32B62192"/>
    <w:multiLevelType w:val="hybridMultilevel"/>
    <w:tmpl w:val="A55A1E00"/>
    <w:lvl w:ilvl="0" w:tplc="3796D018">
      <w:start w:val="1"/>
      <w:numFmt w:val="bullet"/>
      <w:pStyle w:val="Titre4"/>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6BCA699A"/>
    <w:multiLevelType w:val="hybridMultilevel"/>
    <w:tmpl w:val="51E6479A"/>
    <w:lvl w:ilvl="0" w:tplc="2ECCAEBA">
      <w:start w:val="1"/>
      <w:numFmt w:val="decimal"/>
      <w:pStyle w:val="Titre1"/>
      <w:lvlText w:val="Chapitre %1 - "/>
      <w:lvlJc w:val="left"/>
      <w:pPr>
        <w:ind w:hanging="360" w:left="2487"/>
      </w:pPr>
      <w:rPr>
        <w:rFonts w:ascii="Arial" w:hAnsi="Arial" w:hint="default"/>
      </w:rPr>
    </w:lvl>
    <w:lvl w:ilvl="1" w:tentative="1" w:tplc="040C0019">
      <w:start w:val="1"/>
      <w:numFmt w:val="lowerLetter"/>
      <w:lvlText w:val="%2."/>
      <w:lvlJc w:val="left"/>
      <w:pPr>
        <w:ind w:hanging="360" w:left="3567"/>
      </w:pPr>
    </w:lvl>
    <w:lvl w:ilvl="2" w:tentative="1" w:tplc="040C001B">
      <w:start w:val="1"/>
      <w:numFmt w:val="lowerRoman"/>
      <w:lvlText w:val="%3."/>
      <w:lvlJc w:val="right"/>
      <w:pPr>
        <w:ind w:hanging="180" w:left="4287"/>
      </w:pPr>
    </w:lvl>
    <w:lvl w:ilvl="3" w:tentative="1" w:tplc="040C000F">
      <w:start w:val="1"/>
      <w:numFmt w:val="decimal"/>
      <w:lvlText w:val="%4."/>
      <w:lvlJc w:val="left"/>
      <w:pPr>
        <w:ind w:hanging="360" w:left="5007"/>
      </w:pPr>
    </w:lvl>
    <w:lvl w:ilvl="4" w:tentative="1" w:tplc="040C0019">
      <w:start w:val="1"/>
      <w:numFmt w:val="lowerLetter"/>
      <w:lvlText w:val="%5."/>
      <w:lvlJc w:val="left"/>
      <w:pPr>
        <w:ind w:hanging="360" w:left="5727"/>
      </w:pPr>
    </w:lvl>
    <w:lvl w:ilvl="5" w:tentative="1" w:tplc="040C001B">
      <w:start w:val="1"/>
      <w:numFmt w:val="lowerRoman"/>
      <w:lvlText w:val="%6."/>
      <w:lvlJc w:val="right"/>
      <w:pPr>
        <w:ind w:hanging="180" w:left="6447"/>
      </w:pPr>
    </w:lvl>
    <w:lvl w:ilvl="6" w:tentative="1" w:tplc="040C000F">
      <w:start w:val="1"/>
      <w:numFmt w:val="decimal"/>
      <w:lvlText w:val="%7."/>
      <w:lvlJc w:val="left"/>
      <w:pPr>
        <w:ind w:hanging="360" w:left="7167"/>
      </w:pPr>
    </w:lvl>
    <w:lvl w:ilvl="7" w:tentative="1" w:tplc="040C0019">
      <w:start w:val="1"/>
      <w:numFmt w:val="lowerLetter"/>
      <w:lvlText w:val="%8."/>
      <w:lvlJc w:val="left"/>
      <w:pPr>
        <w:ind w:hanging="360" w:left="7887"/>
      </w:pPr>
    </w:lvl>
    <w:lvl w:ilvl="8" w:tentative="1" w:tplc="040C001B">
      <w:start w:val="1"/>
      <w:numFmt w:val="lowerRoman"/>
      <w:lvlText w:val="%9."/>
      <w:lvlJc w:val="right"/>
      <w:pPr>
        <w:ind w:hanging="180" w:left="8607"/>
      </w:pPr>
    </w:lvl>
  </w:abstractNum>
  <w:num w:numId="1">
    <w:abstractNumId w:val="2"/>
  </w:num>
  <w:num w:numId="2">
    <w:abstractNumId w:val="3"/>
  </w:num>
  <w:num w:numId="3">
    <w:abstractNumId w:val="1"/>
  </w:num>
  <w:num w:numId="4">
    <w:abstractNumId w:val="0"/>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2"/>
  </w:num>
  <w:numIdMacAtCleanup w:val="7"/>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09"/>
  <w:hyphenationZone w:val="425"/>
  <w:drawingGridHorizontalSpacing w:val="120"/>
  <w:displayHorizontalDrawingGridEvery w:val="2"/>
  <w:noPunctuationKerning/>
  <w:characterSpacingControl w:val="doNotCompress"/>
  <w:hdrShapeDefaults>
    <o:shapedefaults spidmax="2050" v:ext="edi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1779C"/>
    <w:rsid w:val="00000571"/>
    <w:rsid w:val="0000164D"/>
    <w:rsid w:val="00003D7C"/>
    <w:rsid w:val="000067BE"/>
    <w:rsid w:val="00007A34"/>
    <w:rsid w:val="00010FEB"/>
    <w:rsid w:val="00011189"/>
    <w:rsid w:val="00012B6E"/>
    <w:rsid w:val="000140A5"/>
    <w:rsid w:val="00015477"/>
    <w:rsid w:val="00015AD0"/>
    <w:rsid w:val="000205B7"/>
    <w:rsid w:val="000236A3"/>
    <w:rsid w:val="00025246"/>
    <w:rsid w:val="00025278"/>
    <w:rsid w:val="00033094"/>
    <w:rsid w:val="0003363A"/>
    <w:rsid w:val="00034E76"/>
    <w:rsid w:val="00036BF0"/>
    <w:rsid w:val="00040E8B"/>
    <w:rsid w:val="00042573"/>
    <w:rsid w:val="000533EB"/>
    <w:rsid w:val="00054A43"/>
    <w:rsid w:val="00056B01"/>
    <w:rsid w:val="000602E3"/>
    <w:rsid w:val="000621A5"/>
    <w:rsid w:val="00067120"/>
    <w:rsid w:val="00067C96"/>
    <w:rsid w:val="00070841"/>
    <w:rsid w:val="00077414"/>
    <w:rsid w:val="00081B3C"/>
    <w:rsid w:val="0008651D"/>
    <w:rsid w:val="00090164"/>
    <w:rsid w:val="00096558"/>
    <w:rsid w:val="00097230"/>
    <w:rsid w:val="000A1B15"/>
    <w:rsid w:val="000B2639"/>
    <w:rsid w:val="000B5D41"/>
    <w:rsid w:val="000C1C12"/>
    <w:rsid w:val="000C30B5"/>
    <w:rsid w:val="000C5F00"/>
    <w:rsid w:val="000C69F8"/>
    <w:rsid w:val="000D2DF1"/>
    <w:rsid w:val="000D3F29"/>
    <w:rsid w:val="000D4C77"/>
    <w:rsid w:val="000D6B86"/>
    <w:rsid w:val="000E41E2"/>
    <w:rsid w:val="000F1BC2"/>
    <w:rsid w:val="000F41B2"/>
    <w:rsid w:val="000F43A7"/>
    <w:rsid w:val="00100510"/>
    <w:rsid w:val="00101512"/>
    <w:rsid w:val="00104E01"/>
    <w:rsid w:val="001066BC"/>
    <w:rsid w:val="00106F80"/>
    <w:rsid w:val="00111D3E"/>
    <w:rsid w:val="00112D26"/>
    <w:rsid w:val="00113F74"/>
    <w:rsid w:val="001147B4"/>
    <w:rsid w:val="00115CEC"/>
    <w:rsid w:val="00122A4C"/>
    <w:rsid w:val="0012365E"/>
    <w:rsid w:val="001254F0"/>
    <w:rsid w:val="00125572"/>
    <w:rsid w:val="00125C0F"/>
    <w:rsid w:val="00130999"/>
    <w:rsid w:val="00130F11"/>
    <w:rsid w:val="001315B6"/>
    <w:rsid w:val="00131780"/>
    <w:rsid w:val="00134D73"/>
    <w:rsid w:val="0013525D"/>
    <w:rsid w:val="00136E89"/>
    <w:rsid w:val="001375EE"/>
    <w:rsid w:val="001467BB"/>
    <w:rsid w:val="00152EBB"/>
    <w:rsid w:val="0015374E"/>
    <w:rsid w:val="00154672"/>
    <w:rsid w:val="0015631C"/>
    <w:rsid w:val="00161215"/>
    <w:rsid w:val="00161EAB"/>
    <w:rsid w:val="00163C7E"/>
    <w:rsid w:val="00164938"/>
    <w:rsid w:val="00166CD0"/>
    <w:rsid w:val="0017044F"/>
    <w:rsid w:val="00171298"/>
    <w:rsid w:val="00171FB0"/>
    <w:rsid w:val="001738EB"/>
    <w:rsid w:val="001768C9"/>
    <w:rsid w:val="00177E10"/>
    <w:rsid w:val="00180137"/>
    <w:rsid w:val="00186F4D"/>
    <w:rsid w:val="00190CD3"/>
    <w:rsid w:val="001932EB"/>
    <w:rsid w:val="00195709"/>
    <w:rsid w:val="00196AF1"/>
    <w:rsid w:val="001979D1"/>
    <w:rsid w:val="001A0BD7"/>
    <w:rsid w:val="001A1679"/>
    <w:rsid w:val="001A248E"/>
    <w:rsid w:val="001A27AD"/>
    <w:rsid w:val="001B0EED"/>
    <w:rsid w:val="001B2C5C"/>
    <w:rsid w:val="001B5D70"/>
    <w:rsid w:val="001B64E8"/>
    <w:rsid w:val="001C08BE"/>
    <w:rsid w:val="001C392C"/>
    <w:rsid w:val="001C74A4"/>
    <w:rsid w:val="001D3308"/>
    <w:rsid w:val="001E0E2E"/>
    <w:rsid w:val="001E1140"/>
    <w:rsid w:val="001E369B"/>
    <w:rsid w:val="001F5335"/>
    <w:rsid w:val="00201C3D"/>
    <w:rsid w:val="002035B3"/>
    <w:rsid w:val="00211426"/>
    <w:rsid w:val="00212DDD"/>
    <w:rsid w:val="002134ED"/>
    <w:rsid w:val="002171EF"/>
    <w:rsid w:val="0022061D"/>
    <w:rsid w:val="00222395"/>
    <w:rsid w:val="0022503A"/>
    <w:rsid w:val="002303C0"/>
    <w:rsid w:val="00237DDC"/>
    <w:rsid w:val="00237DDE"/>
    <w:rsid w:val="00247661"/>
    <w:rsid w:val="002507BD"/>
    <w:rsid w:val="00251754"/>
    <w:rsid w:val="002541D4"/>
    <w:rsid w:val="00254276"/>
    <w:rsid w:val="00256FE6"/>
    <w:rsid w:val="002633ED"/>
    <w:rsid w:val="00267C4D"/>
    <w:rsid w:val="00267DBA"/>
    <w:rsid w:val="002741B6"/>
    <w:rsid w:val="002766E6"/>
    <w:rsid w:val="0027738C"/>
    <w:rsid w:val="00277EEE"/>
    <w:rsid w:val="00281E27"/>
    <w:rsid w:val="00283769"/>
    <w:rsid w:val="00287776"/>
    <w:rsid w:val="00290388"/>
    <w:rsid w:val="002903FF"/>
    <w:rsid w:val="00295BB1"/>
    <w:rsid w:val="00297F97"/>
    <w:rsid w:val="002A030D"/>
    <w:rsid w:val="002A0D32"/>
    <w:rsid w:val="002A5244"/>
    <w:rsid w:val="002B2A3E"/>
    <w:rsid w:val="002B2BA1"/>
    <w:rsid w:val="002B30A9"/>
    <w:rsid w:val="002B4721"/>
    <w:rsid w:val="002B618C"/>
    <w:rsid w:val="002B631C"/>
    <w:rsid w:val="002C0CBB"/>
    <w:rsid w:val="002C1BD4"/>
    <w:rsid w:val="002C1D20"/>
    <w:rsid w:val="002C212F"/>
    <w:rsid w:val="002C5554"/>
    <w:rsid w:val="002D3B36"/>
    <w:rsid w:val="002D45D3"/>
    <w:rsid w:val="002D4D2F"/>
    <w:rsid w:val="002E30ED"/>
    <w:rsid w:val="002E3393"/>
    <w:rsid w:val="002E37E8"/>
    <w:rsid w:val="002E3FE6"/>
    <w:rsid w:val="002E74D4"/>
    <w:rsid w:val="002F76D7"/>
    <w:rsid w:val="00301312"/>
    <w:rsid w:val="00301B48"/>
    <w:rsid w:val="003035C5"/>
    <w:rsid w:val="00307CD5"/>
    <w:rsid w:val="00315AE3"/>
    <w:rsid w:val="0032197B"/>
    <w:rsid w:val="0032275B"/>
    <w:rsid w:val="003230ED"/>
    <w:rsid w:val="00333460"/>
    <w:rsid w:val="003426FF"/>
    <w:rsid w:val="00344988"/>
    <w:rsid w:val="00346745"/>
    <w:rsid w:val="00347DB2"/>
    <w:rsid w:val="00351535"/>
    <w:rsid w:val="00356F31"/>
    <w:rsid w:val="0036330A"/>
    <w:rsid w:val="00374911"/>
    <w:rsid w:val="00374DEA"/>
    <w:rsid w:val="00380970"/>
    <w:rsid w:val="003817E4"/>
    <w:rsid w:val="00382EBC"/>
    <w:rsid w:val="003865B6"/>
    <w:rsid w:val="00386E29"/>
    <w:rsid w:val="0039199C"/>
    <w:rsid w:val="0039669C"/>
    <w:rsid w:val="003970D2"/>
    <w:rsid w:val="003A16B7"/>
    <w:rsid w:val="003A2C3B"/>
    <w:rsid w:val="003A3480"/>
    <w:rsid w:val="003A35B7"/>
    <w:rsid w:val="003A77FE"/>
    <w:rsid w:val="003B0522"/>
    <w:rsid w:val="003B1196"/>
    <w:rsid w:val="003B7B0F"/>
    <w:rsid w:val="003C41D7"/>
    <w:rsid w:val="003C5BEA"/>
    <w:rsid w:val="003C66EF"/>
    <w:rsid w:val="003D04B8"/>
    <w:rsid w:val="003D1608"/>
    <w:rsid w:val="003D3455"/>
    <w:rsid w:val="003E1B52"/>
    <w:rsid w:val="003E343D"/>
    <w:rsid w:val="003F11E6"/>
    <w:rsid w:val="003F1382"/>
    <w:rsid w:val="003F3C1A"/>
    <w:rsid w:val="003F5896"/>
    <w:rsid w:val="003F59EE"/>
    <w:rsid w:val="003F666C"/>
    <w:rsid w:val="004029C3"/>
    <w:rsid w:val="004054C6"/>
    <w:rsid w:val="00405550"/>
    <w:rsid w:val="0041037D"/>
    <w:rsid w:val="00411417"/>
    <w:rsid w:val="0041377C"/>
    <w:rsid w:val="00420010"/>
    <w:rsid w:val="0042067D"/>
    <w:rsid w:val="004213F9"/>
    <w:rsid w:val="00421E2F"/>
    <w:rsid w:val="004230D3"/>
    <w:rsid w:val="00425EC8"/>
    <w:rsid w:val="00434AC9"/>
    <w:rsid w:val="00442D56"/>
    <w:rsid w:val="00443D80"/>
    <w:rsid w:val="00444A71"/>
    <w:rsid w:val="00447244"/>
    <w:rsid w:val="0045081A"/>
    <w:rsid w:val="0045306F"/>
    <w:rsid w:val="00453E4E"/>
    <w:rsid w:val="00454FE6"/>
    <w:rsid w:val="0045584B"/>
    <w:rsid w:val="00456BA1"/>
    <w:rsid w:val="004579BA"/>
    <w:rsid w:val="00460846"/>
    <w:rsid w:val="004641E0"/>
    <w:rsid w:val="00466AFC"/>
    <w:rsid w:val="00467F1B"/>
    <w:rsid w:val="0047127B"/>
    <w:rsid w:val="004765EF"/>
    <w:rsid w:val="00483776"/>
    <w:rsid w:val="00485289"/>
    <w:rsid w:val="004852D6"/>
    <w:rsid w:val="0048559C"/>
    <w:rsid w:val="004914EE"/>
    <w:rsid w:val="004930E2"/>
    <w:rsid w:val="00494740"/>
    <w:rsid w:val="00495DC8"/>
    <w:rsid w:val="004975A6"/>
    <w:rsid w:val="004A0155"/>
    <w:rsid w:val="004A1772"/>
    <w:rsid w:val="004A1871"/>
    <w:rsid w:val="004A2C24"/>
    <w:rsid w:val="004A4191"/>
    <w:rsid w:val="004B1B1A"/>
    <w:rsid w:val="004B5BC5"/>
    <w:rsid w:val="004B67AC"/>
    <w:rsid w:val="004C14EF"/>
    <w:rsid w:val="004C2D07"/>
    <w:rsid w:val="004C4634"/>
    <w:rsid w:val="004D3E67"/>
    <w:rsid w:val="004D77EC"/>
    <w:rsid w:val="004E7CBD"/>
    <w:rsid w:val="004F0712"/>
    <w:rsid w:val="004F1612"/>
    <w:rsid w:val="004F2C20"/>
    <w:rsid w:val="004F57F5"/>
    <w:rsid w:val="004F58D4"/>
    <w:rsid w:val="00500CE2"/>
    <w:rsid w:val="00501746"/>
    <w:rsid w:val="00501B87"/>
    <w:rsid w:val="00503062"/>
    <w:rsid w:val="00512C3E"/>
    <w:rsid w:val="00512C59"/>
    <w:rsid w:val="0051320B"/>
    <w:rsid w:val="0051411A"/>
    <w:rsid w:val="00516FFF"/>
    <w:rsid w:val="0051710A"/>
    <w:rsid w:val="005209A0"/>
    <w:rsid w:val="00520B9B"/>
    <w:rsid w:val="00522EF4"/>
    <w:rsid w:val="005243C1"/>
    <w:rsid w:val="005252A8"/>
    <w:rsid w:val="00525768"/>
    <w:rsid w:val="00525C96"/>
    <w:rsid w:val="00525E07"/>
    <w:rsid w:val="00533896"/>
    <w:rsid w:val="00540BEF"/>
    <w:rsid w:val="00541DAD"/>
    <w:rsid w:val="005458E9"/>
    <w:rsid w:val="005547D0"/>
    <w:rsid w:val="005560D5"/>
    <w:rsid w:val="005565EC"/>
    <w:rsid w:val="00556683"/>
    <w:rsid w:val="00564665"/>
    <w:rsid w:val="00566A4D"/>
    <w:rsid w:val="005672E5"/>
    <w:rsid w:val="005678AD"/>
    <w:rsid w:val="00570EC7"/>
    <w:rsid w:val="005735B0"/>
    <w:rsid w:val="00573C24"/>
    <w:rsid w:val="00574F45"/>
    <w:rsid w:val="00575B3D"/>
    <w:rsid w:val="00581CC7"/>
    <w:rsid w:val="00583DAB"/>
    <w:rsid w:val="00590A90"/>
    <w:rsid w:val="00590B2B"/>
    <w:rsid w:val="0059194B"/>
    <w:rsid w:val="005950B3"/>
    <w:rsid w:val="00596842"/>
    <w:rsid w:val="005A05DF"/>
    <w:rsid w:val="005A10B8"/>
    <w:rsid w:val="005A34C9"/>
    <w:rsid w:val="005A3856"/>
    <w:rsid w:val="005A6DEA"/>
    <w:rsid w:val="005B03CD"/>
    <w:rsid w:val="005B10D5"/>
    <w:rsid w:val="005B20B7"/>
    <w:rsid w:val="005B3C20"/>
    <w:rsid w:val="005B7B7A"/>
    <w:rsid w:val="005C458D"/>
    <w:rsid w:val="005C6A3C"/>
    <w:rsid w:val="005D437B"/>
    <w:rsid w:val="005D43EE"/>
    <w:rsid w:val="005E19FE"/>
    <w:rsid w:val="005E25A2"/>
    <w:rsid w:val="005F4AFD"/>
    <w:rsid w:val="005F5A0D"/>
    <w:rsid w:val="005F6400"/>
    <w:rsid w:val="005F7730"/>
    <w:rsid w:val="00600DB7"/>
    <w:rsid w:val="006037B2"/>
    <w:rsid w:val="00603F03"/>
    <w:rsid w:val="00604923"/>
    <w:rsid w:val="0060608C"/>
    <w:rsid w:val="00614A94"/>
    <w:rsid w:val="00615B3B"/>
    <w:rsid w:val="0062182C"/>
    <w:rsid w:val="00621B6C"/>
    <w:rsid w:val="00621D0D"/>
    <w:rsid w:val="00622596"/>
    <w:rsid w:val="00624D25"/>
    <w:rsid w:val="006322F3"/>
    <w:rsid w:val="00634306"/>
    <w:rsid w:val="00634366"/>
    <w:rsid w:val="00637FDD"/>
    <w:rsid w:val="00640B2B"/>
    <w:rsid w:val="00642314"/>
    <w:rsid w:val="00643A59"/>
    <w:rsid w:val="00645503"/>
    <w:rsid w:val="00647D1B"/>
    <w:rsid w:val="00653AD3"/>
    <w:rsid w:val="00660EFA"/>
    <w:rsid w:val="00661771"/>
    <w:rsid w:val="006631DD"/>
    <w:rsid w:val="00665F01"/>
    <w:rsid w:val="00665F51"/>
    <w:rsid w:val="00670462"/>
    <w:rsid w:val="00673EF7"/>
    <w:rsid w:val="00674BA8"/>
    <w:rsid w:val="00680B82"/>
    <w:rsid w:val="006814BB"/>
    <w:rsid w:val="0068243A"/>
    <w:rsid w:val="0068395C"/>
    <w:rsid w:val="00683BBC"/>
    <w:rsid w:val="00684144"/>
    <w:rsid w:val="0068445A"/>
    <w:rsid w:val="0068793F"/>
    <w:rsid w:val="00694D33"/>
    <w:rsid w:val="006958AF"/>
    <w:rsid w:val="00697E78"/>
    <w:rsid w:val="006A2092"/>
    <w:rsid w:val="006A229E"/>
    <w:rsid w:val="006A4E61"/>
    <w:rsid w:val="006A63AB"/>
    <w:rsid w:val="006B163F"/>
    <w:rsid w:val="006B1732"/>
    <w:rsid w:val="006B5FEF"/>
    <w:rsid w:val="006B7C7B"/>
    <w:rsid w:val="006C0410"/>
    <w:rsid w:val="006C5C31"/>
    <w:rsid w:val="006D64B7"/>
    <w:rsid w:val="006D6E22"/>
    <w:rsid w:val="006E2650"/>
    <w:rsid w:val="006E2B9D"/>
    <w:rsid w:val="006E5BA3"/>
    <w:rsid w:val="006E5D84"/>
    <w:rsid w:val="006E63C1"/>
    <w:rsid w:val="006F56D0"/>
    <w:rsid w:val="00703E86"/>
    <w:rsid w:val="0070527D"/>
    <w:rsid w:val="00706AED"/>
    <w:rsid w:val="00710A81"/>
    <w:rsid w:val="0071104C"/>
    <w:rsid w:val="007117B8"/>
    <w:rsid w:val="007125DC"/>
    <w:rsid w:val="0071263F"/>
    <w:rsid w:val="00712E77"/>
    <w:rsid w:val="00714205"/>
    <w:rsid w:val="0071779C"/>
    <w:rsid w:val="00717988"/>
    <w:rsid w:val="0072045F"/>
    <w:rsid w:val="00720636"/>
    <w:rsid w:val="00726D42"/>
    <w:rsid w:val="00730A92"/>
    <w:rsid w:val="0073370D"/>
    <w:rsid w:val="0074000B"/>
    <w:rsid w:val="00741D93"/>
    <w:rsid w:val="00741DF4"/>
    <w:rsid w:val="00744B23"/>
    <w:rsid w:val="00745F73"/>
    <w:rsid w:val="00746EA0"/>
    <w:rsid w:val="00747917"/>
    <w:rsid w:val="0075220A"/>
    <w:rsid w:val="007553DA"/>
    <w:rsid w:val="0075573A"/>
    <w:rsid w:val="007559DF"/>
    <w:rsid w:val="007562EF"/>
    <w:rsid w:val="0076001E"/>
    <w:rsid w:val="007605DA"/>
    <w:rsid w:val="00762E8F"/>
    <w:rsid w:val="00763B60"/>
    <w:rsid w:val="00763F42"/>
    <w:rsid w:val="0076507D"/>
    <w:rsid w:val="00770CBD"/>
    <w:rsid w:val="00773823"/>
    <w:rsid w:val="00773AE2"/>
    <w:rsid w:val="007747F3"/>
    <w:rsid w:val="00775CF9"/>
    <w:rsid w:val="007760C5"/>
    <w:rsid w:val="00777000"/>
    <w:rsid w:val="00787DCA"/>
    <w:rsid w:val="00790F5F"/>
    <w:rsid w:val="00795351"/>
    <w:rsid w:val="00796680"/>
    <w:rsid w:val="0079777C"/>
    <w:rsid w:val="00797D8F"/>
    <w:rsid w:val="007B1386"/>
    <w:rsid w:val="007B17E3"/>
    <w:rsid w:val="007B3F6F"/>
    <w:rsid w:val="007B4A4C"/>
    <w:rsid w:val="007B6E51"/>
    <w:rsid w:val="007B769A"/>
    <w:rsid w:val="007C0978"/>
    <w:rsid w:val="007C46BE"/>
    <w:rsid w:val="007C4AD7"/>
    <w:rsid w:val="007C5209"/>
    <w:rsid w:val="007C76C7"/>
    <w:rsid w:val="007C7A65"/>
    <w:rsid w:val="007D07AB"/>
    <w:rsid w:val="007D67EF"/>
    <w:rsid w:val="007E069E"/>
    <w:rsid w:val="007E338D"/>
    <w:rsid w:val="007F3447"/>
    <w:rsid w:val="007F50B6"/>
    <w:rsid w:val="007F5D1F"/>
    <w:rsid w:val="007F789C"/>
    <w:rsid w:val="00803DE7"/>
    <w:rsid w:val="0080567C"/>
    <w:rsid w:val="0081137E"/>
    <w:rsid w:val="00812EB5"/>
    <w:rsid w:val="00816896"/>
    <w:rsid w:val="00817041"/>
    <w:rsid w:val="00821AB6"/>
    <w:rsid w:val="00821ACD"/>
    <w:rsid w:val="008228FA"/>
    <w:rsid w:val="00823DC7"/>
    <w:rsid w:val="00824BE4"/>
    <w:rsid w:val="00824C6F"/>
    <w:rsid w:val="0083195C"/>
    <w:rsid w:val="0083288A"/>
    <w:rsid w:val="00832A81"/>
    <w:rsid w:val="008347B3"/>
    <w:rsid w:val="00836B86"/>
    <w:rsid w:val="00844208"/>
    <w:rsid w:val="00844873"/>
    <w:rsid w:val="00845B46"/>
    <w:rsid w:val="00847697"/>
    <w:rsid w:val="00847E58"/>
    <w:rsid w:val="0085092F"/>
    <w:rsid w:val="00852613"/>
    <w:rsid w:val="00852FE5"/>
    <w:rsid w:val="008531F9"/>
    <w:rsid w:val="00855529"/>
    <w:rsid w:val="00867533"/>
    <w:rsid w:val="0087117D"/>
    <w:rsid w:val="008711AF"/>
    <w:rsid w:val="008759A8"/>
    <w:rsid w:val="00883196"/>
    <w:rsid w:val="00883372"/>
    <w:rsid w:val="00890AD1"/>
    <w:rsid w:val="00891F1D"/>
    <w:rsid w:val="008939FF"/>
    <w:rsid w:val="00893F66"/>
    <w:rsid w:val="008943F7"/>
    <w:rsid w:val="0089553F"/>
    <w:rsid w:val="008A1AF5"/>
    <w:rsid w:val="008A37AA"/>
    <w:rsid w:val="008A3CDE"/>
    <w:rsid w:val="008B0FAB"/>
    <w:rsid w:val="008B23F4"/>
    <w:rsid w:val="008B6ECE"/>
    <w:rsid w:val="008B6FFC"/>
    <w:rsid w:val="008B7278"/>
    <w:rsid w:val="008C1F29"/>
    <w:rsid w:val="008C2E1F"/>
    <w:rsid w:val="008C67E8"/>
    <w:rsid w:val="008D1ECA"/>
    <w:rsid w:val="008D214B"/>
    <w:rsid w:val="008D4D52"/>
    <w:rsid w:val="008D754A"/>
    <w:rsid w:val="008D7A10"/>
    <w:rsid w:val="008E033E"/>
    <w:rsid w:val="008E14B4"/>
    <w:rsid w:val="008E218C"/>
    <w:rsid w:val="008E248F"/>
    <w:rsid w:val="008E5589"/>
    <w:rsid w:val="008F1CD6"/>
    <w:rsid w:val="009114AF"/>
    <w:rsid w:val="00911534"/>
    <w:rsid w:val="009128F5"/>
    <w:rsid w:val="00913F79"/>
    <w:rsid w:val="00917E79"/>
    <w:rsid w:val="00922CBF"/>
    <w:rsid w:val="00922F4E"/>
    <w:rsid w:val="00926149"/>
    <w:rsid w:val="009261E0"/>
    <w:rsid w:val="00930CA6"/>
    <w:rsid w:val="00934233"/>
    <w:rsid w:val="009407D7"/>
    <w:rsid w:val="00940871"/>
    <w:rsid w:val="0094414A"/>
    <w:rsid w:val="0094434F"/>
    <w:rsid w:val="00944C2B"/>
    <w:rsid w:val="00946D63"/>
    <w:rsid w:val="0094774E"/>
    <w:rsid w:val="00951C53"/>
    <w:rsid w:val="009541CC"/>
    <w:rsid w:val="0095781C"/>
    <w:rsid w:val="0096069E"/>
    <w:rsid w:val="00961CE2"/>
    <w:rsid w:val="009636FE"/>
    <w:rsid w:val="009637C6"/>
    <w:rsid w:val="009661F4"/>
    <w:rsid w:val="00966515"/>
    <w:rsid w:val="00967DA4"/>
    <w:rsid w:val="0097194B"/>
    <w:rsid w:val="00973A81"/>
    <w:rsid w:val="00976C6E"/>
    <w:rsid w:val="0098117D"/>
    <w:rsid w:val="00983818"/>
    <w:rsid w:val="00983A8D"/>
    <w:rsid w:val="00987854"/>
    <w:rsid w:val="00987CD8"/>
    <w:rsid w:val="00990FF7"/>
    <w:rsid w:val="00994BB7"/>
    <w:rsid w:val="009979C7"/>
    <w:rsid w:val="009A1783"/>
    <w:rsid w:val="009A5A1B"/>
    <w:rsid w:val="009A6DAD"/>
    <w:rsid w:val="009B3D3A"/>
    <w:rsid w:val="009B40D9"/>
    <w:rsid w:val="009B5C77"/>
    <w:rsid w:val="009B5E08"/>
    <w:rsid w:val="009C03CD"/>
    <w:rsid w:val="009C24B8"/>
    <w:rsid w:val="009C7494"/>
    <w:rsid w:val="009E1574"/>
    <w:rsid w:val="009E2233"/>
    <w:rsid w:val="009E46A1"/>
    <w:rsid w:val="009E4C84"/>
    <w:rsid w:val="009E6045"/>
    <w:rsid w:val="009E693C"/>
    <w:rsid w:val="009F018B"/>
    <w:rsid w:val="009F16F4"/>
    <w:rsid w:val="009F56FE"/>
    <w:rsid w:val="00A0049F"/>
    <w:rsid w:val="00A00DF7"/>
    <w:rsid w:val="00A0268A"/>
    <w:rsid w:val="00A06744"/>
    <w:rsid w:val="00A10EEE"/>
    <w:rsid w:val="00A130F6"/>
    <w:rsid w:val="00A15FD7"/>
    <w:rsid w:val="00A20164"/>
    <w:rsid w:val="00A217CA"/>
    <w:rsid w:val="00A21974"/>
    <w:rsid w:val="00A2631C"/>
    <w:rsid w:val="00A328C4"/>
    <w:rsid w:val="00A32A50"/>
    <w:rsid w:val="00A33565"/>
    <w:rsid w:val="00A4094E"/>
    <w:rsid w:val="00A42389"/>
    <w:rsid w:val="00A42413"/>
    <w:rsid w:val="00A441A9"/>
    <w:rsid w:val="00A51928"/>
    <w:rsid w:val="00A561FA"/>
    <w:rsid w:val="00A600A2"/>
    <w:rsid w:val="00A64DC2"/>
    <w:rsid w:val="00A65650"/>
    <w:rsid w:val="00A67ADA"/>
    <w:rsid w:val="00A67E32"/>
    <w:rsid w:val="00A72E68"/>
    <w:rsid w:val="00A732A9"/>
    <w:rsid w:val="00A73645"/>
    <w:rsid w:val="00A73EE1"/>
    <w:rsid w:val="00A75C38"/>
    <w:rsid w:val="00A77435"/>
    <w:rsid w:val="00A838E2"/>
    <w:rsid w:val="00A8473C"/>
    <w:rsid w:val="00A84E8A"/>
    <w:rsid w:val="00A85EBA"/>
    <w:rsid w:val="00A87379"/>
    <w:rsid w:val="00A87532"/>
    <w:rsid w:val="00A932D6"/>
    <w:rsid w:val="00A9678F"/>
    <w:rsid w:val="00A972F6"/>
    <w:rsid w:val="00AA09CF"/>
    <w:rsid w:val="00AA1F1C"/>
    <w:rsid w:val="00AA56BB"/>
    <w:rsid w:val="00AA73CF"/>
    <w:rsid w:val="00AB0273"/>
    <w:rsid w:val="00AB5683"/>
    <w:rsid w:val="00AB78AF"/>
    <w:rsid w:val="00AC286D"/>
    <w:rsid w:val="00AC506A"/>
    <w:rsid w:val="00AC53ED"/>
    <w:rsid w:val="00AC5FDE"/>
    <w:rsid w:val="00AC5FE2"/>
    <w:rsid w:val="00AD1C44"/>
    <w:rsid w:val="00AD4909"/>
    <w:rsid w:val="00AD4AC3"/>
    <w:rsid w:val="00AD6F4D"/>
    <w:rsid w:val="00AD7F66"/>
    <w:rsid w:val="00AE186F"/>
    <w:rsid w:val="00AE1DF5"/>
    <w:rsid w:val="00AF4511"/>
    <w:rsid w:val="00AF4D97"/>
    <w:rsid w:val="00AF56DA"/>
    <w:rsid w:val="00AF5E16"/>
    <w:rsid w:val="00B027A8"/>
    <w:rsid w:val="00B05C39"/>
    <w:rsid w:val="00B0618F"/>
    <w:rsid w:val="00B1183D"/>
    <w:rsid w:val="00B131FA"/>
    <w:rsid w:val="00B15425"/>
    <w:rsid w:val="00B222F9"/>
    <w:rsid w:val="00B272CA"/>
    <w:rsid w:val="00B335F3"/>
    <w:rsid w:val="00B357F7"/>
    <w:rsid w:val="00B36719"/>
    <w:rsid w:val="00B369F8"/>
    <w:rsid w:val="00B463B5"/>
    <w:rsid w:val="00B53AE8"/>
    <w:rsid w:val="00B55173"/>
    <w:rsid w:val="00B56D95"/>
    <w:rsid w:val="00B57135"/>
    <w:rsid w:val="00B60FB3"/>
    <w:rsid w:val="00B61D60"/>
    <w:rsid w:val="00B639AA"/>
    <w:rsid w:val="00B63A49"/>
    <w:rsid w:val="00B66828"/>
    <w:rsid w:val="00B6735C"/>
    <w:rsid w:val="00B67861"/>
    <w:rsid w:val="00B715F9"/>
    <w:rsid w:val="00B737D7"/>
    <w:rsid w:val="00B76BBB"/>
    <w:rsid w:val="00B76F28"/>
    <w:rsid w:val="00B83EC7"/>
    <w:rsid w:val="00B9247D"/>
    <w:rsid w:val="00B928CA"/>
    <w:rsid w:val="00B92C7E"/>
    <w:rsid w:val="00B96447"/>
    <w:rsid w:val="00BA3E4F"/>
    <w:rsid w:val="00BA6AC2"/>
    <w:rsid w:val="00BB3B28"/>
    <w:rsid w:val="00BB4841"/>
    <w:rsid w:val="00BB7E97"/>
    <w:rsid w:val="00BC7199"/>
    <w:rsid w:val="00BC72FA"/>
    <w:rsid w:val="00BD01FF"/>
    <w:rsid w:val="00BD338F"/>
    <w:rsid w:val="00BD6454"/>
    <w:rsid w:val="00BD6A5B"/>
    <w:rsid w:val="00BD6B87"/>
    <w:rsid w:val="00BD72D3"/>
    <w:rsid w:val="00BD7362"/>
    <w:rsid w:val="00BE3023"/>
    <w:rsid w:val="00BE58DD"/>
    <w:rsid w:val="00BF141E"/>
    <w:rsid w:val="00BF7AA3"/>
    <w:rsid w:val="00C02985"/>
    <w:rsid w:val="00C058C7"/>
    <w:rsid w:val="00C06A5A"/>
    <w:rsid w:val="00C10E5C"/>
    <w:rsid w:val="00C11147"/>
    <w:rsid w:val="00C13C7D"/>
    <w:rsid w:val="00C16E7A"/>
    <w:rsid w:val="00C20A46"/>
    <w:rsid w:val="00C25AA6"/>
    <w:rsid w:val="00C304B0"/>
    <w:rsid w:val="00C361BE"/>
    <w:rsid w:val="00C363E0"/>
    <w:rsid w:val="00C3654C"/>
    <w:rsid w:val="00C3656A"/>
    <w:rsid w:val="00C41DBF"/>
    <w:rsid w:val="00C431ED"/>
    <w:rsid w:val="00C507BC"/>
    <w:rsid w:val="00C5485D"/>
    <w:rsid w:val="00C554F8"/>
    <w:rsid w:val="00C55BCE"/>
    <w:rsid w:val="00C562FA"/>
    <w:rsid w:val="00C56BC1"/>
    <w:rsid w:val="00C61EBB"/>
    <w:rsid w:val="00C620C3"/>
    <w:rsid w:val="00C654B9"/>
    <w:rsid w:val="00C71511"/>
    <w:rsid w:val="00C72F06"/>
    <w:rsid w:val="00C74195"/>
    <w:rsid w:val="00C74400"/>
    <w:rsid w:val="00C80B0D"/>
    <w:rsid w:val="00C81E89"/>
    <w:rsid w:val="00C82867"/>
    <w:rsid w:val="00C83F67"/>
    <w:rsid w:val="00C84EF8"/>
    <w:rsid w:val="00C85480"/>
    <w:rsid w:val="00CA603C"/>
    <w:rsid w:val="00CA6DDE"/>
    <w:rsid w:val="00CA7B3D"/>
    <w:rsid w:val="00CB024A"/>
    <w:rsid w:val="00CB06CB"/>
    <w:rsid w:val="00CB2C1F"/>
    <w:rsid w:val="00CB2E46"/>
    <w:rsid w:val="00CB5BAF"/>
    <w:rsid w:val="00CC1813"/>
    <w:rsid w:val="00CC4190"/>
    <w:rsid w:val="00CC4F7D"/>
    <w:rsid w:val="00CC7A66"/>
    <w:rsid w:val="00CC7E7C"/>
    <w:rsid w:val="00CD0010"/>
    <w:rsid w:val="00CD0125"/>
    <w:rsid w:val="00CD13B3"/>
    <w:rsid w:val="00CD28CC"/>
    <w:rsid w:val="00CD3909"/>
    <w:rsid w:val="00CD5D13"/>
    <w:rsid w:val="00CD70CF"/>
    <w:rsid w:val="00CE31F5"/>
    <w:rsid w:val="00CF1AE9"/>
    <w:rsid w:val="00CF4A17"/>
    <w:rsid w:val="00CF7114"/>
    <w:rsid w:val="00D01304"/>
    <w:rsid w:val="00D03333"/>
    <w:rsid w:val="00D048A2"/>
    <w:rsid w:val="00D050E2"/>
    <w:rsid w:val="00D05560"/>
    <w:rsid w:val="00D1218A"/>
    <w:rsid w:val="00D121F7"/>
    <w:rsid w:val="00D15994"/>
    <w:rsid w:val="00D23608"/>
    <w:rsid w:val="00D24A1C"/>
    <w:rsid w:val="00D2529B"/>
    <w:rsid w:val="00D26118"/>
    <w:rsid w:val="00D3018D"/>
    <w:rsid w:val="00D32822"/>
    <w:rsid w:val="00D333DF"/>
    <w:rsid w:val="00D377B9"/>
    <w:rsid w:val="00D5002A"/>
    <w:rsid w:val="00D5789C"/>
    <w:rsid w:val="00D65A21"/>
    <w:rsid w:val="00D66C59"/>
    <w:rsid w:val="00D70410"/>
    <w:rsid w:val="00D72D24"/>
    <w:rsid w:val="00D73000"/>
    <w:rsid w:val="00D74E66"/>
    <w:rsid w:val="00D76311"/>
    <w:rsid w:val="00D81AA7"/>
    <w:rsid w:val="00D82DAF"/>
    <w:rsid w:val="00D867E2"/>
    <w:rsid w:val="00D87540"/>
    <w:rsid w:val="00D877BE"/>
    <w:rsid w:val="00D9398F"/>
    <w:rsid w:val="00DA5698"/>
    <w:rsid w:val="00DA6000"/>
    <w:rsid w:val="00DB77CD"/>
    <w:rsid w:val="00DC0259"/>
    <w:rsid w:val="00DC1CD7"/>
    <w:rsid w:val="00DC240A"/>
    <w:rsid w:val="00DC7846"/>
    <w:rsid w:val="00DD1884"/>
    <w:rsid w:val="00DD43A2"/>
    <w:rsid w:val="00DD4C16"/>
    <w:rsid w:val="00DD6955"/>
    <w:rsid w:val="00DD727E"/>
    <w:rsid w:val="00DE035A"/>
    <w:rsid w:val="00DE1B2D"/>
    <w:rsid w:val="00DE2B92"/>
    <w:rsid w:val="00DE45DF"/>
    <w:rsid w:val="00DE7CE8"/>
    <w:rsid w:val="00DF0E60"/>
    <w:rsid w:val="00DF313B"/>
    <w:rsid w:val="00DF5E0A"/>
    <w:rsid w:val="00DF69EC"/>
    <w:rsid w:val="00DF6AAC"/>
    <w:rsid w:val="00DF7855"/>
    <w:rsid w:val="00E0064E"/>
    <w:rsid w:val="00E04006"/>
    <w:rsid w:val="00E058D6"/>
    <w:rsid w:val="00E11385"/>
    <w:rsid w:val="00E114AF"/>
    <w:rsid w:val="00E140BB"/>
    <w:rsid w:val="00E15A00"/>
    <w:rsid w:val="00E16549"/>
    <w:rsid w:val="00E17843"/>
    <w:rsid w:val="00E205F0"/>
    <w:rsid w:val="00E234F6"/>
    <w:rsid w:val="00E256F0"/>
    <w:rsid w:val="00E25DF3"/>
    <w:rsid w:val="00E273AB"/>
    <w:rsid w:val="00E31EC4"/>
    <w:rsid w:val="00E32F02"/>
    <w:rsid w:val="00E352E7"/>
    <w:rsid w:val="00E358F0"/>
    <w:rsid w:val="00E37480"/>
    <w:rsid w:val="00E375DC"/>
    <w:rsid w:val="00E42338"/>
    <w:rsid w:val="00E45D8B"/>
    <w:rsid w:val="00E46836"/>
    <w:rsid w:val="00E46E97"/>
    <w:rsid w:val="00E47673"/>
    <w:rsid w:val="00E47F08"/>
    <w:rsid w:val="00E549F1"/>
    <w:rsid w:val="00E55E11"/>
    <w:rsid w:val="00E57B42"/>
    <w:rsid w:val="00E601AA"/>
    <w:rsid w:val="00E60A82"/>
    <w:rsid w:val="00E61CB3"/>
    <w:rsid w:val="00E632A6"/>
    <w:rsid w:val="00E66576"/>
    <w:rsid w:val="00E7065D"/>
    <w:rsid w:val="00E73783"/>
    <w:rsid w:val="00E8216A"/>
    <w:rsid w:val="00E824AA"/>
    <w:rsid w:val="00E825CB"/>
    <w:rsid w:val="00E85E60"/>
    <w:rsid w:val="00E87E05"/>
    <w:rsid w:val="00E90B09"/>
    <w:rsid w:val="00E91EBD"/>
    <w:rsid w:val="00E92021"/>
    <w:rsid w:val="00E9674E"/>
    <w:rsid w:val="00E968E4"/>
    <w:rsid w:val="00E97B54"/>
    <w:rsid w:val="00E97D21"/>
    <w:rsid w:val="00EA0949"/>
    <w:rsid w:val="00EA15AE"/>
    <w:rsid w:val="00EA17E8"/>
    <w:rsid w:val="00EB0218"/>
    <w:rsid w:val="00EB0F99"/>
    <w:rsid w:val="00EB16E0"/>
    <w:rsid w:val="00EB2B6F"/>
    <w:rsid w:val="00EB583C"/>
    <w:rsid w:val="00EB5A5D"/>
    <w:rsid w:val="00ED2F54"/>
    <w:rsid w:val="00ED3B2B"/>
    <w:rsid w:val="00ED41B6"/>
    <w:rsid w:val="00ED5746"/>
    <w:rsid w:val="00ED6AB0"/>
    <w:rsid w:val="00EE1924"/>
    <w:rsid w:val="00EE44A6"/>
    <w:rsid w:val="00EF0E1D"/>
    <w:rsid w:val="00EF4D0E"/>
    <w:rsid w:val="00F00C10"/>
    <w:rsid w:val="00F01962"/>
    <w:rsid w:val="00F01F3B"/>
    <w:rsid w:val="00F03ACB"/>
    <w:rsid w:val="00F04868"/>
    <w:rsid w:val="00F0603B"/>
    <w:rsid w:val="00F072D4"/>
    <w:rsid w:val="00F07C31"/>
    <w:rsid w:val="00F10322"/>
    <w:rsid w:val="00F112D5"/>
    <w:rsid w:val="00F156F9"/>
    <w:rsid w:val="00F1626D"/>
    <w:rsid w:val="00F20D97"/>
    <w:rsid w:val="00F25BC8"/>
    <w:rsid w:val="00F40288"/>
    <w:rsid w:val="00F41F58"/>
    <w:rsid w:val="00F42487"/>
    <w:rsid w:val="00F43913"/>
    <w:rsid w:val="00F44408"/>
    <w:rsid w:val="00F51B53"/>
    <w:rsid w:val="00F554D4"/>
    <w:rsid w:val="00F5730E"/>
    <w:rsid w:val="00F64812"/>
    <w:rsid w:val="00F661E7"/>
    <w:rsid w:val="00F66DD8"/>
    <w:rsid w:val="00F67D5A"/>
    <w:rsid w:val="00F71027"/>
    <w:rsid w:val="00F74583"/>
    <w:rsid w:val="00F818ED"/>
    <w:rsid w:val="00F82AB7"/>
    <w:rsid w:val="00F830CD"/>
    <w:rsid w:val="00F83635"/>
    <w:rsid w:val="00F837C5"/>
    <w:rsid w:val="00F83DF7"/>
    <w:rsid w:val="00F84223"/>
    <w:rsid w:val="00F86946"/>
    <w:rsid w:val="00F90B60"/>
    <w:rsid w:val="00F91509"/>
    <w:rsid w:val="00FA0B81"/>
    <w:rsid w:val="00FB0AE9"/>
    <w:rsid w:val="00FB6FF8"/>
    <w:rsid w:val="00FC0DA5"/>
    <w:rsid w:val="00FC2F70"/>
    <w:rsid w:val="00FD10AB"/>
    <w:rsid w:val="00FD44CA"/>
    <w:rsid w:val="00FD59A8"/>
    <w:rsid w:val="00FE1E17"/>
    <w:rsid w:val="00FE23DE"/>
    <w:rsid w:val="00FE5ED9"/>
    <w:rsid w:val="00FE7567"/>
    <w:rsid w:val="00FE78FC"/>
    <w:rsid w:val="00FF0216"/>
    <w:rsid w:val="00FF1C28"/>
    <w:rsid w:val="00FF2112"/>
    <w:rsid w:val="00FF230F"/>
    <w:rsid w:val="00FF29AC"/>
    <w:rsid w:val="00FF3FBB"/>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14:docId w14:val="2E6C4D4B"/>
  <w15:chartTrackingRefBased/>
  <w15:docId w15:val="{95C235E7-E884-4E62-BDB5-AC3066B6B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106F80"/>
    <w:pPr>
      <w:jc w:val="both"/>
    </w:pPr>
    <w:rPr>
      <w:rFonts w:ascii="Arial" w:hAnsi="Arial"/>
      <w:sz w:val="24"/>
      <w:szCs w:val="24"/>
    </w:rPr>
  </w:style>
  <w:style w:styleId="Titre1" w:type="paragraph">
    <w:name w:val="heading 1"/>
    <w:basedOn w:val="Normal"/>
    <w:next w:val="Normal"/>
    <w:link w:val="Titre1Car"/>
    <w:uiPriority w:val="9"/>
    <w:qFormat/>
    <w:rsid w:val="00AD1C44"/>
    <w:pPr>
      <w:keepNext/>
      <w:keepLines/>
      <w:numPr>
        <w:numId w:val="2"/>
      </w:numPr>
      <w:tabs>
        <w:tab w:pos="1701" w:val="left"/>
      </w:tabs>
      <w:spacing w:after="120" w:before="360"/>
      <w:ind w:firstLine="0" w:left="0"/>
      <w:outlineLvl w:val="0"/>
    </w:pPr>
    <w:rPr>
      <w:b/>
      <w:bCs/>
      <w:color w:val="942667"/>
      <w:kern w:val="32"/>
      <w:sz w:val="26"/>
      <w:szCs w:val="32"/>
    </w:rPr>
  </w:style>
  <w:style w:styleId="Titre2" w:type="paragraph">
    <w:name w:val="heading 2"/>
    <w:basedOn w:val="Normal"/>
    <w:next w:val="Normal"/>
    <w:link w:val="Titre2Car"/>
    <w:uiPriority w:val="9"/>
    <w:unhideWhenUsed/>
    <w:qFormat/>
    <w:rsid w:val="00134D73"/>
    <w:pPr>
      <w:keepNext/>
      <w:keepLines/>
      <w:numPr>
        <w:numId w:val="3"/>
      </w:numPr>
      <w:tabs>
        <w:tab w:pos="1276" w:val="left"/>
      </w:tabs>
      <w:spacing w:after="120" w:before="240"/>
      <w:outlineLvl w:val="1"/>
    </w:pPr>
    <w:rPr>
      <w:rFonts w:cs="Arial"/>
      <w:b/>
    </w:rPr>
  </w:style>
  <w:style w:styleId="Titre3" w:type="paragraph">
    <w:name w:val="heading 3"/>
    <w:basedOn w:val="Titre2"/>
    <w:next w:val="Normal"/>
    <w:link w:val="Titre3Car"/>
    <w:uiPriority w:val="9"/>
    <w:unhideWhenUsed/>
    <w:qFormat/>
    <w:rsid w:val="00106F80"/>
    <w:pPr>
      <w:numPr>
        <w:numId w:val="0"/>
      </w:numPr>
      <w:outlineLvl w:val="2"/>
    </w:pPr>
    <w:rPr>
      <w:u w:val="single"/>
    </w:rPr>
  </w:style>
  <w:style w:styleId="Titre4" w:type="paragraph">
    <w:name w:val="heading 4"/>
    <w:basedOn w:val="Normal"/>
    <w:next w:val="Normal"/>
    <w:link w:val="Titre4Car"/>
    <w:uiPriority w:val="9"/>
    <w:unhideWhenUsed/>
    <w:qFormat/>
    <w:rsid w:val="001A27AD"/>
    <w:pPr>
      <w:numPr>
        <w:numId w:val="1"/>
      </w:numPr>
      <w:outlineLvl w:val="3"/>
    </w:pPr>
    <w:rPr>
      <w:rFonts w:cs="Arial"/>
    </w:rPr>
  </w:style>
  <w:style w:styleId="Titre5" w:type="paragraph">
    <w:name w:val="heading 5"/>
    <w:basedOn w:val="Normal"/>
    <w:next w:val="Normal"/>
    <w:link w:val="Titre5Car"/>
    <w:uiPriority w:val="9"/>
    <w:unhideWhenUsed/>
    <w:qFormat/>
    <w:rsid w:val="00BD6B87"/>
    <w:pPr>
      <w:spacing w:after="60" w:before="240"/>
      <w:outlineLvl w:val="4"/>
    </w:pPr>
    <w:rPr>
      <w:rFonts w:ascii="Calibri" w:hAnsi="Calibri"/>
      <w:b/>
      <w:bCs/>
      <w:i/>
      <w:iCs/>
      <w:sz w:val="28"/>
      <w:szCs w:val="26"/>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4Car" w:type="character">
    <w:name w:val="Titre 4 Car"/>
    <w:link w:val="Titre4"/>
    <w:uiPriority w:val="9"/>
    <w:rsid w:val="001A27AD"/>
    <w:rPr>
      <w:rFonts w:ascii="Arial" w:cs="Arial" w:hAnsi="Arial"/>
      <w:sz w:val="24"/>
      <w:szCs w:val="24"/>
    </w:rPr>
  </w:style>
  <w:style w:styleId="En-ttedetabledesmatires" w:type="paragraph">
    <w:name w:val="TOC Heading"/>
    <w:basedOn w:val="Titre1"/>
    <w:next w:val="Normal"/>
    <w:uiPriority w:val="39"/>
    <w:unhideWhenUsed/>
    <w:qFormat/>
    <w:rsid w:val="001B2C5C"/>
    <w:pPr>
      <w:numPr>
        <w:numId w:val="0"/>
      </w:numPr>
      <w:spacing w:after="0" w:line="259" w:lineRule="auto"/>
      <w:jc w:val="left"/>
      <w:outlineLvl w:val="9"/>
    </w:pPr>
    <w:rPr>
      <w:rFonts w:ascii="Calibri Light" w:hAnsi="Calibri Light"/>
      <w:b w:val="0"/>
      <w:bCs w:val="0"/>
      <w:color w:val="2F5496"/>
      <w:kern w:val="0"/>
    </w:rPr>
  </w:style>
  <w:style w:styleId="Textedebulles" w:type="paragraph">
    <w:name w:val="Balloon Text"/>
    <w:basedOn w:val="Normal"/>
    <w:semiHidden/>
    <w:rsid w:val="00196AF1"/>
    <w:rPr>
      <w:rFonts w:ascii="Tahoma" w:cs="Tahoma" w:hAnsi="Tahoma"/>
      <w:sz w:val="16"/>
      <w:szCs w:val="16"/>
    </w:rPr>
  </w:style>
  <w:style w:styleId="Grilledutableau" w:type="table">
    <w:name w:val="Table Grid"/>
    <w:basedOn w:val="TableauNormal"/>
    <w:uiPriority w:val="59"/>
    <w:rsid w:val="00283769"/>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styleId="TM3" w:type="paragraph">
    <w:name w:val="toc 3"/>
    <w:basedOn w:val="Normal"/>
    <w:next w:val="Normal"/>
    <w:autoRedefine/>
    <w:uiPriority w:val="39"/>
    <w:unhideWhenUsed/>
    <w:rsid w:val="001B2C5C"/>
    <w:pPr>
      <w:ind w:left="480"/>
    </w:pPr>
  </w:style>
  <w:style w:styleId="TM1" w:type="paragraph">
    <w:name w:val="toc 1"/>
    <w:basedOn w:val="Normal"/>
    <w:next w:val="Normal"/>
    <w:autoRedefine/>
    <w:uiPriority w:val="39"/>
    <w:unhideWhenUsed/>
    <w:rsid w:val="00E25DF3"/>
    <w:pPr>
      <w:tabs>
        <w:tab w:pos="1540" w:val="left"/>
        <w:tab w:pos="1778" w:val="left"/>
        <w:tab w:leader="dot" w:pos="9062" w:val="right"/>
      </w:tabs>
      <w:spacing w:before="120"/>
    </w:pPr>
    <w:rPr>
      <w:b/>
      <w:bCs/>
      <w:noProof/>
    </w:rPr>
  </w:style>
  <w:style w:customStyle="1" w:styleId="Titre2Car" w:type="character">
    <w:name w:val="Titre 2 Car"/>
    <w:link w:val="Titre2"/>
    <w:uiPriority w:val="9"/>
    <w:rsid w:val="00134D73"/>
    <w:rPr>
      <w:rFonts w:ascii="Arial" w:cs="Arial" w:hAnsi="Arial"/>
      <w:b/>
      <w:sz w:val="24"/>
      <w:szCs w:val="24"/>
    </w:rPr>
  </w:style>
  <w:style w:styleId="NormalWeb" w:type="paragraph">
    <w:name w:val="Normal (Web)"/>
    <w:basedOn w:val="Normal"/>
    <w:uiPriority w:val="99"/>
    <w:semiHidden/>
    <w:unhideWhenUsed/>
    <w:rsid w:val="003F1382"/>
    <w:pPr>
      <w:spacing w:after="100" w:afterAutospacing="1" w:before="100" w:beforeAutospacing="1"/>
    </w:pPr>
  </w:style>
  <w:style w:customStyle="1" w:styleId="Titre1Car" w:type="character">
    <w:name w:val="Titre 1 Car"/>
    <w:link w:val="Titre1"/>
    <w:uiPriority w:val="9"/>
    <w:rsid w:val="00AD1C44"/>
    <w:rPr>
      <w:rFonts w:ascii="Arial" w:hAnsi="Arial"/>
      <w:b/>
      <w:bCs/>
      <w:color w:val="942667"/>
      <w:kern w:val="32"/>
      <w:sz w:val="26"/>
      <w:szCs w:val="32"/>
    </w:rPr>
  </w:style>
  <w:style w:customStyle="1" w:styleId="Titre3Car" w:type="character">
    <w:name w:val="Titre 3 Car"/>
    <w:link w:val="Titre3"/>
    <w:uiPriority w:val="9"/>
    <w:rsid w:val="00106F80"/>
    <w:rPr>
      <w:rFonts w:ascii="Arial" w:cs="Arial" w:hAnsi="Arial"/>
      <w:b/>
      <w:sz w:val="24"/>
      <w:szCs w:val="24"/>
      <w:u w:val="single"/>
    </w:rPr>
  </w:style>
  <w:style w:customStyle="1" w:styleId="Puces1" w:type="numbering">
    <w:name w:val="Puces1"/>
    <w:basedOn w:val="Aucuneliste"/>
    <w:rsid w:val="001066BC"/>
    <w:pPr>
      <w:numPr>
        <w:numId w:val="4"/>
      </w:numPr>
    </w:pPr>
  </w:style>
  <w:style w:styleId="TM2" w:type="paragraph">
    <w:name w:val="toc 2"/>
    <w:basedOn w:val="Normal"/>
    <w:next w:val="Normal"/>
    <w:autoRedefine/>
    <w:uiPriority w:val="39"/>
    <w:unhideWhenUsed/>
    <w:rsid w:val="001B2C5C"/>
    <w:pPr>
      <w:ind w:left="240"/>
    </w:pPr>
  </w:style>
  <w:style w:customStyle="1" w:styleId="Titre5Car" w:type="character">
    <w:name w:val="Titre 5 Car"/>
    <w:link w:val="Titre5"/>
    <w:uiPriority w:val="9"/>
    <w:rsid w:val="00BD6B87"/>
    <w:rPr>
      <w:rFonts w:ascii="Calibri" w:hAnsi="Calibri"/>
      <w:b/>
      <w:bCs/>
      <w:i/>
      <w:iCs/>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640897">
      <w:bodyDiv w:val="1"/>
      <w:marLeft w:val="0"/>
      <w:marRight w:val="0"/>
      <w:marTop w:val="0"/>
      <w:marBottom w:val="0"/>
      <w:divBdr>
        <w:top w:val="none" w:sz="0" w:space="0" w:color="auto"/>
        <w:left w:val="none" w:sz="0" w:space="0" w:color="auto"/>
        <w:bottom w:val="none" w:sz="0" w:space="0" w:color="auto"/>
        <w:right w:val="none" w:sz="0" w:space="0" w:color="auto"/>
      </w:divBdr>
    </w:div>
    <w:div w:id="1155536885">
      <w:bodyDiv w:val="1"/>
      <w:marLeft w:val="0"/>
      <w:marRight w:val="0"/>
      <w:marTop w:val="0"/>
      <w:marBottom w:val="0"/>
      <w:divBdr>
        <w:top w:val="none" w:sz="0" w:space="0" w:color="auto"/>
        <w:left w:val="none" w:sz="0" w:space="0" w:color="auto"/>
        <w:bottom w:val="none" w:sz="0" w:space="0" w:color="auto"/>
        <w:right w:val="none" w:sz="0" w:space="0" w:color="auto"/>
      </w:divBdr>
    </w:div>
    <w:div w:id="1186018530">
      <w:bodyDiv w:val="1"/>
      <w:marLeft w:val="0"/>
      <w:marRight w:val="0"/>
      <w:marTop w:val="0"/>
      <w:marBottom w:val="0"/>
      <w:divBdr>
        <w:top w:val="none" w:sz="0" w:space="0" w:color="auto"/>
        <w:left w:val="none" w:sz="0" w:space="0" w:color="auto"/>
        <w:bottom w:val="none" w:sz="0" w:space="0" w:color="auto"/>
        <w:right w:val="none" w:sz="0" w:space="0" w:color="auto"/>
      </w:divBdr>
    </w:div>
    <w:div w:id="1420516929">
      <w:bodyDiv w:val="1"/>
      <w:marLeft w:val="0"/>
      <w:marRight w:val="0"/>
      <w:marTop w:val="0"/>
      <w:marBottom w:val="0"/>
      <w:divBdr>
        <w:top w:val="none" w:sz="0" w:space="0" w:color="auto"/>
        <w:left w:val="none" w:sz="0" w:space="0" w:color="auto"/>
        <w:bottom w:val="none" w:sz="0" w:space="0" w:color="auto"/>
        <w:right w:val="none" w:sz="0" w:space="0" w:color="auto"/>
      </w:divBdr>
      <w:divsChild>
        <w:div w:id="888103618">
          <w:marLeft w:val="0"/>
          <w:marRight w:val="0"/>
          <w:marTop w:val="0"/>
          <w:marBottom w:val="0"/>
          <w:divBdr>
            <w:top w:val="none" w:sz="0" w:space="0" w:color="auto"/>
            <w:left w:val="none" w:sz="0" w:space="0" w:color="auto"/>
            <w:bottom w:val="none" w:sz="0" w:space="0" w:color="auto"/>
            <w:right w:val="none" w:sz="0" w:space="0" w:color="auto"/>
          </w:divBdr>
          <w:divsChild>
            <w:div w:id="903417231">
              <w:marLeft w:val="0"/>
              <w:marRight w:val="0"/>
              <w:marTop w:val="0"/>
              <w:marBottom w:val="0"/>
              <w:divBdr>
                <w:top w:val="none" w:sz="0" w:space="0" w:color="auto"/>
                <w:left w:val="none" w:sz="0" w:space="0" w:color="auto"/>
                <w:bottom w:val="none" w:sz="0" w:space="0" w:color="auto"/>
                <w:right w:val="none" w:sz="0" w:space="0" w:color="auto"/>
              </w:divBdr>
              <w:divsChild>
                <w:div w:id="1732920283">
                  <w:marLeft w:val="0"/>
                  <w:marRight w:val="0"/>
                  <w:marTop w:val="0"/>
                  <w:marBottom w:val="0"/>
                  <w:divBdr>
                    <w:top w:val="none" w:sz="0" w:space="0" w:color="auto"/>
                    <w:left w:val="none" w:sz="0" w:space="0" w:color="auto"/>
                    <w:bottom w:val="none" w:sz="0" w:space="0" w:color="auto"/>
                    <w:right w:val="none" w:sz="0" w:space="0" w:color="auto"/>
                  </w:divBdr>
                  <w:divsChild>
                    <w:div w:id="227113308">
                      <w:marLeft w:val="0"/>
                      <w:marRight w:val="0"/>
                      <w:marTop w:val="0"/>
                      <w:marBottom w:val="0"/>
                      <w:divBdr>
                        <w:top w:val="none" w:sz="0" w:space="0" w:color="auto"/>
                        <w:left w:val="none" w:sz="0" w:space="0" w:color="auto"/>
                        <w:bottom w:val="none" w:sz="0" w:space="0" w:color="auto"/>
                        <w:right w:val="none" w:sz="0" w:space="0" w:color="auto"/>
                      </w:divBdr>
                      <w:divsChild>
                        <w:div w:id="591860290">
                          <w:marLeft w:val="0"/>
                          <w:marRight w:val="0"/>
                          <w:marTop w:val="0"/>
                          <w:marBottom w:val="0"/>
                          <w:divBdr>
                            <w:top w:val="none" w:sz="0" w:space="0" w:color="auto"/>
                            <w:left w:val="none" w:sz="0" w:space="0" w:color="auto"/>
                            <w:bottom w:val="none" w:sz="0" w:space="0" w:color="auto"/>
                            <w:right w:val="none" w:sz="0" w:space="0" w:color="auto"/>
                          </w:divBdr>
                          <w:divsChild>
                            <w:div w:id="668412188">
                              <w:marLeft w:val="0"/>
                              <w:marRight w:val="0"/>
                              <w:marTop w:val="0"/>
                              <w:marBottom w:val="0"/>
                              <w:divBdr>
                                <w:top w:val="none" w:sz="0" w:space="0" w:color="auto"/>
                                <w:left w:val="none" w:sz="0" w:space="0" w:color="auto"/>
                                <w:bottom w:val="none" w:sz="0" w:space="0" w:color="auto"/>
                                <w:right w:val="none" w:sz="0" w:space="0" w:color="auto"/>
                              </w:divBdr>
                              <w:divsChild>
                                <w:div w:id="10255551">
                                  <w:marLeft w:val="0"/>
                                  <w:marRight w:val="0"/>
                                  <w:marTop w:val="0"/>
                                  <w:marBottom w:val="0"/>
                                  <w:divBdr>
                                    <w:top w:val="none" w:sz="0" w:space="0" w:color="auto"/>
                                    <w:left w:val="none" w:sz="0" w:space="0" w:color="auto"/>
                                    <w:bottom w:val="none" w:sz="0" w:space="0" w:color="auto"/>
                                    <w:right w:val="none" w:sz="0" w:space="0" w:color="auto"/>
                                  </w:divBdr>
                                </w:div>
                                <w:div w:id="333461172">
                                  <w:marLeft w:val="0"/>
                                  <w:marRight w:val="0"/>
                                  <w:marTop w:val="0"/>
                                  <w:marBottom w:val="0"/>
                                  <w:divBdr>
                                    <w:top w:val="none" w:sz="0" w:space="0" w:color="auto"/>
                                    <w:left w:val="none" w:sz="0" w:space="0" w:color="auto"/>
                                    <w:bottom w:val="none" w:sz="0" w:space="0" w:color="auto"/>
                                    <w:right w:val="none" w:sz="0" w:space="0" w:color="auto"/>
                                  </w:divBdr>
                                </w:div>
                                <w:div w:id="63467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0077097">
      <w:bodyDiv w:val="1"/>
      <w:marLeft w:val="0"/>
      <w:marRight w:val="0"/>
      <w:marTop w:val="0"/>
      <w:marBottom w:val="0"/>
      <w:divBdr>
        <w:top w:val="none" w:sz="0" w:space="0" w:color="auto"/>
        <w:left w:val="none" w:sz="0" w:space="0" w:color="auto"/>
        <w:bottom w:val="none" w:sz="0" w:space="0" w:color="auto"/>
        <w:right w:val="none" w:sz="0" w:space="0" w:color="auto"/>
      </w:divBdr>
    </w:div>
    <w:div w:id="2110614354">
      <w:bodyDiv w:val="1"/>
      <w:marLeft w:val="0"/>
      <w:marRight w:val="0"/>
      <w:marTop w:val="0"/>
      <w:marBottom w:val="0"/>
      <w:divBdr>
        <w:top w:val="none" w:sz="0" w:space="0" w:color="auto"/>
        <w:left w:val="none" w:sz="0" w:space="0" w:color="auto"/>
        <w:bottom w:val="none" w:sz="0" w:space="0" w:color="auto"/>
        <w:right w:val="none" w:sz="0" w:space="0" w:color="auto"/>
      </w:divBdr>
      <w:divsChild>
        <w:div w:id="20670641">
          <w:marLeft w:val="0"/>
          <w:marRight w:val="0"/>
          <w:marTop w:val="150"/>
          <w:marBottom w:val="150"/>
          <w:divBdr>
            <w:top w:val="none" w:sz="0" w:space="0" w:color="auto"/>
            <w:left w:val="none" w:sz="0" w:space="0" w:color="auto"/>
            <w:bottom w:val="none" w:sz="0" w:space="0" w:color="auto"/>
            <w:right w:val="none" w:sz="0" w:space="0" w:color="auto"/>
          </w:divBdr>
          <w:divsChild>
            <w:div w:id="141446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ttps://www.legifrance.gouv.fr/codes/article_lc/LEGIARTI000038837123/" TargetMode="External" Type="http://schemas.openxmlformats.org/officeDocument/2006/relationships/hyperlink"/><Relationship Id="rId9" Target="footer1.xml" Type="http://schemas.openxmlformats.org/officeDocument/2006/relationships/foot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963C9-D278-4062-80C4-D959FF783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2614</Words>
  <Characters>14381</Characters>
  <Application>Microsoft Office Word</Application>
  <DocSecurity>0</DocSecurity>
  <Lines>119</Lines>
  <Paragraphs>33</Paragraphs>
  <ScaleCrop>false</ScaleCrop>
  <HeadingPairs>
    <vt:vector baseType="variant" size="2">
      <vt:variant>
        <vt:lpstr>Titre</vt:lpstr>
      </vt:variant>
      <vt:variant>
        <vt:i4>1</vt:i4>
      </vt:variant>
    </vt:vector>
  </HeadingPairs>
  <TitlesOfParts>
    <vt:vector baseType="lpstr" size="1">
      <vt:lpstr>REGLEMENT INTERIEUR DU COMITE D’ENTREPRISE DE MAYENNE HABITAT</vt:lpstr>
    </vt:vector>
  </TitlesOfParts>
  <Company>opdhlm</Company>
  <LinksUpToDate>false</LinksUpToDate>
  <CharactersWithSpaces>16962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2022-10-19T10:09:00Z</dcterms:created>
  <cp:lastPrinted>2022-10-19T14:56:00Z</cp:lastPrinted>
  <dcterms:modified xsi:type="dcterms:W3CDTF">2022-10-19T14:58:00Z</dcterms:modified>
  <cp:revision>4</cp:revision>
  <dc:title>REGLEMENT INTERIEUR DU COMITE D’ENTREPRISE DE MAYENNE HABITAT</dc:title>
</cp:coreProperties>
</file>