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pBdr>
          <w:top w:val="single" w:sz="18" w:space="1" w:color="333399"/>
          <w:left w:val="single" w:sz="18" w:space="4" w:color="333399"/>
          <w:bottom w:val="single" w:sz="18" w:space="1" w:color="333399"/>
          <w:right w:val="single" w:sz="18" w:space="4" w:color="333399"/>
        </w:pBdr>
        <w:tabs>
          <w:tab w:val="left" w:pos="4536" w:leader="none"/>
        </w:tabs>
        <w:spacing w:before="120" w:after="120"/>
        <w:rPr>
          <w:rFonts w:ascii="Arial" w:hAnsi="Arial" w:cs="Arial"/>
          <w:shadow/>
          <w:color w:val="333399"/>
          <w:sz w:val="40"/>
        </w:rPr>
      </w:pPr>
      <w:r>
        <w:rPr>
          <w:rFonts w:cs="Arial" w:ascii="Arial" w:hAnsi="Arial"/>
          <w:shadow/>
          <w:color w:val="333399"/>
          <w:sz w:val="40"/>
        </w:rPr>
        <w:t>ACCORD D’ENTREPRISE SUR LA REMUNERATION, LE TEMPS DE TRAVAIL ET LA REPARTITION DE LA VALEUR AJOUTEE</w:t>
      </w:r>
    </w:p>
    <w:p>
      <w:pPr>
        <w:pStyle w:val="Normal"/>
        <w:tabs>
          <w:tab w:val="left" w:pos="4536" w:leader="none"/>
        </w:tabs>
        <w:jc w:val="both"/>
        <w:rPr>
          <w:rFonts w:ascii="Arial" w:hAnsi="Arial" w:cs="Arial"/>
          <w:shadow/>
          <w:color w:val="333399"/>
          <w:sz w:val="40"/>
        </w:rPr>
      </w:pPr>
      <w:r>
        <w:rPr>
          <w:rFonts w:cs="Arial" w:ascii="Arial" w:hAnsi="Arial"/>
          <w:shadow/>
          <w:color w:val="333399"/>
          <w:sz w:val="40"/>
        </w:rPr>
      </w:r>
    </w:p>
    <w:p>
      <w:pPr>
        <w:pStyle w:val="Normal"/>
        <w:tabs>
          <w:tab w:val="left" w:pos="4536" w:leader="none"/>
        </w:tabs>
        <w:jc w:val="both"/>
        <w:rPr/>
      </w:pPr>
      <w:r>
        <w:rPr/>
      </w:r>
    </w:p>
    <w:p>
      <w:pPr>
        <w:pStyle w:val="Normal"/>
        <w:tabs>
          <w:tab w:val="left" w:pos="4536" w:leader="none"/>
        </w:tabs>
        <w:jc w:val="both"/>
        <w:rPr/>
      </w:pPr>
      <w:r>
        <w:rPr/>
      </w:r>
    </w:p>
    <w:p>
      <w:pPr>
        <w:pStyle w:val="Normal"/>
        <w:tabs>
          <w:tab w:val="left" w:pos="4536" w:leader="none"/>
        </w:tabs>
        <w:jc w:val="both"/>
        <w:rPr>
          <w:rFonts w:ascii="Arial" w:hAnsi="Arial" w:cs="Arial"/>
          <w:sz w:val="22"/>
          <w:szCs w:val="22"/>
        </w:rPr>
      </w:pPr>
      <w:r>
        <w:rPr>
          <w:rFonts w:cs="Arial" w:ascii="Arial" w:hAnsi="Arial"/>
          <w:sz w:val="22"/>
          <w:szCs w:val="22"/>
        </w:rPr>
        <w:t>Entre</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ind w:left="1080" w:hanging="0"/>
        <w:rPr/>
      </w:pPr>
      <w:r>
        <w:rPr>
          <w:rFonts w:cs="Arial" w:ascii="Arial" w:hAnsi="Arial"/>
          <w:b/>
          <w:bCs/>
          <w:color w:val="333399"/>
          <w:sz w:val="22"/>
          <w:szCs w:val="22"/>
        </w:rPr>
        <w:t xml:space="preserve">La Société thyssenkrupp Presta France S.A.S. </w:t>
      </w:r>
      <w:r>
        <w:rPr>
          <w:rFonts w:cs="Arial" w:ascii="Arial" w:hAnsi="Arial"/>
          <w:bCs/>
          <w:sz w:val="22"/>
          <w:szCs w:val="22"/>
        </w:rPr>
        <w:t>3, rue Pascal 57192 FLORANGE</w:t>
      </w:r>
      <w:r>
        <w:rPr>
          <w:rFonts w:cs="Arial" w:ascii="Arial" w:hAnsi="Arial"/>
          <w:sz w:val="22"/>
          <w:szCs w:val="22"/>
        </w:rPr>
        <w:t xml:space="preserve"> </w:t>
      </w:r>
    </w:p>
    <w:p>
      <w:pPr>
        <w:pStyle w:val="Normal"/>
        <w:tabs>
          <w:tab w:val="left" w:pos="4536" w:leader="none"/>
        </w:tabs>
        <w:ind w:left="1080" w:hanging="0"/>
        <w:jc w:val="both"/>
        <w:rPr/>
      </w:pPr>
      <w:r>
        <w:rPr>
          <w:rFonts w:cs="Arial" w:ascii="Arial" w:hAnsi="Arial"/>
          <w:sz w:val="22"/>
          <w:szCs w:val="22"/>
        </w:rPr>
        <w:t xml:space="preserve">représentée par,                                ,Directrice des Ressources Humaines </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d’une part,</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et</w:t>
      </w:r>
    </w:p>
    <w:p>
      <w:pPr>
        <w:pStyle w:val="Normal"/>
        <w:tabs>
          <w:tab w:val="left" w:pos="4536" w:leader="none"/>
        </w:tabs>
        <w:ind w:left="1080" w:hanging="0"/>
        <w:jc w:val="both"/>
        <w:rPr>
          <w:rFonts w:ascii="Arial" w:hAnsi="Arial" w:cs="Arial"/>
          <w:sz w:val="22"/>
          <w:szCs w:val="22"/>
        </w:rPr>
      </w:pPr>
      <w:r>
        <w:rPr>
          <w:rFonts w:cs="Arial" w:ascii="Arial" w:hAnsi="Arial"/>
          <w:b/>
          <w:bCs/>
          <w:color w:val="333399"/>
          <w:sz w:val="22"/>
          <w:szCs w:val="22"/>
        </w:rPr>
        <w:t xml:space="preserve">- La délégation CFDT, </w:t>
      </w:r>
      <w:r>
        <w:rPr>
          <w:rFonts w:cs="Arial" w:ascii="Arial" w:hAnsi="Arial"/>
          <w:sz w:val="22"/>
          <w:szCs w:val="22"/>
        </w:rPr>
        <w:t>représentée par</w:t>
      </w:r>
      <w:r>
        <w:rPr>
          <w:rFonts w:cs="Arial" w:ascii="Arial" w:hAnsi="Arial"/>
          <w:b/>
          <w:bCs/>
          <w:color w:val="333399"/>
          <w:sz w:val="22"/>
          <w:szCs w:val="22"/>
        </w:rPr>
        <w:t xml:space="preserve"> Monsieur, </w:t>
      </w:r>
      <w:r>
        <w:rPr>
          <w:rFonts w:cs="Arial" w:ascii="Arial" w:hAnsi="Arial"/>
          <w:sz w:val="22"/>
          <w:szCs w:val="22"/>
        </w:rPr>
        <w:t>Délégué Syndical</w:t>
      </w:r>
    </w:p>
    <w:p>
      <w:pPr>
        <w:pStyle w:val="Normal"/>
        <w:tabs>
          <w:tab w:val="left" w:pos="4536" w:leader="none"/>
        </w:tabs>
        <w:ind w:left="1080" w:hanging="0"/>
        <w:jc w:val="both"/>
        <w:rPr>
          <w:rFonts w:ascii="Arial" w:hAnsi="Arial" w:cs="Arial"/>
          <w:sz w:val="22"/>
          <w:szCs w:val="22"/>
        </w:rPr>
      </w:pPr>
      <w:r>
        <w:rPr>
          <w:rFonts w:cs="Arial" w:ascii="Arial" w:hAnsi="Arial"/>
          <w:sz w:val="22"/>
          <w:szCs w:val="22"/>
        </w:rPr>
      </w:r>
    </w:p>
    <w:p>
      <w:pPr>
        <w:pStyle w:val="Normal"/>
        <w:tabs>
          <w:tab w:val="left" w:pos="4536" w:leader="none"/>
        </w:tabs>
        <w:ind w:left="1080" w:hanging="0"/>
        <w:jc w:val="both"/>
        <w:rPr>
          <w:rFonts w:ascii="Arial" w:hAnsi="Arial" w:cs="Arial"/>
          <w:sz w:val="22"/>
          <w:szCs w:val="22"/>
        </w:rPr>
      </w:pPr>
      <w:r>
        <w:rPr>
          <w:rFonts w:cs="Arial" w:ascii="Arial" w:hAnsi="Arial"/>
          <w:b/>
          <w:bCs/>
          <w:color w:val="333399"/>
          <w:sz w:val="22"/>
          <w:szCs w:val="22"/>
        </w:rPr>
        <w:t xml:space="preserve">- La délégation CGT, </w:t>
      </w:r>
      <w:r>
        <w:rPr>
          <w:rFonts w:cs="Arial" w:ascii="Arial" w:hAnsi="Arial"/>
          <w:bCs/>
          <w:sz w:val="22"/>
          <w:szCs w:val="22"/>
        </w:rPr>
        <w:t>représentée par</w:t>
      </w:r>
      <w:r>
        <w:rPr>
          <w:rFonts w:cs="Arial" w:ascii="Arial" w:hAnsi="Arial"/>
          <w:b/>
          <w:bCs/>
          <w:color w:val="333399"/>
          <w:sz w:val="22"/>
          <w:szCs w:val="22"/>
        </w:rPr>
        <w:t xml:space="preserve"> Monsieur, </w:t>
      </w:r>
      <w:r>
        <w:rPr>
          <w:rFonts w:cs="Arial" w:ascii="Arial" w:hAnsi="Arial"/>
          <w:bCs/>
          <w:sz w:val="22"/>
          <w:szCs w:val="22"/>
        </w:rPr>
        <w:t>Délégué Syndical</w:t>
      </w:r>
    </w:p>
    <w:p>
      <w:pPr>
        <w:pStyle w:val="Normal"/>
        <w:tabs>
          <w:tab w:val="left" w:pos="4536" w:leader="none"/>
        </w:tabs>
        <w:ind w:left="1080" w:hanging="0"/>
        <w:jc w:val="both"/>
        <w:rPr>
          <w:rFonts w:ascii="Arial" w:hAnsi="Arial" w:cs="Arial"/>
          <w:sz w:val="22"/>
          <w:szCs w:val="22"/>
        </w:rPr>
      </w:pPr>
      <w:r>
        <w:rPr>
          <w:rFonts w:cs="Arial" w:ascii="Arial" w:hAnsi="Arial"/>
          <w:sz w:val="22"/>
          <w:szCs w:val="22"/>
        </w:rPr>
      </w:r>
    </w:p>
    <w:p>
      <w:pPr>
        <w:pStyle w:val="Normal"/>
        <w:tabs>
          <w:tab w:val="left" w:pos="4536" w:leader="none"/>
        </w:tabs>
        <w:ind w:left="1080" w:hanging="0"/>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bCs/>
          <w:sz w:val="22"/>
          <w:szCs w:val="22"/>
        </w:rPr>
      </w:pPr>
      <w:r>
        <w:rPr>
          <w:rFonts w:cs="Arial" w:ascii="Arial" w:hAnsi="Arial"/>
          <w:bCs/>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d’autre part,</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a été convenu le présent accord relatif à l’aménagement du temps de travail et sur les rémunérations, conformément aux dispositions des articles L.2242-5 à L.2242-7 du Code du Travail relatifs à la Négociation Collective Obligatoire.</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b/>
          <w:b/>
          <w:color w:val="333399"/>
          <w:sz w:val="22"/>
          <w:szCs w:val="22"/>
        </w:rPr>
      </w:pPr>
      <w:r>
        <w:rPr>
          <w:rFonts w:cs="Arial" w:ascii="Arial" w:hAnsi="Arial"/>
          <w:b/>
          <w:color w:val="333399"/>
          <w:sz w:val="22"/>
          <w:szCs w:val="22"/>
        </w:rPr>
        <w:t>Préambule</w:t>
      </w:r>
    </w:p>
    <w:p>
      <w:pPr>
        <w:pStyle w:val="Normal"/>
        <w:tabs>
          <w:tab w:val="left" w:pos="4536" w:leader="none"/>
        </w:tabs>
        <w:jc w:val="both"/>
        <w:rPr>
          <w:rFonts w:ascii="Arial" w:hAnsi="Arial" w:cs="Arial"/>
          <w:b/>
          <w:b/>
          <w:color w:val="333399"/>
          <w:sz w:val="22"/>
          <w:szCs w:val="22"/>
        </w:rPr>
      </w:pPr>
      <w:r>
        <w:rPr>
          <w:rFonts w:cs="Arial" w:ascii="Arial" w:hAnsi="Arial"/>
          <w:b/>
          <w:color w:val="333399"/>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Le présent accord s’inscrit dans le cadre de la préservation de la compétitivité de l’entreprise.</w:t>
      </w:r>
    </w:p>
    <w:p>
      <w:pPr>
        <w:pStyle w:val="Normal"/>
        <w:tabs>
          <w:tab w:val="left" w:pos="4536" w:leader="none"/>
        </w:tabs>
        <w:jc w:val="both"/>
        <w:rPr/>
      </w:pPr>
      <w:r>
        <w:rPr>
          <w:rFonts w:cs="Arial" w:ascii="Arial" w:hAnsi="Arial"/>
          <w:sz w:val="22"/>
          <w:szCs w:val="22"/>
        </w:rPr>
        <w:t>Il doit permettre d’atteindre les objectifs opérationnels et budgétaires, et proposer une politique salariale équitable et motivante pour les salariés.</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Heading6"/>
        <w:numPr>
          <w:ilvl w:val="5"/>
          <w:numId w:val="1"/>
        </w:numPr>
        <w:tabs>
          <w:tab w:val="left" w:pos="4536" w:leader="none"/>
        </w:tabs>
        <w:rPr>
          <w:rFonts w:ascii="Arial" w:hAnsi="Arial" w:cs="Arial"/>
          <w:bCs/>
          <w:i w:val="false"/>
          <w:i w:val="false"/>
          <w:sz w:val="22"/>
          <w:szCs w:val="22"/>
        </w:rPr>
      </w:pPr>
      <w:r>
        <w:rPr>
          <w:rFonts w:cs="Arial" w:ascii="Arial" w:hAnsi="Arial"/>
          <w:bCs/>
          <w:i w:val="false"/>
          <w:sz w:val="22"/>
          <w:szCs w:val="22"/>
        </w:rPr>
        <w:t>Article 1er</w:t>
      </w:r>
      <w:r>
        <w:rPr>
          <w:rFonts w:cs="Arial" w:ascii="Arial" w:hAnsi="Arial"/>
          <w:bCs/>
          <w:i w:val="false"/>
          <w:sz w:val="22"/>
          <w:szCs w:val="22"/>
          <w:u w:val="none"/>
        </w:rPr>
        <w:t> : Champ d’application et durée</w:t>
      </w:r>
    </w:p>
    <w:p>
      <w:pPr>
        <w:pStyle w:val="Normal"/>
        <w:tabs>
          <w:tab w:val="left" w:pos="4536" w:leader="none"/>
        </w:tabs>
        <w:jc w:val="both"/>
        <w:rPr>
          <w:rFonts w:ascii="Arial" w:hAnsi="Arial" w:cs="Arial"/>
          <w:bCs/>
          <w:i/>
          <w:i/>
          <w:sz w:val="22"/>
          <w:szCs w:val="22"/>
        </w:rPr>
      </w:pPr>
      <w:r>
        <w:rPr>
          <w:rFonts w:cs="Arial" w:ascii="Arial" w:hAnsi="Arial"/>
          <w:bCs/>
          <w:i/>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Le présent accord s’applique à l’ensemble des salariés de la société, présents à l’effectif le 1</w:t>
      </w:r>
      <w:r>
        <w:rPr>
          <w:rFonts w:cs="Arial" w:ascii="Arial" w:hAnsi="Arial"/>
          <w:sz w:val="22"/>
          <w:szCs w:val="22"/>
          <w:vertAlign w:val="superscript"/>
        </w:rPr>
        <w:t>er</w:t>
      </w:r>
      <w:r>
        <w:rPr>
          <w:rFonts w:cs="Arial" w:ascii="Arial" w:hAnsi="Arial"/>
          <w:sz w:val="22"/>
          <w:szCs w:val="22"/>
        </w:rPr>
        <w:t xml:space="preserve"> Janvier 2022.</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Il est conclu pour une durée indéterminée ; seules les dispositions ponctuelles pour lesquelles la précision est apportée dans le texte, sont conclues à durée déterminée.</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Toutes les clauses des précédents accords d’entreprise non modifiées par le présent accord, continuent de s’appliquer.</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pPr>
      <w:r>
        <w:rPr/>
      </w:r>
    </w:p>
    <w:p>
      <w:pPr>
        <w:pStyle w:val="Heading6"/>
        <w:numPr>
          <w:ilvl w:val="5"/>
          <w:numId w:val="1"/>
        </w:numPr>
        <w:tabs>
          <w:tab w:val="left" w:pos="4536" w:leader="none"/>
        </w:tabs>
        <w:rPr>
          <w:rFonts w:ascii="Arial" w:hAnsi="Arial" w:cs="Arial"/>
          <w:bCs/>
          <w:i w:val="false"/>
          <w:i w:val="false"/>
          <w:sz w:val="22"/>
          <w:szCs w:val="22"/>
        </w:rPr>
      </w:pPr>
      <w:r>
        <w:rPr>
          <w:rFonts w:cs="Arial" w:ascii="Arial" w:hAnsi="Arial"/>
          <w:bCs/>
          <w:i w:val="false"/>
          <w:sz w:val="22"/>
          <w:szCs w:val="22"/>
        </w:rPr>
        <w:t>Article 2</w:t>
      </w:r>
      <w:r>
        <w:rPr>
          <w:rFonts w:cs="Arial" w:ascii="Arial" w:hAnsi="Arial"/>
          <w:bCs/>
          <w:i w:val="false"/>
          <w:sz w:val="22"/>
          <w:szCs w:val="22"/>
          <w:u w:val="none"/>
        </w:rPr>
        <w:t> : Mesures salariales</w:t>
      </w:r>
    </w:p>
    <w:p>
      <w:pPr>
        <w:pStyle w:val="Normal"/>
        <w:tabs>
          <w:tab w:val="left" w:pos="540" w:leader="none"/>
        </w:tabs>
        <w:jc w:val="both"/>
        <w:rPr/>
      </w:pPr>
      <w:r>
        <w:rPr>
          <w:rFonts w:cs="Arial" w:ascii="Arial" w:hAnsi="Arial"/>
          <w:sz w:val="22"/>
          <w:szCs w:val="22"/>
        </w:rPr>
        <w:tab/>
        <w:t xml:space="preserve">   </w:t>
      </w:r>
      <w:r>
        <w:rPr>
          <w:rFonts w:cs="Arial" w:ascii="Arial" w:hAnsi="Arial"/>
          <w:b/>
          <w:bCs/>
          <w:color w:val="333399"/>
          <w:sz w:val="22"/>
          <w:szCs w:val="22"/>
        </w:rPr>
        <w:t>2.1 Ouvriers et ETAM</w:t>
      </w:r>
    </w:p>
    <w:p>
      <w:pPr>
        <w:pStyle w:val="Normal"/>
        <w:tabs>
          <w:tab w:val="left" w:pos="4536" w:leader="none"/>
        </w:tabs>
        <w:ind w:firstLine="709"/>
        <w:jc w:val="both"/>
        <w:rPr>
          <w:rFonts w:ascii="Arial" w:hAnsi="Arial" w:cs="Arial"/>
          <w:b/>
          <w:b/>
          <w:bCs/>
          <w:sz w:val="22"/>
          <w:szCs w:val="22"/>
        </w:rPr>
      </w:pPr>
      <w:r>
        <w:rPr>
          <w:rFonts w:cs="Arial" w:ascii="Arial" w:hAnsi="Arial"/>
          <w:b/>
          <w:bCs/>
          <w:sz w:val="22"/>
          <w:szCs w:val="22"/>
        </w:rPr>
        <w:t>2.1.1 Augmentation générale :</w:t>
      </w:r>
    </w:p>
    <w:p>
      <w:pPr>
        <w:pStyle w:val="Normal"/>
        <w:tabs>
          <w:tab w:val="left" w:pos="4536" w:leader="none"/>
        </w:tabs>
        <w:jc w:val="both"/>
        <w:rPr>
          <w:rFonts w:ascii="Arial" w:hAnsi="Arial" w:cs="Arial"/>
          <w:b/>
          <w:b/>
          <w:bCs/>
          <w:sz w:val="22"/>
          <w:szCs w:val="22"/>
        </w:rPr>
      </w:pPr>
      <w:r>
        <w:rPr>
          <w:rFonts w:cs="Arial" w:ascii="Arial" w:hAnsi="Arial"/>
          <w:b/>
          <w:bCs/>
          <w:sz w:val="22"/>
          <w:szCs w:val="22"/>
        </w:rPr>
      </w:r>
    </w:p>
    <w:p>
      <w:pPr>
        <w:pStyle w:val="Normal"/>
        <w:tabs>
          <w:tab w:val="left" w:pos="4536" w:leader="none"/>
        </w:tabs>
        <w:jc w:val="both"/>
        <w:rPr>
          <w:rFonts w:ascii="Arial" w:hAnsi="Arial" w:cs="Arial"/>
          <w:bCs/>
          <w:sz w:val="22"/>
          <w:szCs w:val="22"/>
        </w:rPr>
      </w:pPr>
      <w:r>
        <w:rPr>
          <w:rFonts w:cs="Arial" w:ascii="Arial" w:hAnsi="Arial"/>
          <w:bCs/>
          <w:sz w:val="22"/>
          <w:szCs w:val="22"/>
        </w:rPr>
        <w:t xml:space="preserve">Les salaires mensuels de base sont revalorisés de </w:t>
      </w:r>
      <w:r>
        <w:rPr>
          <w:rFonts w:cs="Arial" w:ascii="Arial" w:hAnsi="Arial"/>
          <w:b/>
          <w:bCs/>
          <w:sz w:val="22"/>
          <w:szCs w:val="22"/>
        </w:rPr>
        <w:t>2.3% avec un talon de 50 €</w:t>
      </w:r>
      <w:r>
        <w:rPr>
          <w:rFonts w:cs="Arial" w:ascii="Arial" w:hAnsi="Arial"/>
          <w:bCs/>
          <w:sz w:val="22"/>
          <w:szCs w:val="22"/>
        </w:rPr>
        <w:t xml:space="preserve"> (cinquante euros) applicable sur la paie de Février 2022 </w:t>
      </w:r>
      <w:r>
        <w:rPr>
          <w:rFonts w:cs="Arial" w:ascii="Arial" w:hAnsi="Arial"/>
          <w:b/>
          <w:bCs/>
          <w:sz w:val="22"/>
          <w:szCs w:val="22"/>
        </w:rPr>
        <w:t>avec effet rétroactif au 1</w:t>
      </w:r>
      <w:r>
        <w:rPr>
          <w:rFonts w:cs="Arial" w:ascii="Arial" w:hAnsi="Arial"/>
          <w:b/>
          <w:bCs/>
          <w:sz w:val="22"/>
          <w:szCs w:val="22"/>
          <w:vertAlign w:val="superscript"/>
        </w:rPr>
        <w:t>er</w:t>
      </w:r>
      <w:r>
        <w:rPr>
          <w:rFonts w:cs="Arial" w:ascii="Arial" w:hAnsi="Arial"/>
          <w:b/>
          <w:bCs/>
          <w:sz w:val="22"/>
          <w:szCs w:val="22"/>
        </w:rPr>
        <w:t xml:space="preserve"> Janvier 2022</w:t>
      </w:r>
      <w:r>
        <w:rPr>
          <w:rFonts w:cs="Arial" w:ascii="Arial" w:hAnsi="Arial"/>
          <w:bCs/>
          <w:sz w:val="22"/>
          <w:szCs w:val="22"/>
        </w:rPr>
        <w:t xml:space="preserve">. </w:t>
      </w:r>
    </w:p>
    <w:p>
      <w:pPr>
        <w:pStyle w:val="Normal"/>
        <w:tabs>
          <w:tab w:val="left" w:pos="4536" w:leader="none"/>
        </w:tabs>
        <w:jc w:val="both"/>
        <w:rPr>
          <w:rFonts w:ascii="Arial" w:hAnsi="Arial" w:cs="Arial"/>
          <w:bCs/>
          <w:sz w:val="22"/>
          <w:szCs w:val="22"/>
        </w:rPr>
      </w:pPr>
      <w:r>
        <w:rPr>
          <w:rFonts w:cs="Arial" w:ascii="Arial" w:hAnsi="Arial"/>
          <w:bCs/>
          <w:sz w:val="22"/>
          <w:szCs w:val="22"/>
        </w:rPr>
      </w:r>
    </w:p>
    <w:p>
      <w:pPr>
        <w:pStyle w:val="Normal"/>
        <w:tabs>
          <w:tab w:val="left" w:pos="4536" w:leader="none"/>
        </w:tabs>
        <w:ind w:firstLine="709"/>
        <w:jc w:val="both"/>
        <w:rPr>
          <w:rFonts w:ascii="Arial" w:hAnsi="Arial" w:cs="Arial"/>
          <w:b/>
          <w:b/>
          <w:bCs/>
          <w:sz w:val="22"/>
          <w:szCs w:val="22"/>
        </w:rPr>
      </w:pPr>
      <w:r>
        <w:rPr>
          <w:rFonts w:cs="Arial" w:ascii="Arial" w:hAnsi="Arial"/>
          <w:b/>
          <w:bCs/>
          <w:sz w:val="22"/>
          <w:szCs w:val="22"/>
        </w:rPr>
        <w:t>2.1.2 Augmentations individuelles et promotions :</w:t>
      </w:r>
    </w:p>
    <w:p>
      <w:pPr>
        <w:pStyle w:val="Normal"/>
        <w:tabs>
          <w:tab w:val="left" w:pos="4536" w:leader="none"/>
        </w:tabs>
        <w:jc w:val="both"/>
        <w:rPr>
          <w:rFonts w:ascii="Arial" w:hAnsi="Arial" w:cs="Arial"/>
          <w:b/>
          <w:b/>
          <w:bCs/>
          <w:sz w:val="22"/>
          <w:szCs w:val="22"/>
        </w:rPr>
      </w:pPr>
      <w:r>
        <w:rPr>
          <w:rFonts w:cs="Arial" w:ascii="Arial" w:hAnsi="Arial"/>
          <w:b/>
          <w:bCs/>
          <w:sz w:val="22"/>
          <w:szCs w:val="22"/>
        </w:rPr>
      </w:r>
    </w:p>
    <w:p>
      <w:pPr>
        <w:pStyle w:val="Normal"/>
        <w:tabs>
          <w:tab w:val="left" w:pos="4536" w:leader="none"/>
        </w:tabs>
        <w:jc w:val="both"/>
        <w:rPr/>
      </w:pPr>
      <w:r>
        <w:rPr>
          <w:rFonts w:cs="Arial" w:ascii="Arial" w:hAnsi="Arial"/>
          <w:bCs/>
          <w:sz w:val="22"/>
          <w:szCs w:val="22"/>
        </w:rPr>
        <w:t xml:space="preserve">Un budget de </w:t>
      </w:r>
      <w:r>
        <w:rPr>
          <w:rFonts w:cs="Arial" w:ascii="Arial" w:hAnsi="Arial"/>
          <w:b/>
          <w:bCs/>
          <w:sz w:val="22"/>
          <w:szCs w:val="22"/>
        </w:rPr>
        <w:t>0.5%</w:t>
      </w:r>
      <w:r>
        <w:rPr>
          <w:rFonts w:cs="Arial" w:ascii="Arial" w:hAnsi="Arial"/>
          <w:bCs/>
          <w:sz w:val="22"/>
          <w:szCs w:val="22"/>
        </w:rPr>
        <w:t xml:space="preserve"> de la masse salariale du mois de Décembre 2021 des catégories concernées, est consacré aux augmentations individuelles et promotions avec changement de classification.</w:t>
      </w:r>
    </w:p>
    <w:p>
      <w:pPr>
        <w:pStyle w:val="Normal"/>
        <w:tabs>
          <w:tab w:val="left" w:pos="4536" w:leader="none"/>
        </w:tabs>
        <w:jc w:val="both"/>
        <w:rPr>
          <w:rFonts w:ascii="Arial" w:hAnsi="Arial" w:cs="Arial"/>
          <w:bCs/>
          <w:sz w:val="22"/>
          <w:szCs w:val="22"/>
        </w:rPr>
      </w:pPr>
      <w:r>
        <w:rPr>
          <w:rFonts w:cs="Arial" w:ascii="Arial" w:hAnsi="Arial"/>
          <w:bCs/>
          <w:sz w:val="22"/>
          <w:szCs w:val="22"/>
        </w:rPr>
        <w:t xml:space="preserve">Ces mesures sont applicables </w:t>
      </w:r>
      <w:r>
        <w:rPr>
          <w:rFonts w:cs="Arial" w:ascii="Arial" w:hAnsi="Arial"/>
          <w:b/>
          <w:bCs/>
          <w:sz w:val="22"/>
          <w:szCs w:val="22"/>
        </w:rPr>
        <w:t>à compter du 1</w:t>
      </w:r>
      <w:r>
        <w:rPr>
          <w:rFonts w:cs="Arial" w:ascii="Arial" w:hAnsi="Arial"/>
          <w:b/>
          <w:bCs/>
          <w:sz w:val="22"/>
          <w:szCs w:val="22"/>
          <w:vertAlign w:val="superscript"/>
        </w:rPr>
        <w:t>er</w:t>
      </w:r>
      <w:r>
        <w:rPr>
          <w:rFonts w:cs="Arial" w:ascii="Arial" w:hAnsi="Arial"/>
          <w:b/>
          <w:bCs/>
          <w:sz w:val="22"/>
          <w:szCs w:val="22"/>
        </w:rPr>
        <w:t xml:space="preserve"> Mars 2022</w:t>
      </w:r>
      <w:r>
        <w:rPr>
          <w:rFonts w:cs="Arial" w:ascii="Arial" w:hAnsi="Arial"/>
          <w:bCs/>
          <w:sz w:val="22"/>
          <w:szCs w:val="22"/>
        </w:rPr>
        <w:t xml:space="preserve"> et pourront se réaliser tout au long de l’année civile.</w:t>
      </w:r>
    </w:p>
    <w:p>
      <w:pPr>
        <w:pStyle w:val="Normal"/>
        <w:tabs>
          <w:tab w:val="left" w:pos="540" w:leader="none"/>
        </w:tabs>
        <w:jc w:val="both"/>
        <w:rPr>
          <w:rFonts w:ascii="Arial" w:hAnsi="Arial" w:cs="Arial"/>
          <w:bCs/>
          <w:sz w:val="22"/>
          <w:szCs w:val="22"/>
        </w:rPr>
      </w:pPr>
      <w:r>
        <w:rPr>
          <w:rFonts w:cs="Arial" w:ascii="Arial" w:hAnsi="Arial"/>
          <w:bCs/>
          <w:sz w:val="22"/>
          <w:szCs w:val="22"/>
        </w:rPr>
      </w:r>
    </w:p>
    <w:p>
      <w:pPr>
        <w:pStyle w:val="Normal"/>
        <w:tabs>
          <w:tab w:val="left" w:pos="540" w:leader="none"/>
        </w:tabs>
        <w:jc w:val="both"/>
        <w:rPr/>
      </w:pPr>
      <w:r>
        <w:rPr/>
        <w:tab/>
        <w:t xml:space="preserve">   </w:t>
      </w:r>
      <w:r>
        <w:rPr>
          <w:rFonts w:cs="Arial" w:ascii="Arial" w:hAnsi="Arial"/>
          <w:b/>
          <w:bCs/>
          <w:color w:val="333399"/>
          <w:sz w:val="22"/>
          <w:szCs w:val="22"/>
        </w:rPr>
        <w:t>2.2 Cadres</w:t>
      </w:r>
    </w:p>
    <w:p>
      <w:pPr>
        <w:pStyle w:val="Normal"/>
        <w:tabs>
          <w:tab w:val="left" w:pos="4536" w:leader="none"/>
        </w:tabs>
        <w:jc w:val="both"/>
        <w:rPr>
          <w:rFonts w:ascii="Arial" w:hAnsi="Arial" w:cs="Arial"/>
          <w:b/>
          <w:b/>
          <w:bCs/>
          <w:color w:val="333399"/>
          <w:sz w:val="22"/>
          <w:szCs w:val="22"/>
        </w:rPr>
      </w:pPr>
      <w:r>
        <w:rPr>
          <w:rFonts w:cs="Arial" w:ascii="Arial" w:hAnsi="Arial"/>
          <w:b/>
          <w:bCs/>
          <w:color w:val="333399"/>
          <w:sz w:val="22"/>
          <w:szCs w:val="22"/>
        </w:rPr>
      </w:r>
    </w:p>
    <w:p>
      <w:pPr>
        <w:pStyle w:val="Normal"/>
        <w:tabs>
          <w:tab w:val="left" w:pos="4536" w:leader="none"/>
        </w:tabs>
        <w:jc w:val="both"/>
        <w:rPr>
          <w:rFonts w:ascii="Arial" w:hAnsi="Arial" w:cs="Arial"/>
          <w:bCs/>
          <w:sz w:val="22"/>
          <w:szCs w:val="22"/>
        </w:rPr>
      </w:pPr>
      <w:r>
        <w:rPr>
          <w:rFonts w:cs="Arial" w:ascii="Arial" w:hAnsi="Arial"/>
          <w:bCs/>
          <w:sz w:val="22"/>
          <w:szCs w:val="22"/>
        </w:rPr>
        <w:t xml:space="preserve">Les cadres bénéficieront d’une revalorisation salariale, </w:t>
      </w:r>
      <w:r>
        <w:rPr>
          <w:rFonts w:cs="Arial" w:ascii="Arial" w:hAnsi="Arial"/>
          <w:b/>
          <w:bCs/>
          <w:sz w:val="22"/>
          <w:szCs w:val="22"/>
        </w:rPr>
        <w:t>entièrement individualisée</w:t>
      </w:r>
      <w:r>
        <w:rPr>
          <w:rFonts w:cs="Arial" w:ascii="Arial" w:hAnsi="Arial"/>
          <w:bCs/>
          <w:sz w:val="22"/>
          <w:szCs w:val="22"/>
        </w:rPr>
        <w:t xml:space="preserve">, applicable sur la paie de Mars 2022 avec </w:t>
      </w:r>
      <w:r>
        <w:rPr>
          <w:rFonts w:cs="Arial" w:ascii="Arial" w:hAnsi="Arial"/>
          <w:b/>
          <w:bCs/>
          <w:sz w:val="22"/>
          <w:szCs w:val="22"/>
        </w:rPr>
        <w:t>effet rétroactif au 1</w:t>
      </w:r>
      <w:r>
        <w:rPr>
          <w:rFonts w:cs="Arial" w:ascii="Arial" w:hAnsi="Arial"/>
          <w:b/>
          <w:bCs/>
          <w:sz w:val="22"/>
          <w:szCs w:val="22"/>
          <w:vertAlign w:val="superscript"/>
        </w:rPr>
        <w:t>er</w:t>
      </w:r>
      <w:r>
        <w:rPr>
          <w:rFonts w:cs="Arial" w:ascii="Arial" w:hAnsi="Arial"/>
          <w:b/>
          <w:bCs/>
          <w:sz w:val="22"/>
          <w:szCs w:val="22"/>
        </w:rPr>
        <w:t xml:space="preserve"> Janvier 2022</w:t>
      </w:r>
      <w:r>
        <w:rPr>
          <w:rFonts w:cs="Arial" w:ascii="Arial" w:hAnsi="Arial"/>
          <w:bCs/>
          <w:sz w:val="22"/>
          <w:szCs w:val="22"/>
        </w:rPr>
        <w:t>.</w:t>
      </w:r>
    </w:p>
    <w:p>
      <w:pPr>
        <w:pStyle w:val="Normal"/>
        <w:tabs>
          <w:tab w:val="left" w:pos="4536" w:leader="none"/>
        </w:tabs>
        <w:jc w:val="both"/>
        <w:rPr>
          <w:rFonts w:ascii="Arial" w:hAnsi="Arial" w:cs="Arial"/>
          <w:bCs/>
          <w:sz w:val="22"/>
          <w:szCs w:val="22"/>
        </w:rPr>
      </w:pPr>
      <w:r>
        <w:rPr>
          <w:rFonts w:cs="Arial" w:ascii="Arial" w:hAnsi="Arial"/>
          <w:bCs/>
          <w:sz w:val="22"/>
          <w:szCs w:val="22"/>
        </w:rPr>
        <w:t xml:space="preserve">Un budget de </w:t>
      </w:r>
      <w:r>
        <w:rPr>
          <w:rFonts w:cs="Arial" w:ascii="Arial" w:hAnsi="Arial"/>
          <w:b/>
          <w:bCs/>
          <w:sz w:val="22"/>
          <w:szCs w:val="22"/>
        </w:rPr>
        <w:t>2.8%</w:t>
      </w:r>
      <w:r>
        <w:rPr>
          <w:rFonts w:cs="Arial" w:ascii="Arial" w:hAnsi="Arial"/>
          <w:bCs/>
          <w:sz w:val="22"/>
          <w:szCs w:val="22"/>
        </w:rPr>
        <w:t xml:space="preserve"> de la masse salariale du mois de Décembre 2021 du collège cadres, est réservé à ces mesures.</w:t>
      </w:r>
    </w:p>
    <w:p>
      <w:pPr>
        <w:pStyle w:val="Normal"/>
        <w:tabs>
          <w:tab w:val="left" w:pos="4536" w:leader="none"/>
        </w:tabs>
        <w:jc w:val="both"/>
        <w:rPr>
          <w:rFonts w:ascii="Arial" w:hAnsi="Arial" w:cs="Arial"/>
          <w:bCs/>
          <w:sz w:val="22"/>
          <w:szCs w:val="22"/>
        </w:rPr>
      </w:pPr>
      <w:r>
        <w:rPr>
          <w:rFonts w:cs="Arial" w:ascii="Arial" w:hAnsi="Arial"/>
          <w:bCs/>
          <w:sz w:val="22"/>
          <w:szCs w:val="22"/>
        </w:rPr>
      </w:r>
    </w:p>
    <w:p>
      <w:pPr>
        <w:pStyle w:val="Normal"/>
        <w:tabs>
          <w:tab w:val="left" w:pos="540" w:leader="none"/>
        </w:tabs>
        <w:jc w:val="both"/>
        <w:rPr/>
      </w:pPr>
      <w:r>
        <w:rPr>
          <w:rFonts w:cs="Arial" w:ascii="Arial" w:hAnsi="Arial"/>
          <w:sz w:val="22"/>
          <w:szCs w:val="22"/>
        </w:rPr>
        <w:tab/>
        <w:t xml:space="preserve">   </w:t>
      </w:r>
      <w:r>
        <w:rPr>
          <w:rFonts w:cs="Arial" w:ascii="Arial" w:hAnsi="Arial"/>
          <w:b/>
          <w:bCs/>
          <w:color w:val="333399"/>
          <w:sz w:val="22"/>
          <w:szCs w:val="22"/>
        </w:rPr>
        <w:t>2.3 Autres mesures salariales</w:t>
      </w:r>
    </w:p>
    <w:p>
      <w:pPr>
        <w:pStyle w:val="Normal"/>
        <w:tabs>
          <w:tab w:val="left" w:pos="540" w:leader="none"/>
        </w:tabs>
        <w:jc w:val="both"/>
        <w:rPr>
          <w:rFonts w:ascii="Arial" w:hAnsi="Arial" w:cs="Arial"/>
          <w:b/>
          <w:b/>
          <w:bCs/>
          <w:color w:val="333399"/>
          <w:sz w:val="22"/>
          <w:szCs w:val="22"/>
        </w:rPr>
      </w:pPr>
      <w:r>
        <w:rPr>
          <w:rFonts w:cs="Arial" w:ascii="Arial" w:hAnsi="Arial"/>
          <w:b/>
          <w:bCs/>
          <w:color w:val="333399"/>
          <w:sz w:val="22"/>
          <w:szCs w:val="22"/>
        </w:rPr>
      </w:r>
    </w:p>
    <w:p>
      <w:pPr>
        <w:pStyle w:val="Normal"/>
        <w:tabs>
          <w:tab w:val="left" w:pos="4536" w:leader="none"/>
        </w:tabs>
        <w:ind w:firstLine="709"/>
        <w:jc w:val="both"/>
        <w:rPr>
          <w:rFonts w:ascii="Arial" w:hAnsi="Arial" w:cs="Arial"/>
          <w:b/>
          <w:b/>
          <w:bCs/>
          <w:sz w:val="22"/>
          <w:szCs w:val="22"/>
        </w:rPr>
      </w:pPr>
      <w:r>
        <w:rPr>
          <w:rFonts w:cs="Arial" w:ascii="Arial" w:hAnsi="Arial"/>
          <w:b/>
          <w:bCs/>
          <w:sz w:val="22"/>
          <w:szCs w:val="22"/>
        </w:rPr>
        <w:t>2.3.1 Grille des salaires ouvriers :</w:t>
      </w:r>
    </w:p>
    <w:p>
      <w:pPr>
        <w:pStyle w:val="Normal"/>
        <w:tabs>
          <w:tab w:val="left" w:pos="4536" w:leader="none"/>
        </w:tabs>
        <w:jc w:val="both"/>
        <w:rPr>
          <w:rFonts w:ascii="Arial" w:hAnsi="Arial" w:cs="Arial"/>
          <w:b/>
          <w:b/>
          <w:bCs/>
          <w:sz w:val="22"/>
          <w:szCs w:val="22"/>
        </w:rPr>
      </w:pPr>
      <w:r>
        <w:rPr>
          <w:rFonts w:cs="Arial" w:ascii="Arial" w:hAnsi="Arial"/>
          <w:b/>
          <w:bCs/>
          <w:sz w:val="22"/>
          <w:szCs w:val="22"/>
        </w:rPr>
      </w:r>
    </w:p>
    <w:p>
      <w:pPr>
        <w:pStyle w:val="Normal"/>
        <w:tabs>
          <w:tab w:val="left" w:pos="4536" w:leader="none"/>
        </w:tabs>
        <w:jc w:val="both"/>
        <w:rPr/>
      </w:pPr>
      <w:r>
        <w:rPr>
          <w:rFonts w:cs="Arial" w:ascii="Arial" w:hAnsi="Arial"/>
          <w:sz w:val="22"/>
          <w:szCs w:val="22"/>
        </w:rPr>
        <w:t>La grille de salaire de base des ouvriers est revalorisée de 50€ (cinquante euros) pour le coefficient 145 à compter du 1</w:t>
      </w:r>
      <w:r>
        <w:rPr>
          <w:rFonts w:cs="Arial" w:ascii="Arial" w:hAnsi="Arial"/>
          <w:sz w:val="22"/>
          <w:szCs w:val="22"/>
          <w:vertAlign w:val="superscript"/>
        </w:rPr>
        <w:t>er</w:t>
      </w:r>
      <w:r>
        <w:rPr>
          <w:rFonts w:cs="Arial" w:ascii="Arial" w:hAnsi="Arial"/>
          <w:sz w:val="22"/>
          <w:szCs w:val="22"/>
        </w:rPr>
        <w:t xml:space="preserve"> Février 2022. Pour les autres coefficients, l’écart est maintenu. </w:t>
      </w:r>
    </w:p>
    <w:p>
      <w:pPr>
        <w:pStyle w:val="Normal"/>
        <w:tabs>
          <w:tab w:val="left" w:pos="4536" w:leader="none"/>
        </w:tabs>
        <w:jc w:val="both"/>
        <w:rPr>
          <w:rFonts w:ascii="Arial" w:hAnsi="Arial" w:cs="Arial"/>
          <w:sz w:val="22"/>
          <w:szCs w:val="22"/>
          <w:lang w:val="en-GB" w:eastAsia="en-GB"/>
        </w:rPr>
      </w:pPr>
      <w:r>
        <w:rPr>
          <w:rFonts w:cs="Arial" w:ascii="Arial" w:hAnsi="Arial"/>
          <w:sz w:val="22"/>
          <w:szCs w:val="22"/>
          <w:lang w:val="en-GB" w:eastAsia="en-GB"/>
        </w:rPr>
      </w:r>
      <w:r>
        <mc:AlternateContent>
          <mc:Choice Requires="wps">
            <w:drawing>
              <wp:anchor behindDoc="0" distT="0" distB="0" distL="114935" distR="114935" simplePos="0" locked="0" layoutInCell="1" allowOverlap="1" relativeHeight="2">
                <wp:simplePos x="0" y="0"/>
                <wp:positionH relativeFrom="column">
                  <wp:posOffset>66675</wp:posOffset>
                </wp:positionH>
                <wp:positionV relativeFrom="paragraph">
                  <wp:posOffset>101600</wp:posOffset>
                </wp:positionV>
                <wp:extent cx="2185035" cy="1581150"/>
                <wp:effectExtent l="0" t="0" r="0" b="0"/>
                <wp:wrapNone/>
                <wp:docPr id="1" name="Frame1"/>
                <a:graphic xmlns:a="http://schemas.openxmlformats.org/drawingml/2006/main">
                  <a:graphicData uri="http://schemas.microsoft.com/office/word/2010/wordprocessingShape">
                    <wps:wsp>
                      <wps:cNvSpPr txBox="1"/>
                      <wps:spPr>
                        <a:xfrm>
                          <a:off x="0" y="0"/>
                          <a:ext cx="2185035" cy="1581150"/>
                        </a:xfrm>
                        <a:prstGeom prst="rect"/>
                        <a:solidFill>
                          <a:srgbClr val="FFFFFF">
                            <a:alpha val="0"/>
                          </a:srgbClr>
                        </a:solidFill>
                      </wps:spPr>
                      <wps:txbx>
                        <w:txbxContent>
                          <w:p>
                            <w:pPr>
                              <w:pStyle w:val="NormalWeb"/>
                              <w:spacing w:before="0" w:after="0"/>
                              <w:jc w:val="center"/>
                              <w:rPr/>
                            </w:pPr>
                            <w:r>
                              <w:rPr>
                                <w:rFonts w:eastAsia="Calibri" w:cs="Calibri" w:ascii="Calibri" w:hAnsi="Calibri"/>
                                <w:color w:val="000000"/>
                                <w:lang w:val="it-IT"/>
                              </w:rPr>
                              <w:t xml:space="preserve">        </w:t>
                            </w:r>
                            <w:r>
                              <w:rPr>
                                <w:rFonts w:cs="Calibri" w:ascii="Calibri" w:hAnsi="Calibri"/>
                                <w:color w:val="000000"/>
                                <w:lang w:val="it-IT"/>
                              </w:rPr>
                              <w:t>Coeff</w:t>
                              <w:tab/>
                            </w:r>
                            <w:r>
                              <w:rPr>
                                <w:rFonts w:cs="Calibri" w:ascii="Calibri" w:hAnsi="Calibri"/>
                                <w:color w:val="000000"/>
                              </w:rPr>
                              <w:t>Salaire de</w:t>
                            </w:r>
                            <w:r>
                              <w:rPr>
                                <w:rFonts w:cs="Calibri" w:ascii="Calibri" w:hAnsi="Calibri"/>
                                <w:color w:val="000000"/>
                                <w:lang w:val="it-IT"/>
                              </w:rPr>
                              <w:t xml:space="preserve"> base</w:t>
                            </w:r>
                          </w:p>
                          <w:p>
                            <w:pPr>
                              <w:pStyle w:val="NormalWeb"/>
                              <w:spacing w:before="0" w:after="0"/>
                              <w:jc w:val="center"/>
                              <w:rPr/>
                            </w:pPr>
                            <w:r>
                              <w:rPr>
                                <w:rFonts w:cs="Calibri" w:ascii="Calibri" w:hAnsi="Calibri"/>
                                <w:color w:val="000000"/>
                                <w:lang w:val="it-IT"/>
                              </w:rPr>
                              <w:t>145</w:t>
                              <w:tab/>
                              <w:tab/>
                            </w:r>
                            <w:r>
                              <w:rPr>
                                <w:rFonts w:cs="Calibri" w:ascii="Calibri" w:hAnsi="Calibri"/>
                                <w:bCs/>
                                <w:color w:val="000000"/>
                                <w:lang w:val="it-IT"/>
                              </w:rPr>
                              <w:t>1630</w:t>
                            </w:r>
                          </w:p>
                          <w:p>
                            <w:pPr>
                              <w:pStyle w:val="NormalWeb"/>
                              <w:spacing w:before="0" w:after="0"/>
                              <w:jc w:val="center"/>
                              <w:rPr>
                                <w:rFonts w:ascii="Calibri" w:hAnsi="Calibri" w:cs="Calibri"/>
                                <w:color w:val="000000"/>
                                <w:lang w:val="it-IT"/>
                              </w:rPr>
                            </w:pPr>
                            <w:r>
                              <w:rPr>
                                <w:rFonts w:cs="Calibri" w:ascii="Calibri" w:hAnsi="Calibri"/>
                                <w:color w:val="000000"/>
                                <w:lang w:val="it-IT"/>
                              </w:rPr>
                              <w:t>155</w:t>
                              <w:tab/>
                              <w:tab/>
                              <w:t>1670</w:t>
                            </w:r>
                          </w:p>
                          <w:p>
                            <w:pPr>
                              <w:pStyle w:val="NormalWeb"/>
                              <w:spacing w:before="0" w:after="0"/>
                              <w:jc w:val="center"/>
                              <w:rPr>
                                <w:rFonts w:ascii="Calibri" w:hAnsi="Calibri" w:cs="Calibri"/>
                                <w:color w:val="000000"/>
                                <w:lang w:val="it-IT"/>
                              </w:rPr>
                            </w:pPr>
                            <w:r>
                              <w:rPr>
                                <w:rFonts w:cs="Calibri" w:ascii="Calibri" w:hAnsi="Calibri"/>
                                <w:color w:val="000000"/>
                                <w:lang w:val="it-IT"/>
                              </w:rPr>
                              <w:t>170</w:t>
                              <w:tab/>
                              <w:tab/>
                              <w:t>1720</w:t>
                            </w:r>
                          </w:p>
                          <w:p>
                            <w:pPr>
                              <w:pStyle w:val="NormalWeb"/>
                              <w:spacing w:before="0" w:after="0"/>
                              <w:jc w:val="center"/>
                              <w:rPr>
                                <w:rFonts w:ascii="Calibri" w:hAnsi="Calibri" w:cs="Calibri"/>
                                <w:color w:val="000000"/>
                                <w:lang w:val="it-IT"/>
                              </w:rPr>
                            </w:pPr>
                            <w:r>
                              <w:rPr>
                                <w:rFonts w:cs="Calibri" w:ascii="Calibri" w:hAnsi="Calibri"/>
                                <w:color w:val="000000"/>
                                <w:lang w:val="it-IT"/>
                              </w:rPr>
                              <w:t>190</w:t>
                              <w:tab/>
                              <w:tab/>
                              <w:t>1790</w:t>
                            </w:r>
                          </w:p>
                          <w:p>
                            <w:pPr>
                              <w:pStyle w:val="NormalWeb"/>
                              <w:spacing w:before="0" w:after="0"/>
                              <w:jc w:val="center"/>
                              <w:rPr>
                                <w:rFonts w:ascii="Calibri" w:hAnsi="Calibri" w:cs="Calibri"/>
                                <w:color w:val="000000"/>
                                <w:lang w:val="it-IT"/>
                              </w:rPr>
                            </w:pPr>
                            <w:r>
                              <w:rPr>
                                <w:rFonts w:cs="Calibri" w:ascii="Calibri" w:hAnsi="Calibri"/>
                                <w:color w:val="000000"/>
                                <w:lang w:val="it-IT"/>
                              </w:rPr>
                              <w:t>215</w:t>
                              <w:tab/>
                              <w:tab/>
                              <w:t>1880</w:t>
                            </w:r>
                          </w:p>
                          <w:p>
                            <w:pPr>
                              <w:pStyle w:val="NormalWeb"/>
                              <w:spacing w:before="0" w:after="0"/>
                              <w:jc w:val="center"/>
                              <w:rPr>
                                <w:rFonts w:ascii="Calibri" w:hAnsi="Calibri" w:cs="Calibri"/>
                                <w:color w:val="000000"/>
                                <w:lang w:val="it-IT"/>
                              </w:rPr>
                            </w:pPr>
                            <w:r>
                              <w:rPr>
                                <w:rFonts w:cs="Calibri" w:ascii="Calibri" w:hAnsi="Calibri"/>
                                <w:color w:val="000000"/>
                                <w:lang w:val="it-IT"/>
                              </w:rPr>
                              <w:t>225</w:t>
                              <w:tab/>
                              <w:tab/>
                              <w:t>1960</w:t>
                            </w:r>
                          </w:p>
                          <w:p>
                            <w:pPr>
                              <w:pStyle w:val="NormalWeb"/>
                              <w:spacing w:before="0" w:after="0"/>
                              <w:jc w:val="center"/>
                              <w:rPr>
                                <w:rFonts w:ascii="Calibri" w:hAnsi="Calibri" w:cs="Calibri"/>
                                <w:color w:val="000000"/>
                                <w:lang w:val="it-IT"/>
                              </w:rPr>
                            </w:pPr>
                            <w:r>
                              <w:rPr>
                                <w:rFonts w:cs="Calibri" w:ascii="Calibri" w:hAnsi="Calibri"/>
                                <w:color w:val="000000"/>
                                <w:lang w:val="it-IT"/>
                              </w:rPr>
                              <w:t>240</w:t>
                              <w:tab/>
                              <w:tab/>
                              <w:t>2030</w:t>
                            </w:r>
                          </w:p>
                        </w:txbxContent>
                      </wps:txbx>
                      <wps:bodyPr anchor="t" lIns="92075" tIns="46355" rIns="92075" bIns="46355">
                        <a:spAutoFit/>
                      </wps:bodyPr>
                    </wps:wsp>
                  </a:graphicData>
                </a:graphic>
              </wp:anchor>
            </w:drawing>
          </mc:Choice>
          <mc:Fallback>
            <w:pict>
              <v:rect fillcolor="#FFFFFF" style="position:absolute;rotation:0;width:172.05pt;height:124.5pt;mso-wrap-distance-left:9.05pt;mso-wrap-distance-right:9.05pt;margin-top:8pt;mso-position-vertical-relative:text;margin-left:5.25pt;mso-position-horizontal-relative:text">
                <v:fill opacity="0f"/>
                <v:textbox inset="0.100694444444444in,0.0506944444444444in,0.100694444444444in,0.0506944444444444in">
                  <w:txbxContent>
                    <w:p>
                      <w:pPr>
                        <w:pStyle w:val="NormalWeb"/>
                        <w:spacing w:before="0" w:after="0"/>
                        <w:jc w:val="center"/>
                        <w:rPr/>
                      </w:pPr>
                      <w:r>
                        <w:rPr>
                          <w:rFonts w:eastAsia="Calibri" w:cs="Calibri" w:ascii="Calibri" w:hAnsi="Calibri"/>
                          <w:color w:val="000000"/>
                          <w:lang w:val="it-IT"/>
                        </w:rPr>
                        <w:t xml:space="preserve">        </w:t>
                      </w:r>
                      <w:r>
                        <w:rPr>
                          <w:rFonts w:cs="Calibri" w:ascii="Calibri" w:hAnsi="Calibri"/>
                          <w:color w:val="000000"/>
                          <w:lang w:val="it-IT"/>
                        </w:rPr>
                        <w:t>Coeff</w:t>
                        <w:tab/>
                      </w:r>
                      <w:r>
                        <w:rPr>
                          <w:rFonts w:cs="Calibri" w:ascii="Calibri" w:hAnsi="Calibri"/>
                          <w:color w:val="000000"/>
                        </w:rPr>
                        <w:t>Salaire de</w:t>
                      </w:r>
                      <w:r>
                        <w:rPr>
                          <w:rFonts w:cs="Calibri" w:ascii="Calibri" w:hAnsi="Calibri"/>
                          <w:color w:val="000000"/>
                          <w:lang w:val="it-IT"/>
                        </w:rPr>
                        <w:t xml:space="preserve"> base</w:t>
                      </w:r>
                    </w:p>
                    <w:p>
                      <w:pPr>
                        <w:pStyle w:val="NormalWeb"/>
                        <w:spacing w:before="0" w:after="0"/>
                        <w:jc w:val="center"/>
                        <w:rPr/>
                      </w:pPr>
                      <w:r>
                        <w:rPr>
                          <w:rFonts w:cs="Calibri" w:ascii="Calibri" w:hAnsi="Calibri"/>
                          <w:color w:val="000000"/>
                          <w:lang w:val="it-IT"/>
                        </w:rPr>
                        <w:t>145</w:t>
                        <w:tab/>
                        <w:tab/>
                      </w:r>
                      <w:r>
                        <w:rPr>
                          <w:rFonts w:cs="Calibri" w:ascii="Calibri" w:hAnsi="Calibri"/>
                          <w:bCs/>
                          <w:color w:val="000000"/>
                          <w:lang w:val="it-IT"/>
                        </w:rPr>
                        <w:t>1630</w:t>
                      </w:r>
                    </w:p>
                    <w:p>
                      <w:pPr>
                        <w:pStyle w:val="NormalWeb"/>
                        <w:spacing w:before="0" w:after="0"/>
                        <w:jc w:val="center"/>
                        <w:rPr>
                          <w:rFonts w:ascii="Calibri" w:hAnsi="Calibri" w:cs="Calibri"/>
                          <w:color w:val="000000"/>
                          <w:lang w:val="it-IT"/>
                        </w:rPr>
                      </w:pPr>
                      <w:r>
                        <w:rPr>
                          <w:rFonts w:cs="Calibri" w:ascii="Calibri" w:hAnsi="Calibri"/>
                          <w:color w:val="000000"/>
                          <w:lang w:val="it-IT"/>
                        </w:rPr>
                        <w:t>155</w:t>
                        <w:tab/>
                        <w:tab/>
                        <w:t>1670</w:t>
                      </w:r>
                    </w:p>
                    <w:p>
                      <w:pPr>
                        <w:pStyle w:val="NormalWeb"/>
                        <w:spacing w:before="0" w:after="0"/>
                        <w:jc w:val="center"/>
                        <w:rPr>
                          <w:rFonts w:ascii="Calibri" w:hAnsi="Calibri" w:cs="Calibri"/>
                          <w:color w:val="000000"/>
                          <w:lang w:val="it-IT"/>
                        </w:rPr>
                      </w:pPr>
                      <w:r>
                        <w:rPr>
                          <w:rFonts w:cs="Calibri" w:ascii="Calibri" w:hAnsi="Calibri"/>
                          <w:color w:val="000000"/>
                          <w:lang w:val="it-IT"/>
                        </w:rPr>
                        <w:t>170</w:t>
                        <w:tab/>
                        <w:tab/>
                        <w:t>1720</w:t>
                      </w:r>
                    </w:p>
                    <w:p>
                      <w:pPr>
                        <w:pStyle w:val="NormalWeb"/>
                        <w:spacing w:before="0" w:after="0"/>
                        <w:jc w:val="center"/>
                        <w:rPr>
                          <w:rFonts w:ascii="Calibri" w:hAnsi="Calibri" w:cs="Calibri"/>
                          <w:color w:val="000000"/>
                          <w:lang w:val="it-IT"/>
                        </w:rPr>
                      </w:pPr>
                      <w:r>
                        <w:rPr>
                          <w:rFonts w:cs="Calibri" w:ascii="Calibri" w:hAnsi="Calibri"/>
                          <w:color w:val="000000"/>
                          <w:lang w:val="it-IT"/>
                        </w:rPr>
                        <w:t>190</w:t>
                        <w:tab/>
                        <w:tab/>
                        <w:t>1790</w:t>
                      </w:r>
                    </w:p>
                    <w:p>
                      <w:pPr>
                        <w:pStyle w:val="NormalWeb"/>
                        <w:spacing w:before="0" w:after="0"/>
                        <w:jc w:val="center"/>
                        <w:rPr>
                          <w:rFonts w:ascii="Calibri" w:hAnsi="Calibri" w:cs="Calibri"/>
                          <w:color w:val="000000"/>
                          <w:lang w:val="it-IT"/>
                        </w:rPr>
                      </w:pPr>
                      <w:r>
                        <w:rPr>
                          <w:rFonts w:cs="Calibri" w:ascii="Calibri" w:hAnsi="Calibri"/>
                          <w:color w:val="000000"/>
                          <w:lang w:val="it-IT"/>
                        </w:rPr>
                        <w:t>215</w:t>
                        <w:tab/>
                        <w:tab/>
                        <w:t>1880</w:t>
                      </w:r>
                    </w:p>
                    <w:p>
                      <w:pPr>
                        <w:pStyle w:val="NormalWeb"/>
                        <w:spacing w:before="0" w:after="0"/>
                        <w:jc w:val="center"/>
                        <w:rPr>
                          <w:rFonts w:ascii="Calibri" w:hAnsi="Calibri" w:cs="Calibri"/>
                          <w:color w:val="000000"/>
                          <w:lang w:val="it-IT"/>
                        </w:rPr>
                      </w:pPr>
                      <w:r>
                        <w:rPr>
                          <w:rFonts w:cs="Calibri" w:ascii="Calibri" w:hAnsi="Calibri"/>
                          <w:color w:val="000000"/>
                          <w:lang w:val="it-IT"/>
                        </w:rPr>
                        <w:t>225</w:t>
                        <w:tab/>
                        <w:tab/>
                        <w:t>1960</w:t>
                      </w:r>
                    </w:p>
                    <w:p>
                      <w:pPr>
                        <w:pStyle w:val="NormalWeb"/>
                        <w:spacing w:before="0" w:after="0"/>
                        <w:jc w:val="center"/>
                        <w:rPr>
                          <w:rFonts w:ascii="Calibri" w:hAnsi="Calibri" w:cs="Calibri"/>
                          <w:color w:val="000000"/>
                          <w:lang w:val="it-IT"/>
                        </w:rPr>
                      </w:pPr>
                      <w:r>
                        <w:rPr>
                          <w:rFonts w:cs="Calibri" w:ascii="Calibri" w:hAnsi="Calibri"/>
                          <w:color w:val="000000"/>
                          <w:lang w:val="it-IT"/>
                        </w:rPr>
                        <w:t>240</w:t>
                        <w:tab/>
                        <w:tab/>
                        <w:t>2030</w:t>
                      </w:r>
                    </w:p>
                  </w:txbxContent>
                </v:textbox>
              </v:rect>
            </w:pict>
          </mc:Fallback>
        </mc:AlternateConten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pPr>
      <w:r>
        <w:rPr/>
      </w:r>
    </w:p>
    <w:p>
      <w:pPr>
        <w:pStyle w:val="Normal"/>
        <w:tabs>
          <w:tab w:val="left" w:pos="4536" w:leader="none"/>
        </w:tabs>
        <w:jc w:val="both"/>
        <w:rPr/>
      </w:pPr>
      <w:r>
        <w:rPr/>
      </w:r>
    </w:p>
    <w:p>
      <w:pPr>
        <w:pStyle w:val="Normal"/>
        <w:tabs>
          <w:tab w:val="left" w:pos="4536" w:leader="none"/>
        </w:tabs>
        <w:jc w:val="both"/>
        <w:rPr/>
      </w:pPr>
      <w:r>
        <w:rPr/>
      </w:r>
    </w:p>
    <w:p>
      <w:pPr>
        <w:pStyle w:val="Normal"/>
        <w:tabs>
          <w:tab w:val="left" w:pos="4536" w:leader="none"/>
        </w:tabs>
        <w:jc w:val="both"/>
        <w:rPr>
          <w:rFonts w:ascii="Arial" w:hAnsi="Arial" w:cs="Arial"/>
          <w:b/>
          <w:b/>
          <w:sz w:val="22"/>
          <w:szCs w:val="22"/>
        </w:rPr>
      </w:pPr>
      <w:r>
        <w:rPr>
          <w:rFonts w:eastAsia="TKTypeRegular;Noto Kufi Arabic"/>
        </w:rPr>
        <w:t xml:space="preserve">          </w:t>
      </w:r>
      <w:r>
        <w:rPr>
          <w:rFonts w:cs="Arial" w:ascii="Arial" w:hAnsi="Arial"/>
          <w:b/>
          <w:sz w:val="22"/>
          <w:szCs w:val="22"/>
        </w:rPr>
        <w:t>2.3.2 Prime de froid :</w:t>
      </w:r>
    </w:p>
    <w:p>
      <w:pPr>
        <w:pStyle w:val="Normal"/>
        <w:tabs>
          <w:tab w:val="left" w:pos="4536" w:leader="none"/>
        </w:tabs>
        <w:jc w:val="both"/>
        <w:rPr>
          <w:rFonts w:ascii="Arial" w:hAnsi="Arial" w:cs="Arial"/>
          <w:sz w:val="22"/>
          <w:szCs w:val="22"/>
        </w:rPr>
      </w:pPr>
      <w:r>
        <w:rPr>
          <w:rFonts w:cs="Arial" w:ascii="Arial" w:hAnsi="Arial"/>
          <w:sz w:val="22"/>
          <w:szCs w:val="22"/>
        </w:rPr>
        <w:t>La prime de froid d’un montant de 200€, réservée aux salariés exposés, est reconduite dans son principe. Elle sera versée en Mars 2022.</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jc w:val="both"/>
        <w:rPr/>
      </w:pPr>
      <w:r>
        <w:rPr>
          <w:rFonts w:eastAsia="Arial" w:cs="Arial" w:ascii="Arial" w:hAnsi="Arial"/>
          <w:sz w:val="22"/>
          <w:szCs w:val="22"/>
        </w:rPr>
        <w:t xml:space="preserve">          </w:t>
      </w:r>
      <w:r>
        <w:rPr>
          <w:rFonts w:cs="Arial" w:ascii="Arial" w:hAnsi="Arial"/>
          <w:b/>
          <w:sz w:val="22"/>
          <w:szCs w:val="22"/>
        </w:rPr>
        <w:t>2.3.3 Indemnité kilométrique :</w:t>
      </w:r>
    </w:p>
    <w:p>
      <w:pPr>
        <w:pStyle w:val="Normal"/>
        <w:tabs>
          <w:tab w:val="left" w:pos="4536" w:leader="none"/>
        </w:tabs>
        <w:jc w:val="both"/>
        <w:rPr>
          <w:rFonts w:ascii="Arial" w:hAnsi="Arial" w:cs="Arial"/>
          <w:b/>
          <w:b/>
          <w:sz w:val="22"/>
          <w:szCs w:val="22"/>
        </w:rPr>
      </w:pPr>
      <w:r>
        <w:rPr>
          <w:rFonts w:cs="Arial" w:ascii="Arial" w:hAnsi="Arial"/>
          <w:b/>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 xml:space="preserve">L’indemnité kilométrique est portée de 14 centimes à </w:t>
      </w:r>
      <w:r>
        <w:rPr>
          <w:rFonts w:cs="Arial" w:ascii="Arial" w:hAnsi="Arial"/>
          <w:b/>
          <w:sz w:val="22"/>
          <w:szCs w:val="22"/>
        </w:rPr>
        <w:t>16 centimes du km à compter du 1</w:t>
      </w:r>
      <w:r>
        <w:rPr>
          <w:rFonts w:cs="Arial" w:ascii="Arial" w:hAnsi="Arial"/>
          <w:b/>
          <w:sz w:val="22"/>
          <w:szCs w:val="22"/>
          <w:vertAlign w:val="superscript"/>
        </w:rPr>
        <w:t>er</w:t>
      </w:r>
      <w:r>
        <w:rPr>
          <w:rFonts w:cs="Arial" w:ascii="Arial" w:hAnsi="Arial"/>
          <w:b/>
          <w:sz w:val="22"/>
          <w:szCs w:val="22"/>
        </w:rPr>
        <w:t xml:space="preserve"> Février 2022.</w:t>
      </w:r>
      <w:r>
        <w:rPr>
          <w:rFonts w:cs="Arial" w:ascii="Arial" w:hAnsi="Arial"/>
          <w:sz w:val="22"/>
          <w:szCs w:val="22"/>
        </w:rPr>
        <w:t xml:space="preserve"> Les règles de gestion sont identiques.</w:t>
      </w:r>
    </w:p>
    <w:p>
      <w:pPr>
        <w:pStyle w:val="Normal"/>
        <w:tabs>
          <w:tab w:val="left" w:pos="4536" w:leader="none"/>
        </w:tabs>
        <w:jc w:val="both"/>
        <w:rPr>
          <w:rFonts w:eastAsia="TKTypeRegular;Noto Kufi Arabic"/>
        </w:rPr>
      </w:pPr>
      <w:r>
        <w:rPr>
          <w:rFonts w:eastAsia="TKTypeRegular;Noto Kufi Arabic"/>
        </w:rPr>
        <w:t xml:space="preserve">      </w:t>
      </w:r>
    </w:p>
    <w:p>
      <w:pPr>
        <w:pStyle w:val="Normal"/>
        <w:tabs>
          <w:tab w:val="left" w:pos="4536" w:leader="none"/>
        </w:tabs>
        <w:jc w:val="both"/>
        <w:rPr>
          <w:rFonts w:ascii="Arial" w:hAnsi="Arial" w:cs="Arial"/>
          <w:sz w:val="22"/>
          <w:szCs w:val="22"/>
        </w:rPr>
      </w:pPr>
      <w:r>
        <w:rPr>
          <w:rFonts w:eastAsia="TKTypeRegular;Noto Kufi Arabic"/>
        </w:rPr>
        <w:t xml:space="preserve"> </w:t>
      </w:r>
      <w:r>
        <w:rPr>
          <w:rFonts w:cs="Arial" w:ascii="Arial" w:hAnsi="Arial"/>
          <w:b/>
          <w:sz w:val="22"/>
          <w:szCs w:val="22"/>
        </w:rPr>
        <w:t>2.3.4 Prime de fidélité :</w:t>
      </w:r>
    </w:p>
    <w:p>
      <w:pPr>
        <w:pStyle w:val="Normal"/>
        <w:tabs>
          <w:tab w:val="left" w:pos="4536" w:leader="none"/>
        </w:tabs>
        <w:jc w:val="both"/>
        <w:rPr>
          <w:rFonts w:ascii="Arial" w:hAnsi="Arial" w:cs="Arial"/>
          <w:b/>
          <w:b/>
          <w:sz w:val="22"/>
          <w:szCs w:val="22"/>
        </w:rPr>
      </w:pPr>
      <w:r>
        <w:rPr>
          <w:rFonts w:cs="Arial" w:ascii="Arial" w:hAnsi="Arial"/>
          <w:b/>
          <w:sz w:val="22"/>
          <w:szCs w:val="22"/>
        </w:rPr>
      </w:r>
    </w:p>
    <w:p>
      <w:pPr>
        <w:pStyle w:val="Normal"/>
        <w:tabs>
          <w:tab w:val="left" w:pos="4536" w:leader="none"/>
        </w:tabs>
        <w:jc w:val="both"/>
        <w:rPr/>
      </w:pPr>
      <w:r>
        <w:rPr>
          <w:rFonts w:cs="Arial" w:ascii="Arial" w:hAnsi="Arial"/>
          <w:sz w:val="22"/>
          <w:szCs w:val="22"/>
        </w:rPr>
        <w:t xml:space="preserve">La prime de fidélité est revalorisée selon les conditions suivantes à compter de juin 2022 : </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r>
    </w:p>
    <w:tbl>
      <w:tblPr>
        <w:tblW w:w="3392" w:type="dxa"/>
        <w:jc w:val="left"/>
        <w:tblInd w:w="-10" w:type="dxa"/>
        <w:tblBorders>
          <w:top w:val="single" w:sz="8" w:space="0" w:color="FFFFFF"/>
          <w:left w:val="single" w:sz="8" w:space="0" w:color="FFFFFF"/>
          <w:bottom w:val="single" w:sz="8" w:space="0" w:color="FFFFFF"/>
          <w:insideH w:val="single" w:sz="8" w:space="0" w:color="FFFFFF"/>
        </w:tblBorders>
        <w:tblCellMar>
          <w:top w:w="15" w:type="dxa"/>
          <w:left w:w="5" w:type="dxa"/>
          <w:bottom w:w="0" w:type="dxa"/>
          <w:right w:w="15" w:type="dxa"/>
        </w:tblCellMar>
      </w:tblPr>
      <w:tblGrid>
        <w:gridCol w:w="1360"/>
        <w:gridCol w:w="2032"/>
      </w:tblGrid>
      <w:tr>
        <w:trPr>
          <w:trHeight w:val="300" w:hRule="atLeast"/>
        </w:trPr>
        <w:tc>
          <w:tcPr>
            <w:tcW w:w="1360" w:type="dxa"/>
            <w:tcBorders>
              <w:top w:val="single" w:sz="8" w:space="0" w:color="FFFFFF"/>
              <w:left w:val="single" w:sz="8" w:space="0" w:color="FFFFFF"/>
              <w:bottom w:val="single" w:sz="8" w:space="0" w:color="FFFFFF"/>
              <w:insideH w:val="single" w:sz="8" w:space="0" w:color="FFFFFF"/>
            </w:tcBorders>
            <w:shd w:fill="F8F9FB" w:val="clear"/>
            <w:tcMar>
              <w:left w:w="5" w:type="dxa"/>
            </w:tcMar>
            <w:vAlign w:val="bottom"/>
          </w:tcPr>
          <w:p>
            <w:pPr>
              <w:pStyle w:val="Normal"/>
              <w:textAlignment w:val="bottom"/>
              <w:rPr>
                <w:rFonts w:ascii="Arial" w:hAnsi="Arial" w:cs="Arial"/>
                <w:sz w:val="22"/>
                <w:szCs w:val="22"/>
                <w:lang w:eastAsia="zh-CN"/>
              </w:rPr>
            </w:pPr>
            <w:r>
              <w:rPr>
                <w:rFonts w:cs="Arial" w:ascii="Arial" w:hAnsi="Arial"/>
                <w:color w:val="000000"/>
                <w:sz w:val="22"/>
                <w:szCs w:val="22"/>
                <w:lang w:eastAsia="zh-CN"/>
              </w:rPr>
              <w:t xml:space="preserve">Ancienneté </w:t>
            </w:r>
          </w:p>
        </w:tc>
        <w:tc>
          <w:tcPr>
            <w:tcW w:w="203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8F9FB" w:val="clear"/>
            <w:tcMar>
              <w:top w:w="0" w:type="dxa"/>
              <w:left w:w="-10" w:type="dxa"/>
              <w:right w:w="0" w:type="dxa"/>
            </w:tcMar>
            <w:vAlign w:val="bottom"/>
          </w:tcPr>
          <w:p>
            <w:pPr>
              <w:pStyle w:val="Normal"/>
              <w:textAlignment w:val="bottom"/>
              <w:rPr>
                <w:rFonts w:ascii="Arial" w:hAnsi="Arial" w:cs="Arial"/>
                <w:sz w:val="22"/>
                <w:szCs w:val="22"/>
                <w:lang w:eastAsia="zh-CN"/>
              </w:rPr>
            </w:pPr>
            <w:r>
              <w:rPr>
                <w:rFonts w:cs="Arial" w:ascii="Arial" w:hAnsi="Arial"/>
                <w:color w:val="000000"/>
                <w:sz w:val="22"/>
                <w:szCs w:val="22"/>
                <w:lang w:eastAsia="zh-CN"/>
              </w:rPr>
              <w:t>Montant de la prime</w:t>
            </w:r>
          </w:p>
        </w:tc>
      </w:tr>
      <w:tr>
        <w:trPr>
          <w:trHeight w:val="300" w:hRule="atLeast"/>
        </w:trPr>
        <w:tc>
          <w:tcPr>
            <w:tcW w:w="1360" w:type="dxa"/>
            <w:tcBorders>
              <w:top w:val="single" w:sz="8" w:space="0" w:color="FFFFFF"/>
              <w:left w:val="single" w:sz="8" w:space="0" w:color="FFFFFF"/>
              <w:bottom w:val="single" w:sz="8" w:space="0" w:color="FFFFFF"/>
              <w:insideH w:val="single" w:sz="8" w:space="0" w:color="FFFFFF"/>
            </w:tcBorders>
            <w:shd w:fill="F8F9FB" w:val="clear"/>
            <w:tcMar>
              <w:left w:w="5" w:type="dxa"/>
            </w:tcMar>
            <w:vAlign w:val="bottom"/>
          </w:tcPr>
          <w:p>
            <w:pPr>
              <w:pStyle w:val="Normal"/>
              <w:textAlignment w:val="bottom"/>
              <w:rPr>
                <w:rFonts w:ascii="Arial" w:hAnsi="Arial" w:cs="Arial"/>
                <w:sz w:val="22"/>
                <w:szCs w:val="22"/>
                <w:lang w:eastAsia="zh-CN"/>
              </w:rPr>
            </w:pPr>
            <w:r>
              <w:rPr>
                <w:rFonts w:cs="Arial" w:ascii="Arial" w:hAnsi="Arial"/>
                <w:color w:val="000000"/>
                <w:sz w:val="22"/>
                <w:szCs w:val="22"/>
                <w:lang w:eastAsia="zh-CN"/>
              </w:rPr>
              <w:t>5 ans</w:t>
            </w:r>
          </w:p>
        </w:tc>
        <w:tc>
          <w:tcPr>
            <w:tcW w:w="203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8F9FB" w:val="clear"/>
            <w:tcMar>
              <w:top w:w="0" w:type="dxa"/>
              <w:left w:w="-10" w:type="dxa"/>
              <w:right w:w="0" w:type="dxa"/>
            </w:tcMar>
            <w:vAlign w:val="bottom"/>
          </w:tcPr>
          <w:p>
            <w:pPr>
              <w:pStyle w:val="Normal"/>
              <w:jc w:val="center"/>
              <w:textAlignment w:val="bottom"/>
              <w:rPr>
                <w:rFonts w:ascii="Arial" w:hAnsi="Arial" w:cs="Arial"/>
                <w:sz w:val="22"/>
                <w:szCs w:val="22"/>
                <w:lang w:eastAsia="zh-CN"/>
              </w:rPr>
            </w:pPr>
            <w:r>
              <w:rPr>
                <w:rFonts w:cs="Arial" w:ascii="Arial" w:hAnsi="Arial"/>
                <w:color w:val="000000"/>
                <w:sz w:val="22"/>
                <w:szCs w:val="22"/>
                <w:lang w:eastAsia="zh-CN"/>
              </w:rPr>
              <w:t>220 €</w:t>
            </w:r>
          </w:p>
        </w:tc>
      </w:tr>
      <w:tr>
        <w:trPr>
          <w:trHeight w:val="300" w:hRule="atLeast"/>
        </w:trPr>
        <w:tc>
          <w:tcPr>
            <w:tcW w:w="1360" w:type="dxa"/>
            <w:tcBorders>
              <w:top w:val="single" w:sz="8" w:space="0" w:color="FFFFFF"/>
              <w:left w:val="single" w:sz="8" w:space="0" w:color="FFFFFF"/>
              <w:bottom w:val="single" w:sz="8" w:space="0" w:color="FFFFFF"/>
              <w:insideH w:val="single" w:sz="8" w:space="0" w:color="FFFFFF"/>
            </w:tcBorders>
            <w:shd w:fill="F8F9FB" w:val="clear"/>
            <w:tcMar>
              <w:left w:w="5" w:type="dxa"/>
            </w:tcMar>
            <w:vAlign w:val="bottom"/>
          </w:tcPr>
          <w:p>
            <w:pPr>
              <w:pStyle w:val="Normal"/>
              <w:textAlignment w:val="bottom"/>
              <w:rPr>
                <w:rFonts w:ascii="Arial" w:hAnsi="Arial" w:cs="Arial"/>
                <w:sz w:val="22"/>
                <w:szCs w:val="22"/>
                <w:lang w:eastAsia="zh-CN"/>
              </w:rPr>
            </w:pPr>
            <w:r>
              <w:rPr>
                <w:rFonts w:cs="Arial" w:ascii="Arial" w:hAnsi="Arial"/>
                <w:color w:val="000000"/>
                <w:sz w:val="22"/>
                <w:szCs w:val="22"/>
                <w:lang w:eastAsia="zh-CN"/>
              </w:rPr>
              <w:t>10 ans</w:t>
            </w:r>
          </w:p>
        </w:tc>
        <w:tc>
          <w:tcPr>
            <w:tcW w:w="203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8F9FB" w:val="clear"/>
            <w:tcMar>
              <w:top w:w="0" w:type="dxa"/>
              <w:left w:w="-10" w:type="dxa"/>
              <w:right w:w="0" w:type="dxa"/>
            </w:tcMar>
            <w:vAlign w:val="bottom"/>
          </w:tcPr>
          <w:p>
            <w:pPr>
              <w:pStyle w:val="Normal"/>
              <w:jc w:val="center"/>
              <w:textAlignment w:val="bottom"/>
              <w:rPr>
                <w:rFonts w:ascii="Arial" w:hAnsi="Arial" w:cs="Arial"/>
                <w:sz w:val="22"/>
                <w:szCs w:val="22"/>
                <w:lang w:eastAsia="zh-CN"/>
              </w:rPr>
            </w:pPr>
            <w:r>
              <w:rPr>
                <w:rFonts w:cs="Arial" w:ascii="Arial" w:hAnsi="Arial"/>
                <w:color w:val="000000"/>
                <w:sz w:val="22"/>
                <w:szCs w:val="22"/>
                <w:lang w:eastAsia="zh-CN"/>
              </w:rPr>
              <w:t>390 €</w:t>
            </w:r>
          </w:p>
        </w:tc>
      </w:tr>
      <w:tr>
        <w:trPr>
          <w:trHeight w:val="300" w:hRule="atLeast"/>
        </w:trPr>
        <w:tc>
          <w:tcPr>
            <w:tcW w:w="1360" w:type="dxa"/>
            <w:tcBorders>
              <w:top w:val="single" w:sz="8" w:space="0" w:color="FFFFFF"/>
              <w:left w:val="single" w:sz="8" w:space="0" w:color="FFFFFF"/>
              <w:bottom w:val="single" w:sz="8" w:space="0" w:color="FFFFFF"/>
              <w:insideH w:val="single" w:sz="8" w:space="0" w:color="FFFFFF"/>
            </w:tcBorders>
            <w:shd w:fill="F8F9FB" w:val="clear"/>
            <w:tcMar>
              <w:left w:w="5" w:type="dxa"/>
            </w:tcMar>
            <w:vAlign w:val="bottom"/>
          </w:tcPr>
          <w:p>
            <w:pPr>
              <w:pStyle w:val="Normal"/>
              <w:textAlignment w:val="bottom"/>
              <w:rPr>
                <w:rFonts w:ascii="Arial" w:hAnsi="Arial" w:cs="Arial"/>
                <w:sz w:val="22"/>
                <w:szCs w:val="22"/>
                <w:lang w:eastAsia="zh-CN"/>
              </w:rPr>
            </w:pPr>
            <w:r>
              <w:rPr>
                <w:rFonts w:cs="Arial" w:ascii="Arial" w:hAnsi="Arial"/>
                <w:color w:val="000000"/>
                <w:sz w:val="22"/>
                <w:szCs w:val="22"/>
                <w:lang w:eastAsia="zh-CN"/>
              </w:rPr>
              <w:t>15 ans</w:t>
            </w:r>
          </w:p>
        </w:tc>
        <w:tc>
          <w:tcPr>
            <w:tcW w:w="203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8F9FB" w:val="clear"/>
            <w:tcMar>
              <w:top w:w="0" w:type="dxa"/>
              <w:left w:w="-10" w:type="dxa"/>
              <w:right w:w="0" w:type="dxa"/>
            </w:tcMar>
            <w:vAlign w:val="bottom"/>
          </w:tcPr>
          <w:p>
            <w:pPr>
              <w:pStyle w:val="Normal"/>
              <w:jc w:val="center"/>
              <w:textAlignment w:val="bottom"/>
              <w:rPr>
                <w:rFonts w:ascii="Arial" w:hAnsi="Arial" w:cs="Arial"/>
                <w:sz w:val="22"/>
                <w:szCs w:val="22"/>
                <w:lang w:eastAsia="zh-CN"/>
              </w:rPr>
            </w:pPr>
            <w:r>
              <w:rPr>
                <w:rFonts w:cs="Arial" w:ascii="Arial" w:hAnsi="Arial"/>
                <w:color w:val="000000"/>
                <w:sz w:val="22"/>
                <w:szCs w:val="22"/>
                <w:lang w:eastAsia="zh-CN"/>
              </w:rPr>
              <w:t>560 €</w:t>
            </w:r>
          </w:p>
        </w:tc>
      </w:tr>
      <w:tr>
        <w:trPr>
          <w:trHeight w:val="300" w:hRule="atLeast"/>
        </w:trPr>
        <w:tc>
          <w:tcPr>
            <w:tcW w:w="1360" w:type="dxa"/>
            <w:tcBorders>
              <w:top w:val="single" w:sz="8" w:space="0" w:color="FFFFFF"/>
              <w:left w:val="single" w:sz="8" w:space="0" w:color="FFFFFF"/>
              <w:bottom w:val="single" w:sz="8" w:space="0" w:color="FFFFFF"/>
              <w:insideH w:val="single" w:sz="8" w:space="0" w:color="FFFFFF"/>
            </w:tcBorders>
            <w:shd w:fill="F8F9FB" w:val="clear"/>
            <w:tcMar>
              <w:left w:w="5" w:type="dxa"/>
            </w:tcMar>
            <w:vAlign w:val="bottom"/>
          </w:tcPr>
          <w:p>
            <w:pPr>
              <w:pStyle w:val="Normal"/>
              <w:textAlignment w:val="bottom"/>
              <w:rPr>
                <w:rFonts w:ascii="Arial" w:hAnsi="Arial" w:cs="Arial"/>
                <w:sz w:val="22"/>
                <w:szCs w:val="22"/>
                <w:lang w:eastAsia="zh-CN"/>
              </w:rPr>
            </w:pPr>
            <w:r>
              <w:rPr>
                <w:rFonts w:cs="Arial" w:ascii="Arial" w:hAnsi="Arial"/>
                <w:color w:val="000000"/>
                <w:sz w:val="22"/>
                <w:szCs w:val="22"/>
                <w:lang w:eastAsia="zh-CN"/>
              </w:rPr>
              <w:t>20 ans</w:t>
            </w:r>
          </w:p>
        </w:tc>
        <w:tc>
          <w:tcPr>
            <w:tcW w:w="203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8F9FB" w:val="clear"/>
            <w:tcMar>
              <w:top w:w="0" w:type="dxa"/>
              <w:left w:w="-10" w:type="dxa"/>
              <w:right w:w="0" w:type="dxa"/>
            </w:tcMar>
            <w:vAlign w:val="bottom"/>
          </w:tcPr>
          <w:p>
            <w:pPr>
              <w:pStyle w:val="Normal"/>
              <w:jc w:val="center"/>
              <w:textAlignment w:val="bottom"/>
              <w:rPr>
                <w:rFonts w:ascii="Arial" w:hAnsi="Arial" w:cs="Arial"/>
                <w:sz w:val="22"/>
                <w:szCs w:val="22"/>
                <w:lang w:eastAsia="zh-CN"/>
              </w:rPr>
            </w:pPr>
            <w:r>
              <w:rPr>
                <w:rFonts w:cs="Arial" w:ascii="Arial" w:hAnsi="Arial"/>
                <w:color w:val="000000"/>
                <w:sz w:val="22"/>
                <w:szCs w:val="22"/>
                <w:lang w:eastAsia="zh-CN"/>
              </w:rPr>
              <w:t>740 €</w:t>
            </w:r>
          </w:p>
        </w:tc>
      </w:tr>
      <w:tr>
        <w:trPr>
          <w:trHeight w:val="300" w:hRule="atLeast"/>
        </w:trPr>
        <w:tc>
          <w:tcPr>
            <w:tcW w:w="1360" w:type="dxa"/>
            <w:tcBorders>
              <w:top w:val="single" w:sz="8" w:space="0" w:color="FFFFFF"/>
              <w:left w:val="single" w:sz="8" w:space="0" w:color="FFFFFF"/>
              <w:bottom w:val="single" w:sz="8" w:space="0" w:color="FFFFFF"/>
              <w:insideH w:val="single" w:sz="8" w:space="0" w:color="FFFFFF"/>
            </w:tcBorders>
            <w:shd w:fill="F8F9FB" w:val="clear"/>
            <w:tcMar>
              <w:left w:w="5" w:type="dxa"/>
            </w:tcMar>
            <w:vAlign w:val="bottom"/>
          </w:tcPr>
          <w:p>
            <w:pPr>
              <w:pStyle w:val="Normal"/>
              <w:textAlignment w:val="bottom"/>
              <w:rPr>
                <w:rFonts w:ascii="Arial" w:hAnsi="Arial" w:cs="Arial"/>
                <w:sz w:val="22"/>
                <w:szCs w:val="22"/>
                <w:lang w:eastAsia="zh-CN"/>
              </w:rPr>
            </w:pPr>
            <w:r>
              <w:rPr>
                <w:rFonts w:cs="Arial" w:ascii="Arial" w:hAnsi="Arial"/>
                <w:color w:val="000000"/>
                <w:sz w:val="22"/>
                <w:szCs w:val="22"/>
                <w:lang w:eastAsia="zh-CN"/>
              </w:rPr>
              <w:t xml:space="preserve">25 ans </w:t>
            </w:r>
          </w:p>
        </w:tc>
        <w:tc>
          <w:tcPr>
            <w:tcW w:w="203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8F9FB" w:val="clear"/>
            <w:tcMar>
              <w:top w:w="0" w:type="dxa"/>
              <w:left w:w="-10" w:type="dxa"/>
              <w:right w:w="0" w:type="dxa"/>
            </w:tcMar>
            <w:vAlign w:val="bottom"/>
          </w:tcPr>
          <w:p>
            <w:pPr>
              <w:pStyle w:val="Normal"/>
              <w:jc w:val="center"/>
              <w:textAlignment w:val="bottom"/>
              <w:rPr>
                <w:rFonts w:ascii="Arial" w:hAnsi="Arial" w:cs="Arial"/>
                <w:sz w:val="22"/>
                <w:szCs w:val="22"/>
                <w:lang w:eastAsia="zh-CN"/>
              </w:rPr>
            </w:pPr>
            <w:r>
              <w:rPr>
                <w:rFonts w:cs="Arial" w:ascii="Arial" w:hAnsi="Arial"/>
                <w:color w:val="000000"/>
                <w:sz w:val="22"/>
                <w:szCs w:val="22"/>
                <w:lang w:eastAsia="zh-CN"/>
              </w:rPr>
              <w:t>880 €</w:t>
            </w:r>
          </w:p>
        </w:tc>
      </w:tr>
    </w:tbl>
    <w:p>
      <w:pPr>
        <w:pStyle w:val="Normal"/>
        <w:tabs>
          <w:tab w:val="left" w:pos="4536" w:leader="none"/>
        </w:tabs>
        <w:jc w:val="both"/>
        <w:rPr/>
      </w:pPr>
      <w:r>
        <w:rPr/>
      </w:r>
    </w:p>
    <w:p>
      <w:pPr>
        <w:pStyle w:val="Normal"/>
        <w:tabs>
          <w:tab w:val="left" w:pos="4536" w:leader="none"/>
        </w:tabs>
        <w:jc w:val="both"/>
        <w:rPr>
          <w:rFonts w:eastAsia="TKTypeRegular;Noto Kufi Arabic"/>
        </w:rPr>
      </w:pPr>
      <w:r>
        <w:rPr>
          <w:rFonts w:eastAsia="TKTypeRegular;Noto Kufi Arabic"/>
        </w:rPr>
        <w:t xml:space="preserve">           </w:t>
      </w:r>
    </w:p>
    <w:p>
      <w:pPr>
        <w:pStyle w:val="Normal"/>
        <w:tabs>
          <w:tab w:val="left" w:pos="4536" w:leader="none"/>
        </w:tabs>
        <w:ind w:firstLine="709"/>
        <w:jc w:val="both"/>
        <w:rPr>
          <w:rFonts w:ascii="Arial" w:hAnsi="Arial" w:cs="Arial"/>
          <w:b/>
          <w:b/>
          <w:bCs/>
          <w:sz w:val="22"/>
          <w:szCs w:val="22"/>
        </w:rPr>
      </w:pPr>
      <w:r>
        <w:rPr>
          <w:rFonts w:cs="Arial" w:ascii="Arial" w:hAnsi="Arial"/>
          <w:b/>
          <w:bCs/>
          <w:sz w:val="22"/>
          <w:szCs w:val="22"/>
        </w:rPr>
        <w:t>2.3.5 Prime de vacances :</w:t>
      </w:r>
    </w:p>
    <w:p>
      <w:pPr>
        <w:pStyle w:val="Normal"/>
        <w:tabs>
          <w:tab w:val="left" w:pos="4536" w:leader="none"/>
        </w:tabs>
        <w:jc w:val="both"/>
        <w:rPr>
          <w:rFonts w:ascii="Arial" w:hAnsi="Arial" w:cs="Arial"/>
          <w:b/>
          <w:b/>
          <w:bCs/>
          <w:sz w:val="22"/>
          <w:szCs w:val="22"/>
        </w:rPr>
      </w:pPr>
      <w:r>
        <w:rPr>
          <w:rFonts w:cs="Arial" w:ascii="Arial" w:hAnsi="Arial"/>
          <w:b/>
          <w:bCs/>
          <w:sz w:val="22"/>
          <w:szCs w:val="22"/>
        </w:rPr>
      </w:r>
    </w:p>
    <w:p>
      <w:pPr>
        <w:pStyle w:val="Normal"/>
        <w:numPr>
          <w:ilvl w:val="0"/>
          <w:numId w:val="2"/>
        </w:numPr>
        <w:tabs>
          <w:tab w:val="left" w:pos="426" w:leader="none"/>
        </w:tabs>
        <w:ind w:left="426" w:hanging="426"/>
        <w:jc w:val="both"/>
        <w:rPr>
          <w:rFonts w:ascii="Arial" w:hAnsi="Arial" w:cs="Arial"/>
          <w:bCs/>
          <w:sz w:val="22"/>
          <w:szCs w:val="22"/>
        </w:rPr>
      </w:pPr>
      <w:r>
        <w:rPr>
          <w:rFonts w:cs="Arial" w:ascii="Arial" w:hAnsi="Arial"/>
          <w:bCs/>
          <w:sz w:val="22"/>
          <w:szCs w:val="22"/>
          <w:u w:val="single"/>
        </w:rPr>
        <w:t>Non cadre</w:t>
      </w:r>
      <w:r>
        <w:rPr>
          <w:rFonts w:cs="Arial" w:ascii="Arial" w:hAnsi="Arial"/>
          <w:bCs/>
          <w:sz w:val="22"/>
          <w:szCs w:val="22"/>
        </w:rPr>
        <w:t xml:space="preserve"> : Le montant de la prime de vacances versée au mois de juin est portée à </w:t>
      </w:r>
      <w:r>
        <w:rPr>
          <w:rFonts w:cs="Arial" w:ascii="Arial" w:hAnsi="Arial"/>
          <w:b/>
          <w:bCs/>
          <w:sz w:val="22"/>
          <w:szCs w:val="22"/>
        </w:rPr>
        <w:t>775 €</w:t>
      </w:r>
      <w:r>
        <w:rPr>
          <w:rFonts w:cs="Arial" w:ascii="Arial" w:hAnsi="Arial"/>
          <w:bCs/>
          <w:sz w:val="22"/>
          <w:szCs w:val="22"/>
        </w:rPr>
        <w:t xml:space="preserve"> </w:t>
      </w:r>
    </w:p>
    <w:p>
      <w:pPr>
        <w:pStyle w:val="Normal"/>
        <w:tabs>
          <w:tab w:val="left" w:pos="426" w:leader="none"/>
        </w:tabs>
        <w:ind w:left="426" w:hanging="0"/>
        <w:jc w:val="both"/>
        <w:rPr/>
      </w:pPr>
      <w:r>
        <w:rPr>
          <w:rFonts w:cs="Arial" w:ascii="Arial" w:hAnsi="Arial"/>
          <w:bCs/>
          <w:sz w:val="22"/>
          <w:szCs w:val="22"/>
        </w:rPr>
        <w:t>(sept cent soixante-quinze euros) brut pour un salarié justifiant de l’intégralité des droits à congés.</w:t>
      </w:r>
    </w:p>
    <w:p>
      <w:pPr>
        <w:pStyle w:val="Normal"/>
        <w:tabs>
          <w:tab w:val="left" w:pos="426" w:leader="none"/>
        </w:tabs>
        <w:ind w:left="426" w:hanging="0"/>
        <w:jc w:val="both"/>
        <w:rPr>
          <w:rFonts w:ascii="Arial" w:hAnsi="Arial" w:cs="Arial"/>
          <w:bCs/>
          <w:sz w:val="22"/>
          <w:szCs w:val="22"/>
        </w:rPr>
      </w:pPr>
      <w:r>
        <w:rPr>
          <w:rFonts w:cs="Arial" w:ascii="Arial" w:hAnsi="Arial"/>
          <w:bCs/>
          <w:sz w:val="22"/>
          <w:szCs w:val="22"/>
        </w:rPr>
      </w:r>
    </w:p>
    <w:p>
      <w:pPr>
        <w:pStyle w:val="Normal"/>
        <w:numPr>
          <w:ilvl w:val="0"/>
          <w:numId w:val="2"/>
        </w:numPr>
        <w:ind w:left="426" w:hanging="426"/>
        <w:jc w:val="both"/>
        <w:rPr>
          <w:rFonts w:ascii="Arial" w:hAnsi="Arial" w:cs="Arial"/>
          <w:sz w:val="22"/>
          <w:szCs w:val="22"/>
        </w:rPr>
      </w:pPr>
      <w:r>
        <w:rPr>
          <w:rFonts w:cs="Arial" w:ascii="Arial" w:hAnsi="Arial"/>
          <w:bCs/>
          <w:sz w:val="22"/>
          <w:szCs w:val="22"/>
          <w:u w:val="single"/>
        </w:rPr>
        <w:t>Cadre</w:t>
      </w:r>
      <w:r>
        <w:rPr>
          <w:rFonts w:cs="Arial" w:ascii="Arial" w:hAnsi="Arial"/>
          <w:bCs/>
          <w:sz w:val="22"/>
          <w:szCs w:val="22"/>
        </w:rPr>
        <w:t xml:space="preserve"> : Le montant de la prime de vacances versée au mois de juin est portée à </w:t>
      </w:r>
      <w:r>
        <w:rPr>
          <w:rFonts w:cs="Arial" w:ascii="Arial" w:hAnsi="Arial"/>
          <w:b/>
          <w:bCs/>
          <w:sz w:val="22"/>
          <w:szCs w:val="22"/>
        </w:rPr>
        <w:t>250 €</w:t>
      </w:r>
      <w:r>
        <w:rPr>
          <w:rFonts w:cs="Arial" w:ascii="Arial" w:hAnsi="Arial"/>
          <w:bCs/>
          <w:sz w:val="22"/>
          <w:szCs w:val="22"/>
        </w:rPr>
        <w:t xml:space="preserve"> ( deux cent cinquante euros) brut pour un salarié justifiant de l’intégralité des droits à congés. </w:t>
      </w:r>
    </w:p>
    <w:p>
      <w:pPr>
        <w:pStyle w:val="Normal"/>
        <w:ind w:left="426" w:hanging="0"/>
        <w:jc w:val="both"/>
        <w:rPr>
          <w:rFonts w:ascii="Arial" w:hAnsi="Arial" w:cs="Arial"/>
          <w:sz w:val="22"/>
          <w:szCs w:val="22"/>
        </w:rPr>
      </w:pPr>
      <w:r>
        <w:rPr>
          <w:rFonts w:cs="Arial" w:ascii="Arial" w:hAnsi="Arial"/>
          <w:sz w:val="22"/>
          <w:szCs w:val="22"/>
        </w:rPr>
      </w:r>
    </w:p>
    <w:p>
      <w:pPr>
        <w:pStyle w:val="Normal"/>
        <w:jc w:val="both"/>
        <w:rPr>
          <w:b/>
          <w:b/>
        </w:rPr>
      </w:pPr>
      <w:r>
        <w:rPr>
          <w:b/>
        </w:rPr>
        <w:tab/>
      </w:r>
    </w:p>
    <w:p>
      <w:pPr>
        <w:pStyle w:val="Normal"/>
        <w:jc w:val="both"/>
        <w:rPr/>
      </w:pPr>
      <w:r>
        <w:rPr>
          <w:b/>
        </w:rPr>
        <w:tab/>
      </w:r>
      <w:r>
        <w:rPr>
          <w:rFonts w:cs="Arial" w:ascii="Arial" w:hAnsi="Arial"/>
          <w:b/>
          <w:sz w:val="22"/>
          <w:szCs w:val="22"/>
        </w:rPr>
        <w:t>2.3.6 Prime de nuit :</w:t>
      </w:r>
    </w:p>
    <w:p>
      <w:pPr>
        <w:pStyle w:val="Normal"/>
        <w:tabs>
          <w:tab w:val="left" w:pos="4536" w:leader="none"/>
        </w:tabs>
        <w:jc w:val="both"/>
        <w:rPr>
          <w:rFonts w:ascii="Arial" w:hAnsi="Arial" w:cs="Arial"/>
          <w:b/>
          <w:b/>
          <w:sz w:val="22"/>
          <w:szCs w:val="22"/>
        </w:rPr>
      </w:pPr>
      <w:r>
        <w:rPr>
          <w:rFonts w:cs="Arial" w:ascii="Arial" w:hAnsi="Arial"/>
          <w:b/>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 xml:space="preserve">Le repos attribué dans le cadre du travail de nuit est revalorisé à </w:t>
      </w:r>
      <w:r>
        <w:rPr>
          <w:rFonts w:cs="Arial" w:ascii="Arial" w:hAnsi="Arial"/>
          <w:b/>
          <w:sz w:val="22"/>
          <w:szCs w:val="22"/>
        </w:rPr>
        <w:t>15 minutes par nuit travaillée</w:t>
      </w:r>
      <w:r>
        <w:rPr>
          <w:rFonts w:cs="Arial" w:ascii="Arial" w:hAnsi="Arial"/>
          <w:sz w:val="22"/>
          <w:szCs w:val="22"/>
        </w:rPr>
        <w:t xml:space="preserve">. Ce repos est dû à partir de 6 heures de travail par nuit travaillée. Cette mesure sera applicable </w:t>
      </w:r>
      <w:r>
        <w:rPr>
          <w:rFonts w:cs="Arial" w:ascii="Arial" w:hAnsi="Arial"/>
          <w:b/>
          <w:sz w:val="22"/>
          <w:szCs w:val="22"/>
        </w:rPr>
        <w:t>à compter du 1</w:t>
      </w:r>
      <w:r>
        <w:rPr>
          <w:rFonts w:cs="Arial" w:ascii="Arial" w:hAnsi="Arial"/>
          <w:b/>
          <w:sz w:val="22"/>
          <w:szCs w:val="22"/>
          <w:vertAlign w:val="superscript"/>
        </w:rPr>
        <w:t>er</w:t>
      </w:r>
      <w:r>
        <w:rPr>
          <w:rFonts w:cs="Arial" w:ascii="Arial" w:hAnsi="Arial"/>
          <w:b/>
          <w:sz w:val="22"/>
          <w:szCs w:val="22"/>
        </w:rPr>
        <w:t xml:space="preserve"> Mars 2022</w:t>
      </w:r>
      <w:r>
        <w:rPr>
          <w:rFonts w:cs="Arial" w:ascii="Arial" w:hAnsi="Arial"/>
          <w:sz w:val="22"/>
          <w:szCs w:val="22"/>
        </w:rPr>
        <w:t>.</w:t>
      </w:r>
    </w:p>
    <w:p>
      <w:pPr>
        <w:pStyle w:val="Normal"/>
        <w:jc w:val="both"/>
        <w:rPr>
          <w:rFonts w:ascii="Arial" w:hAnsi="Arial" w:cs="Arial"/>
          <w:b/>
          <w:b/>
          <w:bCs/>
          <w:sz w:val="22"/>
          <w:szCs w:val="22"/>
        </w:rPr>
      </w:pPr>
      <w:r>
        <w:rPr>
          <w:rFonts w:cs="Arial" w:ascii="Arial" w:hAnsi="Arial"/>
          <w:b/>
          <w:bCs/>
          <w:sz w:val="22"/>
          <w:szCs w:val="22"/>
        </w:rPr>
        <w:tab/>
      </w:r>
    </w:p>
    <w:p>
      <w:pPr>
        <w:pStyle w:val="Normal"/>
        <w:ind w:firstLine="709"/>
        <w:jc w:val="both"/>
        <w:rPr>
          <w:rFonts w:ascii="Arial" w:hAnsi="Arial" w:cs="Arial"/>
          <w:b/>
          <w:b/>
          <w:bCs/>
          <w:sz w:val="22"/>
          <w:szCs w:val="22"/>
        </w:rPr>
      </w:pPr>
      <w:r>
        <w:rPr>
          <w:rFonts w:cs="Arial" w:ascii="Arial" w:hAnsi="Arial"/>
          <w:b/>
          <w:bCs/>
          <w:sz w:val="22"/>
          <w:szCs w:val="22"/>
        </w:rPr>
        <w:t xml:space="preserve">2.3.7 Prime d’assiduité : </w:t>
      </w:r>
    </w:p>
    <w:p>
      <w:pPr>
        <w:pStyle w:val="Normal"/>
        <w:tabs>
          <w:tab w:val="left" w:pos="540" w:leader="none"/>
        </w:tabs>
        <w:jc w:val="both"/>
        <w:rPr>
          <w:rFonts w:ascii="Arial" w:hAnsi="Arial" w:cs="Arial"/>
          <w:b/>
          <w:b/>
          <w:bCs/>
          <w:sz w:val="22"/>
          <w:szCs w:val="22"/>
        </w:rPr>
      </w:pPr>
      <w:r>
        <w:rPr>
          <w:rFonts w:cs="Arial" w:ascii="Arial" w:hAnsi="Arial"/>
          <w:b/>
          <w:bCs/>
          <w:sz w:val="22"/>
          <w:szCs w:val="22"/>
        </w:rPr>
      </w:r>
    </w:p>
    <w:p>
      <w:pPr>
        <w:pStyle w:val="Normal"/>
        <w:tabs>
          <w:tab w:val="left" w:pos="540" w:leader="none"/>
        </w:tabs>
        <w:jc w:val="both"/>
        <w:rPr>
          <w:rFonts w:ascii="Arial" w:hAnsi="Arial" w:cs="Arial"/>
          <w:bCs/>
          <w:sz w:val="22"/>
          <w:szCs w:val="22"/>
        </w:rPr>
      </w:pPr>
      <w:r>
        <w:rPr>
          <w:rFonts w:cs="Arial" w:ascii="Arial" w:hAnsi="Arial"/>
          <w:bCs/>
          <w:sz w:val="22"/>
          <w:szCs w:val="22"/>
        </w:rPr>
        <w:t xml:space="preserve">Le système mis en place depuis 2020 est pérennisé au sein de l’entreprise. </w:t>
      </w:r>
    </w:p>
    <w:p>
      <w:pPr>
        <w:pStyle w:val="Normal"/>
        <w:tabs>
          <w:tab w:val="left" w:pos="540" w:leader="none"/>
        </w:tabs>
        <w:jc w:val="both"/>
        <w:rPr>
          <w:rFonts w:ascii="Arial" w:hAnsi="Arial" w:cs="Arial"/>
          <w:bCs/>
          <w:sz w:val="22"/>
          <w:szCs w:val="22"/>
        </w:rPr>
      </w:pPr>
      <w:r>
        <w:rPr>
          <w:rFonts w:cs="Arial" w:ascii="Arial" w:hAnsi="Arial"/>
          <w:bCs/>
          <w:sz w:val="22"/>
          <w:szCs w:val="22"/>
        </w:rPr>
      </w:r>
    </w:p>
    <w:p>
      <w:pPr>
        <w:pStyle w:val="Normal"/>
        <w:ind w:firstLine="709"/>
        <w:jc w:val="both"/>
        <w:rPr>
          <w:rFonts w:ascii="Arial" w:hAnsi="Arial" w:cs="Arial"/>
          <w:b/>
          <w:b/>
          <w:bCs/>
          <w:sz w:val="22"/>
          <w:szCs w:val="22"/>
        </w:rPr>
      </w:pPr>
      <w:r>
        <w:rPr>
          <w:rFonts w:cs="Arial" w:ascii="Arial" w:hAnsi="Arial"/>
          <w:b/>
          <w:bCs/>
          <w:sz w:val="22"/>
          <w:szCs w:val="22"/>
        </w:rPr>
        <w:t>2.3.8 Participation à la complémentaire pour frais de santé :</w:t>
      </w:r>
    </w:p>
    <w:p>
      <w:pPr>
        <w:pStyle w:val="Normal"/>
        <w:tabs>
          <w:tab w:val="left" w:pos="4536" w:leader="none"/>
        </w:tabs>
        <w:jc w:val="both"/>
        <w:rPr>
          <w:rFonts w:ascii="Arial" w:hAnsi="Arial" w:cs="Arial"/>
          <w:b/>
          <w:b/>
          <w:bCs/>
          <w:sz w:val="22"/>
          <w:szCs w:val="22"/>
        </w:rPr>
      </w:pPr>
      <w:r>
        <w:rPr>
          <w:rFonts w:cs="Arial" w:ascii="Arial" w:hAnsi="Arial"/>
          <w:b/>
          <w:bCs/>
          <w:sz w:val="22"/>
          <w:szCs w:val="22"/>
        </w:rPr>
      </w:r>
    </w:p>
    <w:p>
      <w:pPr>
        <w:pStyle w:val="Normal"/>
        <w:tabs>
          <w:tab w:val="left" w:pos="4536" w:leader="none"/>
        </w:tabs>
        <w:jc w:val="both"/>
        <w:rPr/>
      </w:pPr>
      <w:r>
        <w:rPr>
          <w:rFonts w:cs="Arial" w:ascii="Arial" w:hAnsi="Arial"/>
          <w:bCs/>
          <w:sz w:val="22"/>
          <w:szCs w:val="22"/>
        </w:rPr>
        <w:t>Le plafond de la sécurité sociale ainsi que le taux de cotisation n’ont pas évolué sur 2022. La participation de l’entreprise à la</w:t>
      </w:r>
      <w:r>
        <w:rPr>
          <w:bCs/>
        </w:rPr>
        <w:t xml:space="preserve"> </w:t>
      </w:r>
      <w:r>
        <w:rPr>
          <w:rFonts w:cs="Arial" w:ascii="Arial" w:hAnsi="Arial"/>
          <w:bCs/>
          <w:sz w:val="22"/>
          <w:szCs w:val="22"/>
        </w:rPr>
        <w:t>complémentaire pour frais de santé des ouvriers et ETAM reste à l’identique.</w:t>
      </w:r>
    </w:p>
    <w:p>
      <w:pPr>
        <w:pStyle w:val="Normal"/>
        <w:jc w:val="both"/>
        <w:rPr>
          <w:rFonts w:ascii="Arial" w:hAnsi="Arial" w:cs="Arial"/>
          <w:b/>
          <w:b/>
          <w:bCs/>
          <w:sz w:val="22"/>
          <w:szCs w:val="22"/>
        </w:rPr>
      </w:pPr>
      <w:r>
        <w:rPr>
          <w:rFonts w:cs="Arial" w:ascii="Arial" w:hAnsi="Arial"/>
          <w:b/>
          <w:bCs/>
          <w:sz w:val="22"/>
          <w:szCs w:val="22"/>
        </w:rPr>
      </w:r>
    </w:p>
    <w:p>
      <w:pPr>
        <w:pStyle w:val="Normal"/>
        <w:ind w:firstLine="709"/>
        <w:jc w:val="both"/>
        <w:rPr/>
      </w:pPr>
      <w:r>
        <w:rPr>
          <w:rFonts w:cs="Arial" w:ascii="Arial" w:hAnsi="Arial"/>
          <w:b/>
          <w:sz w:val="22"/>
          <w:szCs w:val="22"/>
        </w:rPr>
        <w:t>2.3.9 Le 13</w:t>
      </w:r>
      <w:r>
        <w:rPr>
          <w:rFonts w:cs="Arial" w:ascii="Arial" w:hAnsi="Arial"/>
          <w:b/>
          <w:sz w:val="22"/>
          <w:szCs w:val="22"/>
          <w:vertAlign w:val="superscript"/>
        </w:rPr>
        <w:t>ème</w:t>
      </w:r>
      <w:r>
        <w:rPr>
          <w:rFonts w:cs="Arial" w:ascii="Arial" w:hAnsi="Arial"/>
          <w:b/>
          <w:sz w:val="22"/>
          <w:szCs w:val="22"/>
        </w:rPr>
        <w:t xml:space="preserve"> mois :</w:t>
      </w:r>
    </w:p>
    <w:p>
      <w:pPr>
        <w:pStyle w:val="Normal"/>
        <w:tabs>
          <w:tab w:val="left" w:pos="4536" w:leader="none"/>
        </w:tabs>
        <w:jc w:val="both"/>
        <w:rPr>
          <w:rFonts w:ascii="Arial" w:hAnsi="Arial" w:cs="Arial"/>
          <w:b/>
          <w:b/>
          <w:sz w:val="22"/>
          <w:szCs w:val="22"/>
        </w:rPr>
      </w:pPr>
      <w:r>
        <w:rPr>
          <w:rFonts w:cs="Arial" w:ascii="Arial" w:hAnsi="Arial"/>
          <w:b/>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Des échanges ont amené à une modification du système du 13</w:t>
      </w:r>
      <w:r>
        <w:rPr>
          <w:rFonts w:cs="Arial" w:ascii="Arial" w:hAnsi="Arial"/>
          <w:sz w:val="22"/>
          <w:szCs w:val="22"/>
          <w:vertAlign w:val="superscript"/>
        </w:rPr>
        <w:t>ème</w:t>
      </w:r>
      <w:r>
        <w:rPr>
          <w:rFonts w:cs="Arial" w:ascii="Arial" w:hAnsi="Arial"/>
          <w:sz w:val="22"/>
          <w:szCs w:val="22"/>
        </w:rPr>
        <w:t xml:space="preserve"> mois pour les non cadres. </w:t>
      </w:r>
    </w:p>
    <w:p>
      <w:pPr>
        <w:pStyle w:val="Normal"/>
        <w:tabs>
          <w:tab w:val="left" w:pos="4536" w:leader="none"/>
        </w:tabs>
        <w:jc w:val="both"/>
        <w:rPr>
          <w:rFonts w:ascii="Arial" w:hAnsi="Arial" w:cs="Arial"/>
          <w:sz w:val="22"/>
          <w:szCs w:val="22"/>
        </w:rPr>
      </w:pPr>
      <w:r>
        <w:rPr>
          <w:rFonts w:cs="Arial" w:ascii="Arial" w:hAnsi="Arial"/>
          <w:sz w:val="22"/>
          <w:szCs w:val="22"/>
        </w:rPr>
        <w:t xml:space="preserve">Un avenant à l’accord sera réalisé dans ce sens. </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Heading6"/>
        <w:numPr>
          <w:ilvl w:val="5"/>
          <w:numId w:val="1"/>
        </w:numPr>
        <w:tabs>
          <w:tab w:val="left" w:pos="4536" w:leader="none"/>
        </w:tabs>
        <w:rPr>
          <w:rFonts w:ascii="Arial" w:hAnsi="Arial" w:cs="Arial"/>
          <w:bCs/>
          <w:i w:val="false"/>
          <w:i w:val="false"/>
          <w:sz w:val="22"/>
          <w:szCs w:val="22"/>
        </w:rPr>
      </w:pPr>
      <w:r>
        <w:rPr>
          <w:rFonts w:cs="Arial" w:ascii="Arial" w:hAnsi="Arial"/>
          <w:bCs/>
          <w:i w:val="false"/>
          <w:sz w:val="22"/>
          <w:szCs w:val="22"/>
        </w:rPr>
        <w:t>Article 3</w:t>
      </w:r>
      <w:r>
        <w:rPr>
          <w:rFonts w:cs="Arial" w:ascii="Arial" w:hAnsi="Arial"/>
          <w:bCs/>
          <w:i w:val="false"/>
          <w:sz w:val="22"/>
          <w:szCs w:val="22"/>
          <w:u w:val="none"/>
        </w:rPr>
        <w:t> : Organisation du temps de travail</w:t>
      </w:r>
    </w:p>
    <w:p>
      <w:pPr>
        <w:pStyle w:val="Normal"/>
        <w:tabs>
          <w:tab w:val="left" w:pos="4536" w:leader="none"/>
        </w:tabs>
        <w:jc w:val="both"/>
        <w:rPr>
          <w:rFonts w:ascii="Arial" w:hAnsi="Arial" w:cs="Arial"/>
          <w:bCs/>
          <w:i/>
          <w:i/>
          <w:sz w:val="22"/>
          <w:szCs w:val="22"/>
        </w:rPr>
      </w:pPr>
      <w:r>
        <w:rPr>
          <w:rFonts w:cs="Arial" w:ascii="Arial" w:hAnsi="Arial"/>
          <w:bCs/>
          <w:i/>
          <w:sz w:val="22"/>
          <w:szCs w:val="22"/>
        </w:rPr>
      </w:r>
    </w:p>
    <w:p>
      <w:pPr>
        <w:pStyle w:val="Normal"/>
        <w:tabs>
          <w:tab w:val="left" w:pos="4536" w:leader="none"/>
        </w:tabs>
        <w:ind w:firstLine="709"/>
        <w:jc w:val="both"/>
        <w:rPr>
          <w:rFonts w:ascii="Arial" w:hAnsi="Arial" w:cs="Arial"/>
          <w:b/>
          <w:b/>
          <w:bCs/>
          <w:color w:val="333399"/>
          <w:sz w:val="22"/>
          <w:szCs w:val="22"/>
        </w:rPr>
      </w:pPr>
      <w:r>
        <w:rPr>
          <w:rFonts w:cs="Arial" w:ascii="Arial" w:hAnsi="Arial"/>
          <w:b/>
          <w:bCs/>
          <w:color w:val="333399"/>
          <w:sz w:val="22"/>
          <w:szCs w:val="22"/>
        </w:rPr>
        <w:t>3.1 Journée de solidarité</w:t>
      </w:r>
    </w:p>
    <w:p>
      <w:pPr>
        <w:pStyle w:val="Normal"/>
        <w:tabs>
          <w:tab w:val="left" w:pos="4536" w:leader="none"/>
        </w:tabs>
        <w:jc w:val="both"/>
        <w:rPr>
          <w:rFonts w:ascii="Arial" w:hAnsi="Arial" w:cs="Arial"/>
          <w:b/>
          <w:b/>
          <w:bCs/>
          <w:color w:val="333399"/>
          <w:sz w:val="22"/>
          <w:szCs w:val="22"/>
        </w:rPr>
      </w:pPr>
      <w:r>
        <w:rPr>
          <w:rFonts w:cs="Arial" w:ascii="Arial" w:hAnsi="Arial"/>
          <w:b/>
          <w:bCs/>
          <w:color w:val="333399"/>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 xml:space="preserve">La journée de solidarité sera fixée pour l’année 2022 au lundi de Pentecôte soit le 06 Juin 2022.  </w:t>
      </w:r>
    </w:p>
    <w:p>
      <w:pPr>
        <w:pStyle w:val="Normal"/>
        <w:tabs>
          <w:tab w:val="left" w:pos="4536" w:leader="none"/>
        </w:tabs>
        <w:ind w:firstLine="709"/>
        <w:jc w:val="both"/>
        <w:rPr>
          <w:rFonts w:ascii="Arial" w:hAnsi="Arial" w:cs="Arial"/>
          <w:b/>
          <w:b/>
          <w:bCs/>
          <w:color w:val="333399"/>
          <w:sz w:val="22"/>
          <w:szCs w:val="22"/>
        </w:rPr>
      </w:pPr>
      <w:r>
        <w:rPr>
          <w:rFonts w:cs="Arial" w:ascii="Arial" w:hAnsi="Arial"/>
          <w:b/>
          <w:bCs/>
          <w:color w:val="333399"/>
          <w:sz w:val="22"/>
          <w:szCs w:val="22"/>
        </w:rPr>
      </w:r>
    </w:p>
    <w:p>
      <w:pPr>
        <w:pStyle w:val="Normal"/>
        <w:tabs>
          <w:tab w:val="left" w:pos="4536" w:leader="none"/>
        </w:tabs>
        <w:ind w:firstLine="709"/>
        <w:jc w:val="both"/>
        <w:rPr>
          <w:rFonts w:ascii="Arial" w:hAnsi="Arial" w:cs="Arial"/>
          <w:b/>
          <w:b/>
          <w:bCs/>
          <w:color w:val="333399"/>
          <w:sz w:val="22"/>
          <w:szCs w:val="22"/>
        </w:rPr>
      </w:pPr>
      <w:r>
        <w:rPr>
          <w:rFonts w:cs="Arial" w:ascii="Arial" w:hAnsi="Arial"/>
          <w:b/>
          <w:bCs/>
          <w:color w:val="333399"/>
          <w:sz w:val="22"/>
          <w:szCs w:val="22"/>
        </w:rPr>
      </w:r>
    </w:p>
    <w:p>
      <w:pPr>
        <w:pStyle w:val="Normal"/>
        <w:tabs>
          <w:tab w:val="left" w:pos="4536" w:leader="none"/>
        </w:tabs>
        <w:ind w:firstLine="709"/>
        <w:jc w:val="both"/>
        <w:rPr>
          <w:rFonts w:ascii="Arial" w:hAnsi="Arial" w:cs="Arial"/>
          <w:b/>
          <w:b/>
          <w:bCs/>
          <w:color w:val="333399"/>
          <w:sz w:val="22"/>
          <w:szCs w:val="22"/>
        </w:rPr>
      </w:pPr>
      <w:r>
        <w:rPr>
          <w:rFonts w:cs="Arial" w:ascii="Arial" w:hAnsi="Arial"/>
          <w:b/>
          <w:bCs/>
          <w:color w:val="333399"/>
          <w:sz w:val="22"/>
          <w:szCs w:val="22"/>
        </w:rPr>
      </w:r>
    </w:p>
    <w:p>
      <w:pPr>
        <w:pStyle w:val="Normal"/>
        <w:tabs>
          <w:tab w:val="left" w:pos="4536" w:leader="none"/>
        </w:tabs>
        <w:ind w:firstLine="709"/>
        <w:jc w:val="both"/>
        <w:rPr>
          <w:rFonts w:ascii="Arial" w:hAnsi="Arial" w:cs="Arial"/>
          <w:b/>
          <w:b/>
          <w:bCs/>
          <w:color w:val="333399"/>
          <w:sz w:val="22"/>
          <w:szCs w:val="22"/>
        </w:rPr>
      </w:pPr>
      <w:r>
        <w:rPr>
          <w:rFonts w:cs="Arial" w:ascii="Arial" w:hAnsi="Arial"/>
          <w:b/>
          <w:bCs/>
          <w:color w:val="333399"/>
          <w:sz w:val="22"/>
          <w:szCs w:val="22"/>
        </w:rPr>
      </w:r>
    </w:p>
    <w:p>
      <w:pPr>
        <w:pStyle w:val="Normal"/>
        <w:tabs>
          <w:tab w:val="left" w:pos="4536" w:leader="none"/>
        </w:tabs>
        <w:ind w:firstLine="709"/>
        <w:jc w:val="both"/>
        <w:rPr>
          <w:rFonts w:ascii="Arial" w:hAnsi="Arial" w:cs="Arial"/>
          <w:b/>
          <w:b/>
          <w:bCs/>
          <w:color w:val="333399"/>
          <w:sz w:val="22"/>
          <w:szCs w:val="22"/>
        </w:rPr>
      </w:pPr>
      <w:r>
        <w:rPr>
          <w:rFonts w:cs="Arial" w:ascii="Arial" w:hAnsi="Arial"/>
          <w:b/>
          <w:bCs/>
          <w:color w:val="333399"/>
          <w:sz w:val="22"/>
          <w:szCs w:val="22"/>
        </w:rPr>
        <w:t>3.2 Annualisation</w:t>
      </w:r>
    </w:p>
    <w:p>
      <w:pPr>
        <w:pStyle w:val="Normal"/>
        <w:tabs>
          <w:tab w:val="left" w:pos="4536" w:leader="none"/>
        </w:tabs>
        <w:jc w:val="both"/>
        <w:rPr>
          <w:rFonts w:ascii="Arial" w:hAnsi="Arial" w:cs="Arial"/>
          <w:b/>
          <w:b/>
          <w:bCs/>
          <w:color w:val="333399"/>
          <w:sz w:val="22"/>
          <w:szCs w:val="22"/>
        </w:rPr>
      </w:pPr>
      <w:r>
        <w:rPr>
          <w:rFonts w:cs="Arial" w:ascii="Arial" w:hAnsi="Arial"/>
          <w:b/>
          <w:bCs/>
          <w:color w:val="333399"/>
          <w:sz w:val="22"/>
          <w:szCs w:val="22"/>
        </w:rPr>
      </w:r>
    </w:p>
    <w:p>
      <w:pPr>
        <w:pStyle w:val="Normal"/>
        <w:tabs>
          <w:tab w:val="left" w:pos="4536" w:leader="none"/>
        </w:tabs>
        <w:jc w:val="both"/>
        <w:rPr>
          <w:rFonts w:ascii="Arial" w:hAnsi="Arial" w:cs="Arial"/>
          <w:bCs/>
          <w:sz w:val="22"/>
          <w:szCs w:val="22"/>
        </w:rPr>
      </w:pPr>
      <w:r>
        <w:rPr>
          <w:rFonts w:cs="Arial" w:ascii="Arial" w:hAnsi="Arial"/>
          <w:bCs/>
          <w:sz w:val="22"/>
          <w:szCs w:val="22"/>
        </w:rPr>
        <w:t>Conformément à l’accord du 29 novembre 1999, les périodes hautes suivantes sont définies :</w:t>
      </w:r>
    </w:p>
    <w:p>
      <w:pPr>
        <w:pStyle w:val="Normal"/>
        <w:tabs>
          <w:tab w:val="left" w:pos="4536" w:leader="none"/>
        </w:tabs>
        <w:jc w:val="both"/>
        <w:rPr>
          <w:rFonts w:ascii="Arial" w:hAnsi="Arial" w:cs="Arial"/>
          <w:bCs/>
          <w:sz w:val="22"/>
          <w:szCs w:val="22"/>
        </w:rPr>
      </w:pPr>
      <w:r>
        <w:rPr>
          <w:rFonts w:cs="Arial" w:ascii="Arial" w:hAnsi="Arial"/>
          <w:bCs/>
          <w:sz w:val="22"/>
          <w:szCs w:val="22"/>
        </w:rPr>
        <w:t>Administration – Finances :  juin à novembre inclus</w:t>
      </w:r>
    </w:p>
    <w:p>
      <w:pPr>
        <w:pStyle w:val="Normal"/>
        <w:tabs>
          <w:tab w:val="left" w:pos="4536" w:leader="none"/>
        </w:tabs>
        <w:jc w:val="both"/>
        <w:rPr>
          <w:rFonts w:ascii="Arial" w:hAnsi="Arial" w:cs="Arial"/>
          <w:bCs/>
          <w:sz w:val="22"/>
          <w:szCs w:val="22"/>
        </w:rPr>
      </w:pPr>
      <w:r>
        <w:rPr>
          <w:rFonts w:cs="Arial" w:ascii="Arial" w:hAnsi="Arial"/>
          <w:bCs/>
          <w:sz w:val="22"/>
          <w:szCs w:val="22"/>
        </w:rPr>
        <w:t>Production : mars à juillet et septembre à novembre</w:t>
      </w:r>
    </w:p>
    <w:p>
      <w:pPr>
        <w:pStyle w:val="Normal"/>
        <w:tabs>
          <w:tab w:val="left" w:pos="4536" w:leader="none"/>
        </w:tabs>
        <w:jc w:val="both"/>
        <w:rPr>
          <w:rFonts w:ascii="Arial" w:hAnsi="Arial" w:cs="Arial"/>
          <w:bCs/>
          <w:sz w:val="22"/>
          <w:szCs w:val="22"/>
        </w:rPr>
      </w:pPr>
      <w:r>
        <w:rPr>
          <w:rFonts w:cs="Arial" w:ascii="Arial" w:hAnsi="Arial"/>
          <w:bCs/>
          <w:sz w:val="22"/>
          <w:szCs w:val="22"/>
        </w:rPr>
      </w:r>
    </w:p>
    <w:p>
      <w:pPr>
        <w:pStyle w:val="Heading6"/>
        <w:numPr>
          <w:ilvl w:val="5"/>
          <w:numId w:val="1"/>
        </w:numPr>
        <w:tabs>
          <w:tab w:val="left" w:pos="4536" w:leader="none"/>
        </w:tabs>
        <w:rPr>
          <w:rFonts w:ascii="Arial" w:hAnsi="Arial" w:cs="Arial"/>
          <w:bCs/>
          <w:i w:val="false"/>
          <w:i w:val="false"/>
          <w:sz w:val="22"/>
          <w:szCs w:val="22"/>
          <w:u w:val="none"/>
        </w:rPr>
      </w:pPr>
      <w:r>
        <w:rPr>
          <w:rFonts w:cs="Arial" w:ascii="Arial" w:hAnsi="Arial"/>
          <w:bCs/>
          <w:i w:val="false"/>
          <w:sz w:val="22"/>
          <w:szCs w:val="22"/>
        </w:rPr>
        <w:t>Article 4</w:t>
      </w:r>
      <w:r>
        <w:rPr>
          <w:rFonts w:cs="Arial" w:ascii="Arial" w:hAnsi="Arial"/>
          <w:bCs/>
          <w:i w:val="false"/>
          <w:sz w:val="22"/>
          <w:szCs w:val="22"/>
          <w:u w:val="none"/>
        </w:rPr>
        <w:t> : Epargne salariale</w:t>
      </w:r>
    </w:p>
    <w:p>
      <w:pPr>
        <w:pStyle w:val="Normal"/>
        <w:tabs>
          <w:tab w:val="left" w:pos="4536" w:leader="none"/>
        </w:tabs>
        <w:jc w:val="both"/>
        <w:rPr>
          <w:rFonts w:ascii="Arial" w:hAnsi="Arial" w:cs="Arial"/>
          <w:sz w:val="22"/>
          <w:szCs w:val="22"/>
        </w:rPr>
      </w:pPr>
      <w:r>
        <w:rPr>
          <w:rFonts w:cs="Arial" w:ascii="Arial" w:hAnsi="Arial"/>
          <w:sz w:val="22"/>
          <w:szCs w:val="22"/>
        </w:rPr>
        <w:t>Aucune modification n’est apportée au dispositif d’épargne salariale en place dans l’entreprise.</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Les thèmes de la pénibilité et de la qualité de vie au travail ainsi que celui de l’égalité professionnelle entre les hommes et les femmes sont couverts par des accords d’entreprise en vigueur. De plus une réunion le 16 Février 2022 est organisée afin d’échanger sur l’indicateur égalité H/F.</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La Direction s’engage enfin, à poursuivre la démarche en faveur de l’insertion professionnelle et au maintien dans l’emploi des handicapés.</w:t>
      </w:r>
    </w:p>
    <w:p>
      <w:pPr>
        <w:pStyle w:val="Normal"/>
        <w:tabs>
          <w:tab w:val="left" w:pos="4536" w:leader="none"/>
        </w:tabs>
        <w:jc w:val="both"/>
        <w:rPr>
          <w:rFonts w:ascii="Arial" w:hAnsi="Arial" w:cs="Arial"/>
          <w:bCs/>
          <w:sz w:val="22"/>
          <w:szCs w:val="22"/>
        </w:rPr>
      </w:pPr>
      <w:r>
        <w:rPr>
          <w:rFonts w:cs="Arial" w:ascii="Arial" w:hAnsi="Arial"/>
          <w:bCs/>
          <w:sz w:val="22"/>
          <w:szCs w:val="22"/>
        </w:rPr>
      </w:r>
    </w:p>
    <w:p>
      <w:pPr>
        <w:pStyle w:val="Heading6"/>
        <w:numPr>
          <w:ilvl w:val="5"/>
          <w:numId w:val="1"/>
        </w:numPr>
        <w:tabs>
          <w:tab w:val="left" w:pos="4536" w:leader="none"/>
        </w:tabs>
        <w:rPr/>
      </w:pPr>
      <w:r>
        <w:rPr>
          <w:rFonts w:cs="Arial" w:ascii="Arial" w:hAnsi="Arial"/>
          <w:bCs/>
          <w:i w:val="false"/>
          <w:sz w:val="22"/>
          <w:szCs w:val="22"/>
        </w:rPr>
        <w:t>Article 5</w:t>
      </w:r>
      <w:r>
        <w:rPr>
          <w:rFonts w:cs="Arial" w:ascii="Arial" w:hAnsi="Arial"/>
          <w:bCs/>
          <w:i w:val="false"/>
          <w:sz w:val="22"/>
          <w:szCs w:val="22"/>
          <w:u w:val="none"/>
        </w:rPr>
        <w:t> : Date d’entrée en vigueur</w:t>
      </w:r>
    </w:p>
    <w:p>
      <w:pPr>
        <w:pStyle w:val="Normal"/>
        <w:tabs>
          <w:tab w:val="left" w:pos="4536" w:leader="none"/>
        </w:tabs>
        <w:jc w:val="both"/>
        <w:rPr>
          <w:rFonts w:ascii="Arial" w:hAnsi="Arial" w:cs="Arial"/>
          <w:sz w:val="22"/>
          <w:szCs w:val="22"/>
        </w:rPr>
      </w:pPr>
      <w:r>
        <w:rPr>
          <w:rFonts w:cs="Arial" w:ascii="Arial" w:hAnsi="Arial"/>
          <w:sz w:val="22"/>
          <w:szCs w:val="22"/>
        </w:rPr>
        <w:t>Le présent accord entrera en vigueur à la date de signature.</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Heading6"/>
        <w:numPr>
          <w:ilvl w:val="5"/>
          <w:numId w:val="1"/>
        </w:numPr>
        <w:tabs>
          <w:tab w:val="left" w:pos="4536" w:leader="none"/>
        </w:tabs>
        <w:rPr/>
      </w:pPr>
      <w:r>
        <w:rPr>
          <w:rFonts w:cs="Arial" w:ascii="Arial" w:hAnsi="Arial"/>
          <w:bCs/>
          <w:i w:val="false"/>
          <w:sz w:val="22"/>
          <w:szCs w:val="22"/>
        </w:rPr>
        <w:t>Article 6</w:t>
      </w:r>
      <w:r>
        <w:rPr>
          <w:rFonts w:cs="Arial" w:ascii="Arial" w:hAnsi="Arial"/>
          <w:bCs/>
          <w:i w:val="false"/>
          <w:sz w:val="22"/>
          <w:szCs w:val="22"/>
          <w:u w:val="none"/>
        </w:rPr>
        <w:t> : Dénonciation</w:t>
      </w:r>
    </w:p>
    <w:p>
      <w:pPr>
        <w:pStyle w:val="Normal"/>
        <w:tabs>
          <w:tab w:val="left" w:pos="4536" w:leader="none"/>
        </w:tabs>
        <w:jc w:val="both"/>
        <w:rPr>
          <w:rFonts w:ascii="Arial" w:hAnsi="Arial" w:cs="Arial"/>
          <w:bCs/>
          <w:i/>
          <w:i/>
          <w:sz w:val="22"/>
          <w:szCs w:val="22"/>
          <w:u w:val="none"/>
        </w:rPr>
      </w:pPr>
      <w:r>
        <w:rPr>
          <w:rFonts w:cs="Arial" w:ascii="Arial" w:hAnsi="Arial"/>
          <w:bCs/>
          <w:i/>
          <w:sz w:val="22"/>
          <w:szCs w:val="22"/>
          <w:u w:val="none"/>
        </w:rPr>
      </w:r>
    </w:p>
    <w:p>
      <w:pPr>
        <w:pStyle w:val="Normal"/>
        <w:tabs>
          <w:tab w:val="left" w:pos="4536" w:leader="none"/>
        </w:tabs>
        <w:jc w:val="both"/>
        <w:rPr>
          <w:rFonts w:ascii="Arial" w:hAnsi="Arial" w:cs="Arial"/>
          <w:sz w:val="22"/>
          <w:szCs w:val="22"/>
        </w:rPr>
      </w:pPr>
      <w:r>
        <w:rPr>
          <w:rFonts w:cs="Arial" w:ascii="Arial" w:hAnsi="Arial"/>
          <w:sz w:val="22"/>
          <w:szCs w:val="22"/>
        </w:rPr>
        <w:t>La dénonciation par l’une des parties contractantes devra être postée, par lettre recommandée avec avis de réception, à la connaissance de l’autre partie contractante.</w:t>
      </w:r>
    </w:p>
    <w:p>
      <w:pPr>
        <w:pStyle w:val="Normal"/>
        <w:tabs>
          <w:tab w:val="left" w:pos="4536" w:leader="none"/>
        </w:tabs>
        <w:jc w:val="both"/>
        <w:rPr/>
      </w:pPr>
      <w:r>
        <w:rPr>
          <w:rFonts w:cs="Arial" w:ascii="Arial" w:hAnsi="Arial"/>
          <w:sz w:val="22"/>
          <w:szCs w:val="22"/>
        </w:rPr>
        <w:t>La partie dénonçant l’accord devra accompagner sa lettre des motifs qui la pousse à cette décision.</w:t>
      </w:r>
    </w:p>
    <w:p>
      <w:pPr>
        <w:pStyle w:val="Normal"/>
        <w:tabs>
          <w:tab w:val="left" w:pos="4536" w:leader="none"/>
        </w:tabs>
        <w:jc w:val="both"/>
        <w:rPr>
          <w:rFonts w:ascii="Arial" w:hAnsi="Arial" w:cs="Arial"/>
          <w:sz w:val="22"/>
          <w:szCs w:val="22"/>
        </w:rPr>
      </w:pPr>
      <w:r>
        <w:rPr>
          <w:rFonts w:cs="Arial" w:ascii="Arial" w:hAnsi="Arial"/>
          <w:sz w:val="22"/>
          <w:szCs w:val="22"/>
        </w:rPr>
        <w:t xml:space="preserve">Une réunion des parties signataires aura lieu dans le mois suivant cette dénonciation. </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Heading6"/>
        <w:numPr>
          <w:ilvl w:val="5"/>
          <w:numId w:val="1"/>
        </w:numPr>
        <w:tabs>
          <w:tab w:val="left" w:pos="4536" w:leader="none"/>
        </w:tabs>
        <w:rPr/>
      </w:pPr>
      <w:r>
        <w:rPr>
          <w:rFonts w:cs="Arial" w:ascii="Arial" w:hAnsi="Arial"/>
          <w:bCs/>
          <w:i w:val="false"/>
          <w:sz w:val="22"/>
          <w:szCs w:val="22"/>
        </w:rPr>
        <w:t>Article 7</w:t>
      </w:r>
      <w:r>
        <w:rPr>
          <w:rFonts w:cs="Arial" w:ascii="Arial" w:hAnsi="Arial"/>
          <w:bCs/>
          <w:i w:val="false"/>
          <w:sz w:val="22"/>
          <w:szCs w:val="22"/>
          <w:u w:val="none"/>
        </w:rPr>
        <w:t> : Dépôt et publicité</w:t>
      </w:r>
    </w:p>
    <w:p>
      <w:pPr>
        <w:pStyle w:val="Normal"/>
        <w:rPr>
          <w:rFonts w:ascii="Arial" w:hAnsi="Arial" w:cs="Arial"/>
          <w:bCs/>
          <w:i/>
          <w:i/>
          <w:sz w:val="22"/>
          <w:szCs w:val="22"/>
          <w:u w:val="none"/>
        </w:rPr>
      </w:pPr>
      <w:r>
        <w:rPr>
          <w:rFonts w:cs="Arial" w:ascii="Arial" w:hAnsi="Arial"/>
          <w:bCs/>
          <w:i/>
          <w:sz w:val="22"/>
          <w:szCs w:val="22"/>
          <w:u w:val="none"/>
        </w:rPr>
      </w:r>
    </w:p>
    <w:p>
      <w:pPr>
        <w:pStyle w:val="Normal"/>
        <w:rPr/>
      </w:pPr>
      <w:r>
        <w:rPr>
          <w:rFonts w:cs="Arial" w:ascii="Arial" w:hAnsi="Arial"/>
          <w:sz w:val="22"/>
          <w:szCs w:val="22"/>
        </w:rPr>
        <w:t>Le présent accord sera déposé par lettre recommandée avec avis de réception dans les 15 jours suivants sa conclusion en un exemplaire original version papier, et envoyé en version électronique à la DREETS de Lorraine.</w:t>
      </w:r>
    </w:p>
    <w:p>
      <w:pPr>
        <w:pStyle w:val="Normal"/>
        <w:rPr>
          <w:rFonts w:ascii="Arial" w:hAnsi="Arial" w:cs="Arial"/>
          <w:sz w:val="22"/>
          <w:szCs w:val="22"/>
        </w:rPr>
      </w:pPr>
      <w:r>
        <w:rPr>
          <w:rFonts w:cs="Arial" w:ascii="Arial" w:hAnsi="Arial"/>
          <w:sz w:val="22"/>
          <w:szCs w:val="22"/>
        </w:rPr>
        <w:t>Un exemplaire du présent accord sera déposé par lettre recommandée avec avis de réception  au secrétariat greffe du conseil de prud’hommes compétent territorialement.</w:t>
      </w:r>
    </w:p>
    <w:p>
      <w:pPr>
        <w:pStyle w:val="Normal"/>
        <w:rPr>
          <w:rFonts w:ascii="Arial" w:hAnsi="Arial" w:cs="Arial"/>
          <w:sz w:val="22"/>
          <w:szCs w:val="22"/>
        </w:rPr>
      </w:pPr>
      <w:r>
        <w:rPr>
          <w:rFonts w:cs="Arial" w:ascii="Arial" w:hAnsi="Arial"/>
          <w:sz w:val="22"/>
          <w:szCs w:val="22"/>
        </w:rPr>
        <w:t>L’ensemble de ces dépôts se fera par les soins de l’entreprise.</w:t>
      </w:r>
    </w:p>
    <w:p>
      <w:pPr>
        <w:pStyle w:val="Normal"/>
        <w:rPr>
          <w:rFonts w:ascii="Arial" w:hAnsi="Arial" w:cs="Arial"/>
          <w:sz w:val="22"/>
          <w:szCs w:val="22"/>
        </w:rPr>
      </w:pPr>
      <w:r>
        <w:rPr>
          <w:rFonts w:cs="Arial" w:ascii="Arial" w:hAnsi="Arial"/>
          <w:sz w:val="22"/>
          <w:szCs w:val="22"/>
        </w:rPr>
        <w:t>L’accord sera notifié aux organisations syndicales représentatives.</w:t>
      </w:r>
    </w:p>
    <w:p>
      <w:pPr>
        <w:pStyle w:val="Normal"/>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sz w:val="22"/>
          <w:szCs w:val="22"/>
        </w:rPr>
      </w:pPr>
      <w:r>
        <w:rPr>
          <w:rFonts w:cs="Arial" w:ascii="Arial" w:hAnsi="Arial"/>
          <w:sz w:val="22"/>
          <w:szCs w:val="22"/>
        </w:rPr>
        <w:tab/>
        <w:t xml:space="preserve">Fait à Florange, le 14 Février 2022 </w:t>
      </w:r>
    </w:p>
    <w:p>
      <w:pPr>
        <w:pStyle w:val="Normal"/>
        <w:tabs>
          <w:tab w:val="left" w:pos="4536" w:leader="none"/>
        </w:tabs>
        <w:jc w:val="both"/>
        <w:rPr>
          <w:rFonts w:ascii="Arial" w:hAnsi="Arial" w:cs="Arial"/>
          <w:sz w:val="22"/>
          <w:szCs w:val="22"/>
        </w:rPr>
      </w:pPr>
      <w:r>
        <w:rPr>
          <w:rFonts w:cs="Arial" w:ascii="Arial" w:hAnsi="Arial"/>
          <w:sz w:val="22"/>
          <w:szCs w:val="22"/>
        </w:rPr>
      </w:r>
    </w:p>
    <w:p>
      <w:pPr>
        <w:pStyle w:val="Normal"/>
        <w:tabs>
          <w:tab w:val="left" w:pos="4536" w:leader="none"/>
        </w:tabs>
        <w:jc w:val="both"/>
        <w:rPr>
          <w:rFonts w:ascii="Arial" w:hAnsi="Arial" w:cs="Arial"/>
          <w:b/>
          <w:b/>
        </w:rPr>
      </w:pPr>
      <w:r>
        <w:rPr>
          <w:rFonts w:cs="Arial" w:ascii="Arial" w:hAnsi="Arial"/>
          <w:b/>
        </w:rPr>
        <w:t>Pour les organisations syndicales</w:t>
        <w:tab/>
        <w:tab/>
        <w:t xml:space="preserve">Pour thyssenkrupp Presta France S.A.S. </w:t>
      </w:r>
    </w:p>
    <w:p>
      <w:pPr>
        <w:pStyle w:val="Header"/>
        <w:rPr>
          <w:rFonts w:ascii="Arial" w:hAnsi="Arial" w:cs="Arial"/>
          <w:b/>
          <w:b/>
        </w:rPr>
      </w:pPr>
      <w:r>
        <w:rPr>
          <w:rFonts w:cs="Arial" w:ascii="Arial" w:hAnsi="Arial"/>
          <w:b/>
        </w:rPr>
        <w:t>Délégué syndical CFDT</w:t>
      </w:r>
    </w:p>
    <w:p>
      <w:pPr>
        <w:pStyle w:val="Header"/>
        <w:rPr>
          <w:rFonts w:ascii="Arial" w:hAnsi="Arial" w:cs="Arial"/>
          <w:b/>
          <w:b/>
        </w:rPr>
      </w:pPr>
      <w:r>
        <w:rPr>
          <w:rFonts w:cs="Arial" w:ascii="Arial" w:hAnsi="Arial"/>
          <w:b/>
        </w:rPr>
        <w:tab/>
        <w:tab/>
        <w:tab/>
        <w:tab/>
        <w:tab/>
        <w:tab/>
        <w:tab/>
        <w:t>Directrice des Ressources Humaines</w:t>
      </w:r>
    </w:p>
    <w:p>
      <w:pPr>
        <w:pStyle w:val="Header"/>
        <w:rPr>
          <w:rFonts w:ascii="Arial" w:hAnsi="Arial" w:cs="Arial"/>
          <w:b/>
          <w:b/>
        </w:rPr>
      </w:pPr>
      <w:r>
        <w:rPr>
          <w:rFonts w:cs="Arial" w:ascii="Arial" w:hAnsi="Arial"/>
          <w:b/>
        </w:rPr>
      </w:r>
    </w:p>
    <w:p>
      <w:pPr>
        <w:pStyle w:val="Header"/>
        <w:rPr>
          <w:rFonts w:ascii="Arial" w:hAnsi="Arial" w:cs="Arial"/>
          <w:b/>
          <w:b/>
        </w:rPr>
      </w:pPr>
      <w:r>
        <w:rPr>
          <w:rFonts w:cs="Arial" w:ascii="Arial" w:hAnsi="Arial"/>
          <w:b/>
        </w:rPr>
      </w:r>
    </w:p>
    <w:p>
      <w:pPr>
        <w:pStyle w:val="Header"/>
        <w:rPr>
          <w:rFonts w:ascii="Arial" w:hAnsi="Arial" w:cs="Arial"/>
          <w:b/>
          <w:b/>
        </w:rPr>
      </w:pPr>
      <w:r>
        <w:rPr>
          <w:rFonts w:cs="Arial" w:ascii="Arial" w:hAnsi="Arial"/>
          <w:b/>
        </w:rPr>
        <w:t>Délégué syndical CGT</w:t>
      </w:r>
    </w:p>
    <w:sectPr>
      <w:footerReference w:type="default" r:id="rId2"/>
      <w:type w:val="nextPage"/>
      <w:pgSz w:w="11906" w:h="16838"/>
      <w:pgMar w:left="1134" w:right="991" w:header="0" w:top="1701" w:footer="709"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KTypeRegular">
    <w:altName w:val="Noto Kufi Arabic"/>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Style w:val="PageNumber"/>
        <w:sz w:val="20"/>
        <w:szCs w:val="20"/>
      </w:rPr>
    </w:pPr>
    <w:r>
      <w:rPr>
        <w:rStyle w:val="PageNumber"/>
      </w:rPr>
      <w:tab/>
      <w:tab/>
    </w:r>
    <w:r>
      <w:rPr>
        <w:rStyle w:val="PageNumber"/>
        <w:sz w:val="20"/>
        <w:szCs w:val="20"/>
      </w:rPr>
      <w:fldChar w:fldCharType="begin"/>
    </w:r>
    <w:r>
      <w:instrText> PAGE </w:instrText>
    </w:r>
    <w:r>
      <w:fldChar w:fldCharType="separate"/>
    </w:r>
    <w:r>
      <w:t>4</w:t>
    </w:r>
    <w:r>
      <w:fldChar w:fldCharType="end"/>
    </w:r>
    <w:r>
      <w:rPr>
        <w:rStyle w:val="PageNumber"/>
        <w:sz w:val="20"/>
        <w:szCs w:val="20"/>
      </w:rPr>
      <w:t>/</w:t>
    </w:r>
    <w:r>
      <w:rPr>
        <w:rStyle w:val="PageNumber"/>
        <w:sz w:val="20"/>
        <w:szCs w:val="20"/>
      </w:rPr>
      <w:fldChar w:fldCharType="begin"/>
    </w:r>
    <w:r>
      <w:instrText> NUMPAGES \* ARABIC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bullet"/>
      <w:lvlText w:val=""/>
      <w:lvlJc w:val="left"/>
      <w:pPr>
        <w:ind w:left="720" w:hanging="360"/>
      </w:pPr>
      <w:rPr>
        <w:rFonts w:ascii="Symbol" w:hAnsi="Symbol" w:cs="Symbol" w:hint="default"/>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KTypeRegular;Noto Kufi Arabic" w:hAnsi="TKTypeRegular;Noto Kufi Arabic" w:eastAsia="Times New Roman" w:cs="TKTypeRegular;Noto Kufi Arabic"/>
      <w:color w:val="auto"/>
      <w:sz w:val="24"/>
      <w:szCs w:val="24"/>
      <w:lang w:val="fr-FR" w:bidi="ar-SA" w:eastAsia="zh-CN"/>
    </w:rPr>
  </w:style>
  <w:style w:type="paragraph" w:styleId="Heading1">
    <w:name w:val="Heading 1"/>
    <w:basedOn w:val="Normal"/>
    <w:next w:val="Normal"/>
    <w:qFormat/>
    <w:pPr>
      <w:keepNext w:val="true"/>
      <w:numPr>
        <w:ilvl w:val="0"/>
        <w:numId w:val="1"/>
      </w:numPr>
      <w:pBdr>
        <w:top w:val="single" w:sz="4" w:space="1" w:color="000000"/>
        <w:left w:val="single" w:sz="4" w:space="4" w:color="000000"/>
        <w:bottom w:val="single" w:sz="4" w:space="1" w:color="000000"/>
        <w:right w:val="single" w:sz="4" w:space="4" w:color="000000"/>
      </w:pBdr>
      <w:jc w:val="center"/>
      <w:outlineLvl w:val="0"/>
    </w:pPr>
    <w:rPr>
      <w:b/>
      <w:bCs/>
      <w:sz w:val="32"/>
    </w:rPr>
  </w:style>
  <w:style w:type="paragraph" w:styleId="Heading2">
    <w:name w:val="Heading 2"/>
    <w:basedOn w:val="Normal"/>
    <w:next w:val="Normal"/>
    <w:qFormat/>
    <w:pPr>
      <w:keepNext w:val="true"/>
      <w:numPr>
        <w:ilvl w:val="1"/>
        <w:numId w:val="1"/>
      </w:numPr>
      <w:jc w:val="both"/>
      <w:outlineLvl w:val="1"/>
    </w:pPr>
    <w:rPr>
      <w:b/>
      <w:bCs/>
      <w:color w:val="333399"/>
    </w:rPr>
  </w:style>
  <w:style w:type="paragraph" w:styleId="Heading3">
    <w:name w:val="Heading 3"/>
    <w:basedOn w:val="Normal"/>
    <w:next w:val="Normal"/>
    <w:qFormat/>
    <w:pPr>
      <w:keepNext w:val="true"/>
      <w:numPr>
        <w:ilvl w:val="2"/>
        <w:numId w:val="1"/>
      </w:numPr>
      <w:pBdr>
        <w:top w:val="single" w:sz="4" w:space="1" w:color="000000"/>
        <w:bottom w:val="single" w:sz="4" w:space="1" w:color="000000"/>
      </w:pBdr>
      <w:ind w:right="8038" w:hanging="0"/>
      <w:jc w:val="center"/>
      <w:outlineLvl w:val="2"/>
    </w:pPr>
    <w:rPr>
      <w:b/>
      <w:bCs/>
      <w:sz w:val="36"/>
    </w:rPr>
  </w:style>
  <w:style w:type="paragraph" w:styleId="Heading4">
    <w:name w:val="Heading 4"/>
    <w:basedOn w:val="Normal"/>
    <w:next w:val="Normal"/>
    <w:qFormat/>
    <w:pPr>
      <w:keepNext w:val="true"/>
      <w:numPr>
        <w:ilvl w:val="3"/>
        <w:numId w:val="1"/>
      </w:numPr>
      <w:jc w:val="both"/>
      <w:outlineLvl w:val="3"/>
    </w:pPr>
    <w:rPr>
      <w:b/>
      <w:bCs/>
      <w:sz w:val="32"/>
    </w:rPr>
  </w:style>
  <w:style w:type="paragraph" w:styleId="Heading5">
    <w:name w:val="Heading 5"/>
    <w:basedOn w:val="Normal"/>
    <w:next w:val="Normal"/>
    <w:qFormat/>
    <w:pPr>
      <w:keepNext w:val="true"/>
      <w:numPr>
        <w:ilvl w:val="4"/>
        <w:numId w:val="1"/>
      </w:numPr>
      <w:jc w:val="center"/>
      <w:outlineLvl w:val="4"/>
    </w:pPr>
    <w:rPr>
      <w:b/>
      <w:bCs/>
      <w:color w:val="333399"/>
      <w:sz w:val="32"/>
    </w:rPr>
  </w:style>
  <w:style w:type="paragraph" w:styleId="Heading6">
    <w:name w:val="Heading 6"/>
    <w:basedOn w:val="Normal"/>
    <w:next w:val="Normal"/>
    <w:qFormat/>
    <w:pPr>
      <w:keepNext w:val="true"/>
      <w:numPr>
        <w:ilvl w:val="5"/>
        <w:numId w:val="1"/>
      </w:numPr>
      <w:jc w:val="both"/>
      <w:outlineLvl w:val="5"/>
    </w:pPr>
    <w:rPr>
      <w:b/>
      <w:i/>
      <w:iCs/>
      <w:color w:val="333399"/>
      <w:sz w:val="28"/>
      <w:u w:val="single"/>
    </w:rPr>
  </w:style>
  <w:style w:type="paragraph" w:styleId="Heading7">
    <w:name w:val="Heading 7"/>
    <w:basedOn w:val="Normal"/>
    <w:next w:val="Normal"/>
    <w:qFormat/>
    <w:pPr>
      <w:keepNext w:val="true"/>
      <w:numPr>
        <w:ilvl w:val="6"/>
        <w:numId w:val="1"/>
      </w:numPr>
      <w:outlineLvl w:val="6"/>
    </w:pPr>
    <w:rPr>
      <w:b/>
      <w:bCs/>
      <w:sz w:val="56"/>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TKTypeRegular;Noto Kufi Arabic" w:hAnsi="TKTypeRegular;Noto Kufi Arabic" w:eastAsia="Times New Roman" w:cs="Times New Roman"/>
      <w:b/>
      <w:color w:val="333399"/>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KTypeRegular;Noto Kufi Arabic" w:hAnsi="TKTypeRegular;Noto Kufi Arabic" w:eastAsia="Times New Roman" w:cs="Times New Roman"/>
      <w:b/>
      <w:color w:val="333399"/>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rFonts w:ascii="Symbol" w:hAnsi="Symbol" w:eastAsia="Times New Roman" w:cs="Times New Roman"/>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TKTypeRegular;Noto Kufi Arabic" w:hAnsi="TKTypeRegular;Noto Kufi Arabic" w:eastAsia="Times New Roman" w:cs="Times New Roman"/>
      <w:b/>
      <w:color w:val="333399"/>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style>
  <w:style w:type="character" w:styleId="Policepardfaut">
    <w:name w:val="Police par défaut"/>
    <w:qFormat/>
    <w:rPr/>
  </w:style>
  <w:style w:type="character" w:styleId="PageNumber">
    <w:name w:val="Page Number"/>
    <w:basedOn w:val="Policepardfau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tabs>
        <w:tab w:val="left" w:pos="567" w:leader="none"/>
      </w:tabs>
      <w:ind w:right="-567" w:hanging="0"/>
      <w:jc w:val="both"/>
    </w:pPr>
    <w:rPr>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centr">
    <w:name w:val="Normal centré"/>
    <w:basedOn w:val="Normal"/>
    <w:qFormat/>
    <w:pPr>
      <w:pBdr>
        <w:top w:val="single" w:sz="4" w:space="1" w:color="000000"/>
        <w:left w:val="single" w:sz="4" w:space="4" w:color="000000"/>
        <w:bottom w:val="single" w:sz="4" w:space="1" w:color="000000"/>
        <w:right w:val="single" w:sz="4" w:space="4" w:color="000000"/>
      </w:pBdr>
      <w:ind w:left="2340" w:right="2232" w:hanging="0"/>
      <w:jc w:val="center"/>
    </w:pPr>
    <w:rPr>
      <w:b/>
      <w:bCs/>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BodyIndent">
    <w:name w:val="Body Text Indent"/>
    <w:basedOn w:val="Normal"/>
    <w:pPr>
      <w:tabs>
        <w:tab w:val="left" w:pos="4536" w:leader="none"/>
      </w:tabs>
      <w:ind w:left="1080" w:hanging="0"/>
      <w:jc w:val="both"/>
    </w:pPr>
    <w:rPr/>
  </w:style>
  <w:style w:type="paragraph" w:styleId="Corpsdetexte2">
    <w:name w:val="Corps de texte 2"/>
    <w:basedOn w:val="Normal"/>
    <w:qFormat/>
    <w:pPr>
      <w:tabs>
        <w:tab w:val="left" w:pos="4536" w:leader="none"/>
      </w:tabs>
      <w:jc w:val="both"/>
    </w:pPr>
    <w:rPr/>
  </w:style>
  <w:style w:type="paragraph" w:styleId="Textedebulles">
    <w:name w:val="Texte de bulles"/>
    <w:basedOn w:val="Normal"/>
    <w:qFormat/>
    <w:pPr/>
    <w:rPr>
      <w:rFonts w:ascii="Tahoma" w:hAnsi="Tahoma" w:cs="Tahoma"/>
      <w:sz w:val="16"/>
      <w:szCs w:val="16"/>
    </w:rPr>
  </w:style>
  <w:style w:type="paragraph" w:styleId="NormalWeb">
    <w:name w:val="Normal (Web)"/>
    <w:basedOn w:val="Normal"/>
    <w:qFormat/>
    <w:pPr>
      <w:spacing w:before="280" w:after="280"/>
    </w:pPr>
    <w:rPr>
      <w:rFonts w:ascii="Times New Roman" w:hAnsi="Times New Roman" w:eastAsia="DengXian;等线" w:cs="Times New Roman"/>
      <w:lang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2022-03-11T15:23:00Z</dcterms:created>
  <dc:creator/>
  <dc:description/>
  <dc:language>en-GB</dc:language>
  <cp:lastModifiedBy/>
  <cp:lastPrinted>2020-02-20T08:46:00Z</cp:lastPrinted>
  <dcterms:modified xsi:type="dcterms:W3CDTF">2022-03-11T15:24:00Z</dcterms:modified>
  <cp:revision>3</cp:revision>
  <dc:subject/>
  <dc:title>AVENANT N°1 A L’ACCORD D’ENTREPRISE</dc:title>
</cp:coreProperties>
</file>