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rPr/>
      </w:pPr>
      <w:r>
        <w:rPr/>
        <mc:AlternateContent>
          <mc:Choice Requires="wps">
            <w:drawing>
              <wp:anchor allowOverlap="1" behindDoc="0" distB="0" distL="7620" distR="0" distT="7620" layoutInCell="0" locked="0" relativeHeight="5" simplePos="0" wp14:anchorId="580B2DD8">
                <wp:simplePos x="0" y="0"/>
                <wp:positionH relativeFrom="margin">
                  <wp:posOffset>934720</wp:posOffset>
                </wp:positionH>
                <wp:positionV relativeFrom="paragraph">
                  <wp:posOffset>283845</wp:posOffset>
                </wp:positionV>
                <wp:extent cx="4349750" cy="915035"/>
                <wp:effectExtent b="19050" l="0" r="13335" t="0"/>
                <wp:wrapNone/>
                <wp:docPr id="1" name="Zone de texte 1"/>
                <a:graphic xmlns:a="http://schemas.openxmlformats.org/drawingml/2006/main">
                  <a:graphicData uri="http://schemas.microsoft.com/office/word/2010/wordprocessingShape">
                    <wps:wsp>
                      <wps:cNvSpPr/>
                      <wps:spPr>
                        <a:xfrm>
                          <a:off x="0" y="0"/>
                          <a:ext cx="4349160" cy="914400"/>
                        </a:xfrm>
                        <a:prstGeom prst="rect">
                          <a:avLst/>
                        </a:prstGeom>
                        <a:solidFill>
                          <a:schemeClr val="lt1"/>
                        </a:solidFill>
                        <a:ln w="15875">
                          <a:solidFill>
                            <a:srgbClr val="000000"/>
                          </a:solidFill>
                          <a:round/>
                        </a:ln>
                      </wps:spPr>
                      <wps:style>
                        <a:lnRef idx="0"/>
                        <a:fillRef idx="0"/>
                        <a:effectRef idx="0"/>
                        <a:fontRef idx="minor"/>
                      </wps:style>
                      <wps:txbx>
                        <w:txbxContent>
                          <w:p>
                            <w:pPr>
                              <w:pStyle w:val="Contenudecadre"/>
                              <w:spacing w:after="0" w:before="0" w:line="240" w:lineRule="auto"/>
                              <w:jc w:val="center"/>
                              <w:rPr>
                                <w:rFonts w:ascii="Helvetica-Bold" w:cs="Helvetica-Bold" w:hAnsi="Helvetica-Bold"/>
                                <w:b/>
                                <w:b/>
                                <w:bCs/>
                                <w:sz w:val="24"/>
                                <w:szCs w:val="24"/>
                              </w:rPr>
                            </w:pPr>
                            <w:r>
                              <w:rPr>
                                <w:rFonts w:ascii="Helvetica-Bold" w:cs="Helvetica-Bold" w:hAnsi="Helvetica-Bold"/>
                                <w:b/>
                                <w:bCs/>
                                <w:sz w:val="24"/>
                                <w:szCs w:val="24"/>
                              </w:rPr>
                              <w:t>PROCES-VERBAL D’ACCORD CONCERNANT LA NEGOCIATION ANNUELLE OBLIGATOIRE</w:t>
                            </w:r>
                          </w:p>
                          <w:p>
                            <w:pPr>
                              <w:pStyle w:val="Contenudecadre"/>
                              <w:spacing w:after="0" w:before="0" w:line="240" w:lineRule="auto"/>
                              <w:jc w:val="center"/>
                              <w:rPr>
                                <w:rFonts w:ascii="Helvetica-Bold" w:cs="Helvetica-Bold" w:hAnsi="Helvetica-Bold"/>
                                <w:b/>
                                <w:b/>
                                <w:bCs/>
                                <w:sz w:val="24"/>
                                <w:szCs w:val="24"/>
                              </w:rPr>
                            </w:pPr>
                            <w:r>
                              <w:rPr>
                                <w:rFonts w:ascii="Helvetica-Bold" w:cs="Helvetica-Bold" w:hAnsi="Helvetica-Bold"/>
                                <w:b/>
                                <w:bCs/>
                                <w:sz w:val="24"/>
                                <w:szCs w:val="24"/>
                              </w:rPr>
                            </w:r>
                          </w:p>
                          <w:p>
                            <w:pPr>
                              <w:pStyle w:val="Contenudecadre"/>
                              <w:jc w:val="center"/>
                              <w:rPr>
                                <w:rFonts w:ascii="Helvetica-Bold" w:cs="Helvetica-Bold" w:hAnsi="Helvetica-Bold"/>
                                <w:b/>
                                <w:b/>
                                <w:bCs/>
                                <w:sz w:val="24"/>
                                <w:szCs w:val="24"/>
                              </w:rPr>
                            </w:pPr>
                            <w:r>
                              <w:rPr>
                                <w:rFonts w:ascii="Helvetica-Bold" w:cs="Helvetica-Bold" w:hAnsi="Helvetica-Bold"/>
                                <w:b/>
                                <w:bCs/>
                                <w:sz w:val="24"/>
                                <w:szCs w:val="24"/>
                              </w:rPr>
                              <w:t>ANNEE 2022</w:t>
                            </w:r>
                          </w:p>
                          <w:p>
                            <w:pPr>
                              <w:pStyle w:val="Contenudecadre"/>
                              <w:spacing w:after="160" w:before="0"/>
                              <w:rPr/>
                            </w:pPr>
                            <w:r>
                              <w:rPr/>
                            </w:r>
                          </w:p>
                        </w:txbxContent>
                      </wps:txbx>
                      <wps:bodyPr>
                        <a:prstTxWarp prst="textNoShape"/>
                        <a:noAutofit/>
                      </wps:bodyPr>
                    </wps:wsp>
                  </a:graphicData>
                </a:graphic>
              </wp:anchor>
            </w:drawing>
          </mc:Choice>
          <mc:Fallback>
            <w:pict>
              <v:rect ID="Zone de texte 1" fillcolor="white" id="shape_0" path="m0,0l-2147483645,0l-2147483645,-2147483646l0,-2147483646xe" stroked="t" style="position:absolute;margin-left:73.6pt;margin-top:22.35pt;width:342.4pt;height:71.95pt;mso-wrap-style:square;v-text-anchor:top;mso-position-horizontal-relative:margin" wp14:anchorId="580B2DD8">
                <v:fill color2="black" o:detectmouseclick="t" type="solid"/>
                <v:stroke color="black" endcap="flat" joinstyle="round" weight="15840"/>
                <v:textbox>
                  <w:txbxContent>
                    <w:p>
                      <w:pPr>
                        <w:pStyle w:val="Contenudecadre"/>
                        <w:spacing w:after="0" w:before="0" w:line="240" w:lineRule="auto"/>
                        <w:jc w:val="center"/>
                        <w:rPr>
                          <w:rFonts w:ascii="Helvetica-Bold" w:cs="Helvetica-Bold" w:hAnsi="Helvetica-Bold"/>
                          <w:b/>
                          <w:b/>
                          <w:bCs/>
                          <w:sz w:val="24"/>
                          <w:szCs w:val="24"/>
                        </w:rPr>
                      </w:pPr>
                      <w:r>
                        <w:rPr>
                          <w:rFonts w:ascii="Helvetica-Bold" w:cs="Helvetica-Bold" w:hAnsi="Helvetica-Bold"/>
                          <w:b/>
                          <w:bCs/>
                          <w:sz w:val="24"/>
                          <w:szCs w:val="24"/>
                        </w:rPr>
                        <w:t>PROCES-VERBAL D’ACCORD CONCERNANT LA NEGOCIATION ANNUELLE OBLIGATOIRE</w:t>
                      </w:r>
                    </w:p>
                    <w:p>
                      <w:pPr>
                        <w:pStyle w:val="Contenudecadre"/>
                        <w:spacing w:after="0" w:before="0" w:line="240" w:lineRule="auto"/>
                        <w:jc w:val="center"/>
                        <w:rPr>
                          <w:rFonts w:ascii="Helvetica-Bold" w:cs="Helvetica-Bold" w:hAnsi="Helvetica-Bold"/>
                          <w:b/>
                          <w:b/>
                          <w:bCs/>
                          <w:sz w:val="24"/>
                          <w:szCs w:val="24"/>
                        </w:rPr>
                      </w:pPr>
                      <w:r>
                        <w:rPr>
                          <w:rFonts w:ascii="Helvetica-Bold" w:cs="Helvetica-Bold" w:hAnsi="Helvetica-Bold"/>
                          <w:b/>
                          <w:bCs/>
                          <w:sz w:val="24"/>
                          <w:szCs w:val="24"/>
                        </w:rPr>
                      </w:r>
                    </w:p>
                    <w:p>
                      <w:pPr>
                        <w:pStyle w:val="Contenudecadre"/>
                        <w:jc w:val="center"/>
                        <w:rPr>
                          <w:rFonts w:ascii="Helvetica-Bold" w:cs="Helvetica-Bold" w:hAnsi="Helvetica-Bold"/>
                          <w:b/>
                          <w:b/>
                          <w:bCs/>
                          <w:sz w:val="24"/>
                          <w:szCs w:val="24"/>
                        </w:rPr>
                      </w:pPr>
                      <w:r>
                        <w:rPr>
                          <w:rFonts w:ascii="Helvetica-Bold" w:cs="Helvetica-Bold" w:hAnsi="Helvetica-Bold"/>
                          <w:b/>
                          <w:bCs/>
                          <w:sz w:val="24"/>
                          <w:szCs w:val="24"/>
                        </w:rPr>
                        <w:t>ANNEE 2022</w:t>
                      </w:r>
                    </w:p>
                    <w:p>
                      <w:pPr>
                        <w:pStyle w:val="Contenudecadre"/>
                        <w:spacing w:after="160" w:before="0"/>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spacing w:after="0" w:before="0" w:line="240" w:lineRule="auto"/>
        <w:rPr>
          <w:rFonts w:ascii="Helvetica-Bold" w:cs="Helvetica-Bold" w:hAnsi="Helvetica-Bold"/>
          <w:b/>
          <w:b/>
          <w:bCs/>
          <w:sz w:val="24"/>
          <w:szCs w:val="24"/>
        </w:rPr>
      </w:pPr>
      <w:r>
        <w:rPr>
          <w:rFonts w:ascii="Helvetica-Bold" w:cs="Helvetica-Bold" w:hAnsi="Helvetica-Bold"/>
          <w:b/>
          <w:bCs/>
          <w:sz w:val="24"/>
          <w:szCs w:val="24"/>
        </w:rPr>
        <w:t xml:space="preserve">ECOBAT Resources Pont Sainte Maxence </w:t>
      </w:r>
    </w:p>
    <w:p>
      <w:pPr>
        <w:pStyle w:val="Normal"/>
        <w:spacing w:after="0" w:before="0" w:line="240" w:lineRule="auto"/>
        <w:rPr>
          <w:rFonts w:ascii="Helvetica" w:cs="Helvetica" w:hAnsi="Helvetica"/>
          <w:sz w:val="24"/>
          <w:szCs w:val="24"/>
        </w:rPr>
      </w:pPr>
      <w:r>
        <w:rPr>
          <w:rFonts w:ascii="Helvetica" w:cs="Helvetica" w:hAnsi="Helvetica"/>
          <w:sz w:val="24"/>
          <w:szCs w:val="24"/>
        </w:rPr>
        <w:t>Siège route de Pithiviers 45480 BAZOCHES LES GALLERANDES, Site de Brenouille rue corroy 60723 Pont Sainte Maxence</w:t>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t xml:space="preserve">représentée par </w:t>
      </w:r>
      <w:r>
        <w:rPr>
          <w:rFonts w:ascii="Helvetica" w:cs="Helvetica" w:hAnsi="Helvetica"/>
          <w:sz w:val="24"/>
          <w:szCs w:val="24"/>
        </w:rPr>
        <w:t xml:space="preserve">Monsieur xxxx </w:t>
      </w:r>
      <w:r>
        <w:rPr>
          <w:rFonts w:ascii="Helvetica" w:cs="Helvetica" w:hAnsi="Helvetica"/>
          <w:sz w:val="24"/>
          <w:szCs w:val="24"/>
        </w:rPr>
        <w:t>Directeur de l’Usine,</w:t>
      </w:r>
    </w:p>
    <w:p>
      <w:pPr>
        <w:pStyle w:val="Normal"/>
        <w:spacing w:after="0" w:before="0" w:line="240" w:lineRule="auto"/>
        <w:rPr>
          <w:rFonts w:ascii="Helvetica" w:cs="Helvetica" w:hAnsi="Helvetica"/>
          <w:sz w:val="24"/>
          <w:szCs w:val="24"/>
        </w:rPr>
      </w:pPr>
      <w:r>
        <w:rPr>
          <w:rFonts w:ascii="Helvetica" w:cs="Helvetica" w:hAnsi="Helvetica"/>
          <w:sz w:val="24"/>
          <w:szCs w:val="24"/>
        </w:rPr>
        <w:t>D’une part,</w:t>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Bold" w:cs="Helvetica-Bold" w:hAnsi="Helvetica-Bold"/>
          <w:b/>
          <w:b/>
          <w:bCs/>
          <w:sz w:val="24"/>
          <w:szCs w:val="24"/>
        </w:rPr>
      </w:pPr>
      <w:r>
        <w:rPr>
          <w:rFonts w:ascii="Helvetica" w:cs="Helvetica" w:hAnsi="Helvetica"/>
          <w:sz w:val="24"/>
          <w:szCs w:val="24"/>
        </w:rPr>
        <w:t xml:space="preserve">Et l’organisation syndicale représentative </w:t>
      </w:r>
      <w:r>
        <w:rPr>
          <w:rFonts w:ascii="Helvetica-Bold" w:cs="Helvetica-Bold" w:hAnsi="Helvetica-Bold"/>
          <w:b/>
          <w:bCs/>
          <w:sz w:val="24"/>
          <w:szCs w:val="24"/>
        </w:rPr>
        <w:t>C.G.T,</w:t>
      </w:r>
    </w:p>
    <w:p>
      <w:pPr>
        <w:pStyle w:val="Normal"/>
        <w:spacing w:after="0" w:before="0" w:line="240" w:lineRule="auto"/>
        <w:rPr>
          <w:rFonts w:ascii="Helvetica-Bold" w:cs="Helvetica-Bold" w:hAnsi="Helvetica-Bold"/>
          <w:sz w:val="24"/>
          <w:szCs w:val="24"/>
        </w:rPr>
      </w:pPr>
      <w:r>
        <w:rPr>
          <w:rFonts w:ascii="Helvetica" w:cs="Helvetica" w:hAnsi="Helvetica"/>
          <w:sz w:val="24"/>
          <w:szCs w:val="24"/>
        </w:rPr>
        <w:t xml:space="preserve">représentée par </w:t>
      </w:r>
      <w:r>
        <w:rPr>
          <w:rFonts w:ascii="Helvetica-Bold" w:cs="Helvetica-Bold" w:hAnsi="Helvetica-Bold"/>
          <w:b/>
          <w:bCs/>
          <w:sz w:val="24"/>
          <w:szCs w:val="24"/>
        </w:rPr>
        <w:t xml:space="preserve">Madame xxxx </w:t>
      </w:r>
      <w:r>
        <w:rPr>
          <w:rFonts w:ascii="Helvetica-Bold" w:cs="Helvetica-Bold" w:hAnsi="Helvetica-Bold"/>
          <w:sz w:val="24"/>
          <w:szCs w:val="24"/>
        </w:rPr>
        <w:t xml:space="preserve">accompagnée de </w:t>
      </w:r>
      <w:r>
        <w:rPr>
          <w:rFonts w:ascii="Helvetica-Bold" w:cs="Helvetica-Bold" w:hAnsi="Helvetica-Bold"/>
          <w:sz w:val="24"/>
          <w:szCs w:val="24"/>
        </w:rPr>
        <w:t>Messieurs</w:t>
      </w:r>
      <w:r>
        <w:rPr>
          <w:rFonts w:ascii="Helvetica-Bold" w:cs="Helvetica-Bold" w:hAnsi="Helvetica-Bold"/>
          <w:sz w:val="24"/>
          <w:szCs w:val="24"/>
        </w:rPr>
        <w:t xml:space="preserve"> </w:t>
      </w:r>
      <w:r>
        <w:rPr>
          <w:rFonts w:ascii="Helvetica-Bold" w:cs="Helvetica-Bold" w:hAnsi="Helvetica-Bold"/>
          <w:sz w:val="24"/>
          <w:szCs w:val="24"/>
        </w:rPr>
        <w:t>xxxx</w:t>
      </w:r>
      <w:r>
        <w:rPr>
          <w:rFonts w:ascii="Helvetica-Bold" w:cs="Helvetica-Bold" w:hAnsi="Helvetica-Bold"/>
          <w:sz w:val="24"/>
          <w:szCs w:val="24"/>
        </w:rPr>
        <w:t xml:space="preserve">  et </w:t>
      </w:r>
      <w:r>
        <w:rPr>
          <w:rFonts w:ascii="Helvetica-Bold" w:cs="Helvetica-Bold" w:hAnsi="Helvetica-Bold"/>
          <w:sz w:val="24"/>
          <w:szCs w:val="24"/>
        </w:rPr>
        <w:t xml:space="preserve">xxxx </w:t>
      </w:r>
      <w:r>
        <w:rPr>
          <w:rFonts w:ascii="Helvetica-Bold" w:cs="Helvetica-Bold" w:hAnsi="Helvetica-Bold"/>
          <w:sz w:val="24"/>
          <w:szCs w:val="24"/>
        </w:rPr>
        <w:t>personnels de production</w:t>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t>D’autre part,</w:t>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jc w:val="both"/>
        <w:rPr>
          <w:rFonts w:ascii="Helvetica" w:cs="Helvetica" w:hAnsi="Helvetica"/>
          <w:sz w:val="24"/>
          <w:szCs w:val="24"/>
        </w:rPr>
      </w:pPr>
      <w:r>
        <w:rPr>
          <w:rFonts w:ascii="Helvetica" w:cs="Helvetica" w:hAnsi="Helvetica"/>
          <w:sz w:val="24"/>
          <w:szCs w:val="24"/>
        </w:rPr>
        <w:t>se sont rencontrés les 15 février, 24 mars, 31 mars 2022, dans le cadre de la négociation annuelle sur le temps de travail, les salaires, le partage de la valeur ajoutée, l’égalité professionnelle entre les femmes et les hommes, et la qualité de vie au travail.</w:t>
      </w:r>
    </w:p>
    <w:p>
      <w:pPr>
        <w:pStyle w:val="Normal"/>
        <w:spacing w:after="0" w:before="0" w:line="240" w:lineRule="auto"/>
        <w:jc w:val="both"/>
        <w:rPr>
          <w:rFonts w:ascii="Helvetica" w:cs="Helvetica" w:hAnsi="Helvetica"/>
          <w:sz w:val="24"/>
          <w:szCs w:val="24"/>
        </w:rPr>
      </w:pPr>
      <w:r>
        <w:rPr>
          <w:rFonts w:ascii="Helvetica" w:cs="Helvetica" w:hAnsi="Helvetica"/>
          <w:sz w:val="24"/>
          <w:szCs w:val="24"/>
        </w:rPr>
      </w:r>
    </w:p>
    <w:p>
      <w:pPr>
        <w:pStyle w:val="Normal"/>
        <w:spacing w:after="0" w:before="0" w:line="240" w:lineRule="auto"/>
        <w:jc w:val="both"/>
        <w:rPr>
          <w:rFonts w:ascii="Helvetica" w:cs="Helvetica" w:hAnsi="Helvetica"/>
          <w:sz w:val="24"/>
          <w:szCs w:val="24"/>
        </w:rPr>
      </w:pPr>
      <w:r>
        <w:rPr>
          <w:rFonts w:ascii="Helvetica" w:cs="Helvetica" w:hAnsi="Helvetica"/>
          <w:sz w:val="24"/>
          <w:szCs w:val="24"/>
        </w:rPr>
        <w:t>En préambule à ces discussions, la Direction rappelle la situation économique et les difficultés auxquelles la société devra faire face en 2022. Pour ces raisons énoncées, la Direction a la responsabilité de négocier de manière raisonnée en fonction de l’indice d’inflation hors tabac 2021 à 2.8%.</w:t>
      </w:r>
    </w:p>
    <w:p>
      <w:pPr>
        <w:pStyle w:val="Normal"/>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t>I – Propositions initiales :</w:t>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r>
    </w:p>
    <w:p>
      <w:pPr>
        <w:pStyle w:val="ListParagraph"/>
        <w:numPr>
          <w:ilvl w:val="0"/>
          <w:numId w:val="3"/>
        </w:numPr>
        <w:spacing w:after="0" w:before="0" w:line="240" w:lineRule="auto"/>
        <w:contextualSpacing/>
        <w:rPr>
          <w:rFonts w:ascii="Helvetica" w:cs="Helvetica" w:hAnsi="Helvetica"/>
          <w:color w:val="000000"/>
          <w:sz w:val="24"/>
          <w:szCs w:val="24"/>
        </w:rPr>
      </w:pPr>
      <w:r>
        <w:rPr>
          <w:rFonts w:ascii="Helvetica" w:cs="Helvetica" w:hAnsi="Helvetica"/>
          <w:color w:val="000000"/>
          <w:sz w:val="24"/>
          <w:szCs w:val="24"/>
        </w:rPr>
        <w:t>Propositions de la Direction à l’ouverture des négociations</w:t>
      </w:r>
    </w:p>
    <w:p>
      <w:pPr>
        <w:pStyle w:val="ListParagraph"/>
        <w:spacing w:after="0" w:before="0" w:line="240" w:lineRule="auto"/>
        <w:contextualSpacing/>
        <w:rPr>
          <w:rFonts w:ascii="Helvetica" w:cs="Helvetica" w:hAnsi="Helvetica"/>
          <w:color w:val="000000"/>
          <w:sz w:val="16"/>
          <w:szCs w:val="16"/>
        </w:rPr>
      </w:pPr>
      <w:r>
        <w:rPr>
          <w:rFonts w:ascii="Helvetica" w:cs="Helvetica" w:hAnsi="Helvetica"/>
          <w:color w:val="000000"/>
          <w:sz w:val="16"/>
          <w:szCs w:val="16"/>
        </w:rPr>
      </w:r>
    </w:p>
    <w:p>
      <w:pPr>
        <w:pStyle w:val="ListParagraph"/>
        <w:numPr>
          <w:ilvl w:val="0"/>
          <w:numId w:val="2"/>
        </w:numPr>
        <w:spacing w:after="0" w:before="0" w:line="240" w:lineRule="auto"/>
        <w:contextualSpacing/>
        <w:rPr>
          <w:rFonts w:ascii="Helvetica" w:cs="Helvetica" w:hAnsi="Helvetica"/>
          <w:color w:val="000000"/>
          <w:sz w:val="24"/>
          <w:szCs w:val="24"/>
        </w:rPr>
      </w:pPr>
      <w:r>
        <w:rPr>
          <w:rFonts w:ascii="Helvetica" w:cs="Helvetica" w:hAnsi="Helvetica"/>
          <w:color w:val="000000"/>
          <w:sz w:val="24"/>
          <w:szCs w:val="24"/>
        </w:rPr>
        <w:t xml:space="preserve">Augmentation générale de </w:t>
      </w:r>
      <w:r>
        <w:rPr>
          <w:rFonts w:ascii="Helvetica-Bold" w:cs="Helvetica-Bold" w:hAnsi="Helvetica-Bold"/>
          <w:b/>
          <w:bCs/>
          <w:color w:val="0070C1"/>
          <w:sz w:val="24"/>
          <w:szCs w:val="24"/>
        </w:rPr>
        <w:t xml:space="preserve">2% </w:t>
      </w:r>
      <w:r>
        <w:rPr>
          <w:rFonts w:ascii="Helvetica" w:cs="Helvetica" w:hAnsi="Helvetica"/>
          <w:color w:val="000000"/>
          <w:sz w:val="24"/>
          <w:szCs w:val="24"/>
        </w:rPr>
        <w:t>avec possibilité de talon à évaluer</w:t>
      </w:r>
    </w:p>
    <w:p>
      <w:pPr>
        <w:pStyle w:val="ListParagraph"/>
        <w:numPr>
          <w:ilvl w:val="0"/>
          <w:numId w:val="2"/>
        </w:numPr>
        <w:spacing w:after="0" w:before="0" w:line="240" w:lineRule="auto"/>
        <w:contextualSpacing/>
        <w:rPr>
          <w:rFonts w:ascii="Helvetica-Bold" w:cs="Helvetica-Bold" w:hAnsi="Helvetica-Bold"/>
          <w:b/>
          <w:b/>
          <w:bCs/>
          <w:color w:val="0070C1"/>
          <w:sz w:val="24"/>
          <w:szCs w:val="24"/>
        </w:rPr>
      </w:pPr>
      <w:r>
        <w:rPr>
          <w:rFonts w:ascii="Helvetica" w:cs="Helvetica" w:hAnsi="Helvetica"/>
          <w:color w:val="000000"/>
          <w:sz w:val="24"/>
          <w:szCs w:val="24"/>
        </w:rPr>
        <w:t xml:space="preserve">Augmentation individuelle de </w:t>
      </w:r>
      <w:r>
        <w:rPr>
          <w:rFonts w:ascii="Helvetica-Bold" w:cs="Helvetica-Bold" w:hAnsi="Helvetica-Bold"/>
          <w:b/>
          <w:bCs/>
          <w:color w:val="0070C1"/>
          <w:sz w:val="24"/>
          <w:szCs w:val="24"/>
        </w:rPr>
        <w:t>0.8%</w:t>
      </w:r>
    </w:p>
    <w:p>
      <w:pPr>
        <w:pStyle w:val="ListParagraph"/>
        <w:spacing w:after="0" w:before="0" w:line="240" w:lineRule="auto"/>
        <w:contextualSpacing/>
        <w:rPr>
          <w:rFonts w:ascii="Helvetica-Bold" w:cs="Helvetica-Bold" w:hAnsi="Helvetica-Bold"/>
          <w:b/>
          <w:b/>
          <w:bCs/>
          <w:color w:val="0070C1"/>
          <w:sz w:val="16"/>
          <w:szCs w:val="16"/>
        </w:rPr>
      </w:pPr>
      <w:r>
        <w:rPr>
          <w:rFonts w:ascii="Helvetica-Bold" w:cs="Helvetica-Bold" w:hAnsi="Helvetica-Bold"/>
          <w:b/>
          <w:bCs/>
          <w:color w:val="0070C1"/>
          <w:sz w:val="16"/>
          <w:szCs w:val="16"/>
        </w:rPr>
      </w:r>
    </w:p>
    <w:p>
      <w:pPr>
        <w:pStyle w:val="Normal"/>
        <w:spacing w:after="0" w:before="0" w:line="240" w:lineRule="auto"/>
        <w:rPr>
          <w:rFonts w:ascii="Helvetica" w:cs="Helvetica" w:hAnsi="Helvetica"/>
          <w:sz w:val="24"/>
          <w:szCs w:val="24"/>
        </w:rPr>
      </w:pPr>
      <w:r>
        <w:rPr>
          <w:rFonts w:ascii="Helvetica" w:cs="Helvetica" w:hAnsi="Helvetica"/>
          <w:color w:val="000000"/>
          <w:sz w:val="24"/>
          <w:szCs w:val="24"/>
        </w:rPr>
        <w:t xml:space="preserve">Le budget global de cette proposition 2022 représente </w:t>
      </w:r>
      <w:r>
        <w:rPr>
          <w:rFonts w:ascii="Helvetica-Bold" w:cs="Helvetica-Bold" w:hAnsi="Helvetica-Bold"/>
          <w:b/>
          <w:bCs/>
          <w:color w:val="0070C1"/>
          <w:sz w:val="24"/>
          <w:szCs w:val="24"/>
        </w:rPr>
        <w:t xml:space="preserve">2.8% </w:t>
      </w:r>
      <w:r>
        <w:rPr>
          <w:rFonts w:ascii="Helvetica" w:cs="Helvetica" w:hAnsi="Helvetica"/>
          <w:color w:val="000000"/>
          <w:sz w:val="24"/>
          <w:szCs w:val="24"/>
        </w:rPr>
        <w:t>d’évolution moyenne de la masse salariale.</w:t>
      </w:r>
    </w:p>
    <w:p>
      <w:pPr>
        <w:pStyle w:val="Normal"/>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t>2) Revendications initiales de la CGT</w:t>
      </w:r>
    </w:p>
    <w:p>
      <w:pPr>
        <w:pStyle w:val="Normal"/>
        <w:spacing w:after="0" w:before="0" w:line="240" w:lineRule="auto"/>
        <w:rPr>
          <w:rFonts w:ascii="Helvetica" w:cs="Helvetica" w:hAnsi="Helvetica"/>
          <w:sz w:val="16"/>
          <w:szCs w:val="16"/>
        </w:rPr>
      </w:pPr>
      <w:r>
        <w:rPr>
          <w:rFonts w:ascii="Helvetica" w:cs="Helvetica" w:hAnsi="Helvetica"/>
          <w:sz w:val="16"/>
          <w:szCs w:val="16"/>
        </w:rPr>
      </w:r>
    </w:p>
    <w:p>
      <w:pPr>
        <w:pStyle w:val="ListParagraph"/>
        <w:numPr>
          <w:ilvl w:val="0"/>
          <w:numId w:val="1"/>
        </w:numPr>
        <w:rPr>
          <w:rFonts w:ascii="Helvetica" w:cs="Helvetica" w:hAnsi="Helvetica"/>
          <w:sz w:val="24"/>
          <w:szCs w:val="24"/>
        </w:rPr>
      </w:pPr>
      <w:r>
        <w:rPr>
          <w:rFonts w:ascii="Helvetica" w:cs="Helvetica" w:hAnsi="Helvetica"/>
          <w:color w:val="000000"/>
          <w:sz w:val="24"/>
          <w:szCs w:val="24"/>
        </w:rPr>
        <w:t xml:space="preserve">Augmentation générale de </w:t>
      </w:r>
      <w:r>
        <w:rPr>
          <w:rFonts w:ascii="Helvetica" w:cs="Helvetica" w:hAnsi="Helvetica"/>
          <w:b/>
          <w:bCs/>
          <w:color w:val="0070C0"/>
          <w:sz w:val="24"/>
          <w:szCs w:val="24"/>
        </w:rPr>
        <w:t>3</w:t>
      </w:r>
      <w:r>
        <w:rPr>
          <w:rFonts w:ascii="Helvetica-Bold" w:cs="Helvetica-Bold" w:hAnsi="Helvetica-Bold"/>
          <w:b/>
          <w:bCs/>
          <w:color w:val="0070C0"/>
          <w:sz w:val="24"/>
          <w:szCs w:val="24"/>
        </w:rPr>
        <w:t>%</w:t>
      </w:r>
    </w:p>
    <w:p>
      <w:pPr>
        <w:pStyle w:val="ListParagraph"/>
        <w:numPr>
          <w:ilvl w:val="0"/>
          <w:numId w:val="1"/>
        </w:numPr>
        <w:spacing w:after="0" w:before="0" w:line="240" w:lineRule="auto"/>
        <w:contextualSpacing/>
        <w:rPr>
          <w:rFonts w:ascii="Helvetica-Bold" w:cs="Helvetica-Bold" w:hAnsi="Helvetica-Bold"/>
          <w:b/>
          <w:b/>
          <w:bCs/>
          <w:color w:val="0070C1"/>
          <w:sz w:val="24"/>
          <w:szCs w:val="24"/>
        </w:rPr>
      </w:pPr>
      <w:r>
        <w:rPr>
          <w:rFonts w:ascii="Helvetica" w:cs="Helvetica" w:hAnsi="Helvetica"/>
          <w:color w:val="000000"/>
          <w:sz w:val="24"/>
          <w:szCs w:val="24"/>
        </w:rPr>
        <w:t xml:space="preserve">Augmentation individuelle de </w:t>
      </w:r>
      <w:r>
        <w:rPr>
          <w:rFonts w:ascii="Helvetica-Bold" w:cs="Helvetica-Bold" w:hAnsi="Helvetica-Bold"/>
          <w:b/>
          <w:bCs/>
          <w:color w:val="0070C1"/>
          <w:sz w:val="24"/>
          <w:szCs w:val="24"/>
        </w:rPr>
        <w:t>0.3%</w:t>
      </w:r>
    </w:p>
    <w:p>
      <w:pPr>
        <w:pStyle w:val="ListParagraph"/>
        <w:numPr>
          <w:ilvl w:val="0"/>
          <w:numId w:val="1"/>
        </w:numPr>
        <w:spacing w:after="0" w:before="0" w:line="240" w:lineRule="auto"/>
        <w:contextualSpacing/>
        <w:rPr>
          <w:rFonts w:ascii="Helvetica-Bold" w:cs="Helvetica-Bold" w:hAnsi="Helvetica-Bold"/>
          <w:sz w:val="24"/>
          <w:szCs w:val="24"/>
        </w:rPr>
      </w:pPr>
      <w:r>
        <w:rPr>
          <w:rFonts w:ascii="Helvetica-Bold" w:cs="Helvetica-Bold" w:hAnsi="Helvetica-Bold"/>
          <w:sz w:val="24"/>
          <w:szCs w:val="24"/>
        </w:rPr>
        <w:t>Augmenter la prime transport actuellement de 16€ / mois</w:t>
      </w:r>
    </w:p>
    <w:p>
      <w:pPr>
        <w:pStyle w:val="ListParagraph"/>
        <w:numPr>
          <w:ilvl w:val="0"/>
          <w:numId w:val="1"/>
        </w:numPr>
        <w:spacing w:after="0" w:before="0" w:line="240" w:lineRule="auto"/>
        <w:contextualSpacing/>
        <w:rPr>
          <w:rFonts w:ascii="Helvetica-Bold" w:cs="Helvetica-Bold" w:hAnsi="Helvetica-Bold"/>
          <w:sz w:val="24"/>
          <w:szCs w:val="24"/>
        </w:rPr>
      </w:pPr>
      <w:r>
        <w:rPr>
          <w:rFonts w:ascii="Helvetica-Bold" w:cs="Helvetica-Bold" w:hAnsi="Helvetica-Bold"/>
          <w:sz w:val="24"/>
          <w:szCs w:val="24"/>
        </w:rPr>
        <w:t>Augmenter l’abondement dans le cadre du PEE</w:t>
      </w:r>
    </w:p>
    <w:p>
      <w:pPr>
        <w:pStyle w:val="Normal"/>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t>II - Dernier état des propositions respectives des parties :</w:t>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r>
    </w:p>
    <w:p>
      <w:pPr>
        <w:pStyle w:val="Normal"/>
        <w:spacing w:after="0" w:before="0" w:line="240" w:lineRule="auto"/>
        <w:jc w:val="both"/>
        <w:rPr>
          <w:rFonts w:ascii="Helvetica" w:cs="Helvetica" w:hAnsi="Helvetica"/>
          <w:color w:val="000000"/>
          <w:sz w:val="24"/>
          <w:szCs w:val="24"/>
        </w:rPr>
      </w:pPr>
      <w:r>
        <w:rPr>
          <w:rFonts w:ascii="Helvetica" w:cs="Helvetica" w:hAnsi="Helvetica"/>
          <w:color w:val="000000"/>
          <w:sz w:val="24"/>
          <w:szCs w:val="24"/>
        </w:rPr>
        <w:t xml:space="preserve">Au terme des négociations et des échanges avec les différentes organisations syndicales, la Direction propose d’appliquer en cas d’accord ce qui suit pour tous les salariés concernés du site. </w:t>
      </w:r>
    </w:p>
    <w:p>
      <w:pPr>
        <w:pStyle w:val="Normal"/>
        <w:spacing w:after="0" w:before="0" w:line="240" w:lineRule="auto"/>
        <w:jc w:val="both"/>
        <w:rPr>
          <w:rFonts w:ascii="Helvetica" w:cs="Helvetica" w:hAnsi="Helvetica"/>
          <w:color w:val="000000"/>
          <w:sz w:val="24"/>
          <w:szCs w:val="24"/>
        </w:rPr>
      </w:pPr>
      <w:r>
        <w:rPr>
          <w:rFonts w:ascii="Helvetica" w:cs="Helvetica" w:hAnsi="Helvetica"/>
          <w:color w:val="000000"/>
          <w:sz w:val="24"/>
          <w:szCs w:val="24"/>
        </w:rPr>
        <w:t>L’application de ces mesures sera avec effet rétroactif au 1</w:t>
      </w:r>
      <w:r>
        <w:rPr>
          <w:rFonts w:ascii="Helvetica" w:cs="Helvetica" w:hAnsi="Helvetica"/>
          <w:color w:val="000000"/>
          <w:sz w:val="16"/>
          <w:szCs w:val="16"/>
        </w:rPr>
        <w:t xml:space="preserve">er </w:t>
      </w:r>
      <w:r>
        <w:rPr>
          <w:rFonts w:ascii="Helvetica" w:cs="Helvetica" w:hAnsi="Helvetica"/>
          <w:color w:val="000000"/>
          <w:sz w:val="24"/>
          <w:szCs w:val="24"/>
        </w:rPr>
        <w:t>janvier 2022 sauf précisions contraires.</w:t>
      </w:r>
    </w:p>
    <w:p>
      <w:pPr>
        <w:pStyle w:val="Normal"/>
        <w:spacing w:after="0" w:before="0" w:line="240" w:lineRule="auto"/>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t>1) Augmentations générales des salaires</w:t>
      </w:r>
    </w:p>
    <w:p>
      <w:pPr>
        <w:pStyle w:val="ListParagraph"/>
        <w:numPr>
          <w:ilvl w:val="0"/>
          <w:numId w:val="4"/>
        </w:numPr>
        <w:spacing w:after="120" w:before="120" w:line="240" w:lineRule="auto"/>
        <w:ind w:hanging="357" w:left="714"/>
        <w:rPr>
          <w:rFonts w:ascii="Helvetica" w:cs="Helvetica" w:hAnsi="Helvetica"/>
          <w:color w:val="000000"/>
          <w:sz w:val="24"/>
          <w:szCs w:val="24"/>
        </w:rPr>
      </w:pPr>
      <w:r>
        <w:rPr>
          <w:rFonts w:ascii="Helvetica" w:cs="Helvetica" w:hAnsi="Helvetica"/>
          <w:color w:val="000000"/>
          <w:sz w:val="24"/>
          <w:szCs w:val="24"/>
        </w:rPr>
        <w:t xml:space="preserve">Application sur le salaire de base mensuel d’une augmentation de </w:t>
      </w:r>
      <w:r>
        <w:rPr>
          <w:rFonts w:ascii="Helvetica-Bold" w:cs="Helvetica-Bold" w:hAnsi="Helvetica-Bold"/>
          <w:b/>
          <w:bCs/>
          <w:color w:val="0070C1"/>
          <w:sz w:val="24"/>
          <w:szCs w:val="24"/>
        </w:rPr>
        <w:t xml:space="preserve">2.2% </w:t>
      </w:r>
      <w:r>
        <w:rPr>
          <w:rFonts w:ascii="Helvetica" w:cs="Helvetica" w:hAnsi="Helvetica"/>
          <w:color w:val="000000"/>
          <w:sz w:val="24"/>
          <w:szCs w:val="24"/>
        </w:rPr>
        <w:t xml:space="preserve">avec un talon minimal de </w:t>
      </w:r>
      <w:r>
        <w:rPr>
          <w:rFonts w:ascii="Helvetica-Bold" w:cs="Helvetica-Bold" w:hAnsi="Helvetica-Bold"/>
          <w:b/>
          <w:bCs/>
          <w:color w:val="0070C1"/>
          <w:sz w:val="24"/>
          <w:szCs w:val="24"/>
        </w:rPr>
        <w:t xml:space="preserve">60 € </w:t>
      </w:r>
      <w:r>
        <w:rPr>
          <w:rFonts w:ascii="Helvetica" w:cs="Helvetica" w:hAnsi="Helvetica"/>
          <w:color w:val="000000"/>
          <w:sz w:val="24"/>
          <w:szCs w:val="24"/>
        </w:rPr>
        <w:t>pour chaque salarié à temps complet.</w:t>
      </w:r>
    </w:p>
    <w:p>
      <w:pPr>
        <w:pStyle w:val="ListParagraph"/>
        <w:numPr>
          <w:ilvl w:val="0"/>
          <w:numId w:val="4"/>
        </w:numPr>
        <w:spacing w:after="120" w:before="120" w:line="240" w:lineRule="auto"/>
        <w:ind w:hanging="357" w:left="714"/>
        <w:rPr>
          <w:rFonts w:ascii="Helvetica" w:cs="Helvetica" w:hAnsi="Helvetica"/>
          <w:color w:val="000000"/>
          <w:sz w:val="24"/>
          <w:szCs w:val="24"/>
        </w:rPr>
      </w:pPr>
      <w:r>
        <w:rPr>
          <w:rFonts w:ascii="Helvetica" w:cs="Helvetica" w:hAnsi="Helvetica"/>
          <w:color w:val="000000"/>
          <w:sz w:val="24"/>
          <w:szCs w:val="24"/>
        </w:rPr>
        <w:t>Pour les autres salariés, le talon sera proratisé selon l’horaire contractuel.</w:t>
      </w:r>
    </w:p>
    <w:p>
      <w:pPr>
        <w:pStyle w:val="ListParagraph"/>
        <w:numPr>
          <w:ilvl w:val="0"/>
          <w:numId w:val="4"/>
        </w:numPr>
        <w:spacing w:after="120" w:before="120" w:line="240" w:lineRule="auto"/>
        <w:ind w:hanging="357" w:left="714"/>
        <w:rPr>
          <w:rFonts w:ascii="Helvetica" w:cs="Helvetica" w:hAnsi="Helvetica"/>
          <w:color w:val="000000"/>
          <w:sz w:val="24"/>
          <w:szCs w:val="24"/>
        </w:rPr>
      </w:pPr>
      <w:r>
        <w:rPr>
          <w:rFonts w:ascii="Helvetica" w:cs="Helvetica" w:hAnsi="Helvetica"/>
          <w:color w:val="000000"/>
          <w:sz w:val="24"/>
          <w:szCs w:val="24"/>
        </w:rPr>
        <w:t>Les diverses primes indexées sur le taux horaires se verront appliquées mécaniquement la même augmentation</w:t>
      </w:r>
    </w:p>
    <w:p>
      <w:pPr>
        <w:pStyle w:val="Normal"/>
        <w:spacing w:after="0" w:before="0" w:line="240" w:lineRule="auto"/>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t xml:space="preserve">2) Augmentations individuelles des salaires </w:t>
      </w:r>
    </w:p>
    <w:p>
      <w:pPr>
        <w:pStyle w:val="ListParagraph"/>
        <w:numPr>
          <w:ilvl w:val="0"/>
          <w:numId w:val="5"/>
        </w:numPr>
        <w:spacing w:after="0" w:before="0" w:line="240" w:lineRule="auto"/>
        <w:contextualSpacing/>
        <w:rPr>
          <w:rFonts w:ascii="Helvetica" w:cs="Helvetica" w:hAnsi="Helvetica"/>
          <w:color w:val="000000"/>
          <w:sz w:val="24"/>
          <w:szCs w:val="24"/>
        </w:rPr>
      </w:pPr>
      <w:r>
        <w:rPr>
          <w:rFonts w:ascii="Helvetica" w:cs="Helvetica" w:hAnsi="Helvetica"/>
          <w:color w:val="000000"/>
          <w:sz w:val="24"/>
          <w:szCs w:val="24"/>
        </w:rPr>
        <w:t>Attribution des augmentations individuelles à concurrence de 0.5% de la masse salariale applicables sur le salaire de base mensuel.</w:t>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t>3) Ticket restaurant</w:t>
      </w:r>
    </w:p>
    <w:p>
      <w:pPr>
        <w:pStyle w:val="ListParagraph"/>
        <w:numPr>
          <w:ilvl w:val="0"/>
          <w:numId w:val="5"/>
        </w:numPr>
        <w:spacing w:after="0" w:before="0" w:line="360" w:lineRule="auto"/>
        <w:contextualSpacing/>
        <w:rPr>
          <w:rFonts w:ascii="Helvetica" w:cs="Helvetica" w:hAnsi="Helvetica"/>
          <w:color w:val="000000"/>
          <w:sz w:val="24"/>
          <w:szCs w:val="24"/>
        </w:rPr>
      </w:pPr>
      <w:r>
        <w:rPr>
          <w:rFonts w:ascii="Helvetica" w:cs="Helvetica" w:hAnsi="Helvetica"/>
          <w:color w:val="000000"/>
          <w:sz w:val="24"/>
          <w:szCs w:val="24"/>
        </w:rPr>
        <w:t>La valeur du ticket restaurant passe à 9.50 € à compter du 1er avril 2022.</w:t>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t xml:space="preserve">4) Abondement PEE </w:t>
      </w:r>
    </w:p>
    <w:p>
      <w:pPr>
        <w:pStyle w:val="ListParagraph"/>
        <w:numPr>
          <w:ilvl w:val="0"/>
          <w:numId w:val="5"/>
        </w:numPr>
        <w:spacing w:after="0" w:before="0" w:line="240" w:lineRule="auto"/>
        <w:ind w:hanging="357" w:left="714"/>
        <w:contextualSpacing/>
        <w:rPr>
          <w:rFonts w:ascii="Helvetica" w:cs="Helvetica" w:hAnsi="Helvetica"/>
          <w:color w:val="000000"/>
          <w:sz w:val="24"/>
          <w:szCs w:val="24"/>
        </w:rPr>
      </w:pPr>
      <w:r>
        <w:rPr>
          <w:rFonts w:ascii="Helvetica" w:cs="Helvetica" w:hAnsi="Helvetica"/>
          <w:color w:val="000000"/>
          <w:sz w:val="24"/>
          <w:szCs w:val="24"/>
        </w:rPr>
        <w:t>L’abondement maximal de l’entreprise lors des versements annuels au PEE passera de 250€ à 350€. Cette évolution se fera dans le cadre de la signature d’un nouvel avenant à notre accord PEE.</w:t>
      </w:r>
    </w:p>
    <w:p>
      <w:pPr>
        <w:pStyle w:val="Normal"/>
        <w:spacing w:after="0" w:before="0" w:line="360" w:lineRule="auto"/>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240" w:lineRule="auto"/>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t>III – Publicité de dépôt</w:t>
      </w:r>
    </w:p>
    <w:p>
      <w:pPr>
        <w:pStyle w:val="Normal"/>
        <w:spacing w:after="0" w:before="0" w:line="240" w:lineRule="auto"/>
        <w:rPr>
          <w:rFonts w:ascii="Helvetica-Bold" w:cs="Helvetica-Bold" w:hAnsi="Helvetica-Bold"/>
          <w:b/>
          <w:b/>
          <w:bCs/>
          <w:color w:val="000000"/>
          <w:sz w:val="24"/>
          <w:szCs w:val="24"/>
        </w:rPr>
      </w:pPr>
      <w:r>
        <w:rPr>
          <w:rFonts w:ascii="Helvetica-Bold" w:cs="Helvetica-Bold" w:hAnsi="Helvetica-Bold"/>
          <w:b/>
          <w:bCs/>
          <w:color w:val="000000"/>
          <w:sz w:val="24"/>
          <w:szCs w:val="24"/>
        </w:rPr>
      </w:r>
    </w:p>
    <w:p>
      <w:pPr>
        <w:pStyle w:val="Normal"/>
        <w:spacing w:after="0" w:before="0" w:line="240" w:lineRule="auto"/>
        <w:jc w:val="both"/>
        <w:rPr>
          <w:rFonts w:ascii="Helvetica" w:cs="Helvetica" w:hAnsi="Helvetica"/>
          <w:color w:val="000000"/>
          <w:sz w:val="24"/>
          <w:szCs w:val="24"/>
        </w:rPr>
      </w:pPr>
      <w:r>
        <w:rPr>
          <w:rFonts w:ascii="Helvetica" w:cs="Helvetica" w:hAnsi="Helvetica"/>
          <w:color w:val="000000"/>
          <w:sz w:val="24"/>
          <w:szCs w:val="24"/>
        </w:rPr>
        <w:t>Le présent accord sera déposé dans les huit jours suivant la date de notification à l’ensemble des organisations syndicales représentatives, par la Direction, par voie électronique sur la plateforme en ligne « TéléAccords » en vue de sa transmission à la DIRECCTE, ainsi qu’un exemplaire au Secrétariat-Greffe du Conseil des Prud’hommes du lieu de conclusion de l’accord.</w:t>
      </w:r>
    </w:p>
    <w:p>
      <w:pPr>
        <w:pStyle w:val="Normal"/>
        <w:rPr>
          <w:rFonts w:ascii="Helvetica" w:cs="Helvetica" w:hAnsi="Helvetica"/>
          <w:color w:val="000000"/>
          <w:sz w:val="24"/>
          <w:szCs w:val="24"/>
        </w:rPr>
      </w:pPr>
      <w:r>
        <w:rPr>
          <w:rFonts w:ascii="Helvetica" w:cs="Helvetica" w:hAnsi="Helvetica"/>
          <w:color w:val="000000"/>
          <w:sz w:val="24"/>
          <w:szCs w:val="24"/>
        </w:rPr>
      </w:r>
    </w:p>
    <w:p>
      <w:pPr>
        <w:pStyle w:val="Normal"/>
        <w:spacing w:after="0" w:before="0" w:line="240" w:lineRule="auto"/>
        <w:jc w:val="both"/>
        <w:rPr>
          <w:rFonts w:ascii="Helvetica" w:cs="Helvetica" w:hAnsi="Helvetica"/>
          <w:sz w:val="24"/>
          <w:szCs w:val="24"/>
        </w:rPr>
      </w:pPr>
      <w:r>
        <w:rPr>
          <w:rFonts w:ascii="Helvetica" w:cs="Helvetica" w:hAnsi="Helvetica"/>
          <w:sz w:val="24"/>
          <w:szCs w:val="24"/>
        </w:rPr>
        <w:t>A ce dépôt sera jointe une version de l’accord ne comportant pas les noms et prénoms des négociateurs et des signataires, conformément aux dispositions de l’article L. 2231-5-1 et de l’article 2 du décret n°2017-752 du 3 mai 2017 relatif à la publicité des accords collectifs, afin qu’elle soit versée dans la base de données nationale.</w:t>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jc w:val="both"/>
        <w:rPr>
          <w:rFonts w:ascii="Helvetica" w:cs="Helvetica" w:hAnsi="Helvetica"/>
          <w:sz w:val="24"/>
          <w:szCs w:val="24"/>
        </w:rPr>
      </w:pPr>
      <w:r>
        <w:rPr>
          <w:rFonts w:ascii="Helvetica" w:cs="Helvetica" w:hAnsi="Helvetica"/>
          <w:sz w:val="24"/>
          <w:szCs w:val="24"/>
        </w:rPr>
        <w:t>L’accord sera affiché au sein de la Société sur les panneaux de la Direction prévus à cet effet. Un exemplaire sera tenu à disposition au service des Ressources Humaines.</w:t>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spacing w:after="0" w:before="0" w:line="240" w:lineRule="auto"/>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t>Fait à Brenouille, le 31 mars 2022</w:t>
      </w:r>
    </w:p>
    <w:p>
      <w:pPr>
        <w:pStyle w:val="Normal"/>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t>Pour la Direction :</w:t>
      </w:r>
    </w:p>
    <w:p>
      <w:pPr>
        <w:pStyle w:val="Normal"/>
        <w:rPr>
          <w:rFonts w:ascii="Helvetica" w:cs="Helvetica" w:hAnsi="Helvetica"/>
          <w:sz w:val="24"/>
          <w:szCs w:val="24"/>
        </w:rPr>
      </w:pPr>
      <w:r>
        <w:rPr>
          <w:rFonts w:ascii="Helvetica" w:cs="Helvetica" w:hAnsi="Helvetica"/>
          <w:sz w:val="24"/>
          <w:szCs w:val="24"/>
        </w:rPr>
        <w:t xml:space="preserve">Monsieur </w:t>
      </w:r>
      <w:r>
        <w:rPr>
          <w:rFonts w:ascii="Helvetica" w:cs="Helvetica" w:hAnsi="Helvetica"/>
          <w:sz w:val="24"/>
          <w:szCs w:val="24"/>
        </w:rPr>
        <w:t xml:space="preserve">xxxx </w:t>
      </w:r>
      <w:r>
        <w:rPr>
          <w:rFonts w:ascii="Helvetica" w:cs="Helvetica" w:hAnsi="Helvetica"/>
          <w:sz w:val="24"/>
          <w:szCs w:val="24"/>
        </w:rPr>
        <w:t>Directeur de l’usine</w:t>
      </w:r>
    </w:p>
    <w:p>
      <w:pPr>
        <w:pStyle w:val="Normal"/>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r>
    </w:p>
    <w:p>
      <w:pPr>
        <w:pStyle w:val="Normal"/>
        <w:rPr>
          <w:rFonts w:ascii="Helvetica" w:cs="Helvetica" w:hAnsi="Helvetica"/>
          <w:sz w:val="24"/>
          <w:szCs w:val="24"/>
        </w:rPr>
      </w:pPr>
      <w:r>
        <w:rPr>
          <w:rFonts w:ascii="Helvetica" w:cs="Helvetica" w:hAnsi="Helvetica"/>
          <w:sz w:val="24"/>
          <w:szCs w:val="24"/>
        </w:rPr>
        <w:t>Pour la CGT :</w:t>
      </w:r>
    </w:p>
    <w:p>
      <w:pPr>
        <w:pStyle w:val="Normal"/>
        <w:widowControl/>
        <w:bidi w:val="0"/>
        <w:spacing w:after="160" w:before="0" w:line="259" w:lineRule="auto"/>
        <w:jc w:val="left"/>
        <w:rPr/>
      </w:pPr>
      <w:r>
        <w:rPr>
          <w:rFonts w:ascii="Helvetica" w:cs="Helvetica" w:hAnsi="Helvetica"/>
          <w:sz w:val="24"/>
          <w:szCs w:val="24"/>
        </w:rPr>
        <w:t xml:space="preserve">Madame </w:t>
      </w:r>
      <w:r>
        <w:rPr>
          <w:rFonts w:ascii="Helvetica" w:cs="Helvetica" w:hAnsi="Helvetica"/>
          <w:sz w:val="24"/>
          <w:szCs w:val="24"/>
        </w:rPr>
        <w:t>xxxx</w:t>
      </w:r>
    </w:p>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Bold">
    <w:charset w:val="00"/>
    <w:family w:val="roman"/>
    <w:pitch w:val="variable"/>
  </w:font>
  <w:font w:name="Helvetica">
    <w:altName w:val="Arial"/>
    <w:charset w:val="00"/>
    <w:family w:val="roman"/>
    <w:pitch w:val="variable"/>
  </w:font>
  <w:font w:name="NimbusSa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Obj>
      <w:id w:val="431890521"/>
    </w:sdtPr>
    <w:sdtContent>
      <w:p>
        <w:pPr>
          <w:pStyle w:val="Pieddepage"/>
          <w:rPr/>
        </w:pPr>
        <w:r>
          <w:rPr/>
          <w:fldChar w:fldCharType="begin"/>
        </w:r>
        <w:r>
          <w:rPr/>
          <w:instrText> PAGE </w:instrText>
        </w:r>
        <w:r>
          <w:rPr/>
          <w:fldChar w:fldCharType="separate"/>
        </w:r>
        <w:r>
          <w:rPr/>
          <w:t>3</w:t>
        </w:r>
        <w:r>
          <w:rPr/>
          <w:fldChar w:fldCharType="end"/>
        </w:r>
        <w:r>
          <w:rPr/>
          <w:t xml:space="preserve"> </w:t>
        </w:r>
        <w:r>
          <w:rPr/>
          <w:t>/ 3</w:t>
        </w:r>
      </w:p>
    </w:sdtContent>
  </w:sdt>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mc:AlternateContent>
        <mc:Choice Requires="wps">
          <w:drawing>
            <wp:anchor allowOverlap="1" behindDoc="1" distB="50165" distL="118745" distR="118745" distT="50165" layoutInCell="0" locked="0" relativeHeight="11" simplePos="0" wp14:anchorId="1060D954">
              <wp:simplePos x="0" y="0"/>
              <wp:positionH relativeFrom="column">
                <wp:posOffset>-66675</wp:posOffset>
              </wp:positionH>
              <wp:positionV relativeFrom="paragraph">
                <wp:posOffset>235585</wp:posOffset>
              </wp:positionV>
              <wp:extent cx="1257935" cy="210185"/>
              <wp:effectExtent b="0" l="0" r="0" t="0"/>
              <wp:wrapSquare wrapText="bothSides"/>
              <wp:docPr id="3" name="Zone de texte 2"/>
              <a:graphic xmlns:a="http://schemas.openxmlformats.org/drawingml/2006/main">
                <a:graphicData uri="http://schemas.microsoft.com/office/word/2010/wordprocessingShape">
                  <wps:wsp>
                    <wps:cNvSpPr/>
                    <wps:spPr>
                      <a:xfrm>
                        <a:off x="0" y="0"/>
                        <a:ext cx="1257480" cy="209520"/>
                      </a:xfrm>
                      <a:prstGeom prst="rect">
                        <a:avLst/>
                      </a:prstGeom>
                      <a:solidFill>
                        <a:srgbClr val="ffffff"/>
                      </a:solidFill>
                      <a:ln w="9525">
                        <a:noFill/>
                      </a:ln>
                    </wps:spPr>
                    <wps:style>
                      <a:lnRef idx="0"/>
                      <a:fillRef idx="0"/>
                      <a:effectRef idx="0"/>
                      <a:fontRef idx="minor"/>
                    </wps:style>
                    <wps:txbx>
                      <w:txbxContent>
                        <w:p>
                          <w:pPr>
                            <w:pStyle w:val="Contenudecadre"/>
                            <w:spacing w:after="160" w:before="0"/>
                            <w:rPr>
                              <w:rFonts w:ascii="NimbusSan" w:hAnsi="NimbusSan"/>
                              <w:sz w:val="18"/>
                              <w:szCs w:val="18"/>
                            </w:rPr>
                          </w:pPr>
                          <w:r>
                            <w:rPr>
                              <w:rFonts w:ascii="NimbusSan" w:hAnsi="NimbusSan"/>
                              <w:sz w:val="18"/>
                              <w:szCs w:val="18"/>
                            </w:rPr>
                            <w:t>Pont Sainte Maxence</w:t>
                          </w:r>
                        </w:p>
                      </w:txbxContent>
                    </wps:txbx>
                    <wps:bodyPr bIns="0" lIns="0" rIns="0" tIns="0">
                      <a:noAutofit/>
                    </wps:bodyPr>
                  </wps:wsp>
                </a:graphicData>
              </a:graphic>
            </wp:anchor>
          </w:drawing>
        </mc:Choice>
        <mc:Fallback>
          <w:pict>
            <v:rect ID="Zone de texte 2" fillcolor="white" id="shape_0" path="m0,0l-2147483645,0l-2147483645,-2147483646l0,-2147483646xe" stroked="f" style="position:absolute;margin-left:-5.25pt;margin-top:18.55pt;width:98.95pt;height:16.45pt;mso-wrap-style:square;v-text-anchor:top" wp14:anchorId="1060D954">
              <v:fill color2="black" o:detectmouseclick="t" type="solid"/>
              <v:stroke color="#3465a4" endcap="flat" joinstyle="miter" weight="9360"/>
              <v:textbox>
                <w:txbxContent>
                  <w:p>
                    <w:pPr>
                      <w:pStyle w:val="Contenudecadre"/>
                      <w:spacing w:after="160" w:before="0"/>
                      <w:rPr>
                        <w:rFonts w:ascii="NimbusSan" w:hAnsi="NimbusSan"/>
                        <w:sz w:val="18"/>
                        <w:szCs w:val="18"/>
                      </w:rPr>
                    </w:pPr>
                    <w:r>
                      <w:rPr>
                        <w:rFonts w:ascii="NimbusSan" w:hAnsi="NimbusSan"/>
                        <w:sz w:val="18"/>
                        <w:szCs w:val="18"/>
                      </w:rPr>
                      <w:t>Pont Sainte Maxence</w:t>
                    </w:r>
                  </w:p>
                </w:txbxContent>
              </v:textbox>
              <w10:wrap type="square"/>
            </v:rect>
          </w:pict>
        </mc:Fallback>
      </mc:AlternateContent>
      <w:drawing>
        <wp:anchor allowOverlap="1" behindDoc="0" distB="0" distL="114300" distR="114300" distT="0" layoutInCell="0" locked="0" relativeHeight="4" simplePos="0">
          <wp:simplePos x="0" y="0"/>
          <wp:positionH relativeFrom="margin">
            <wp:posOffset>-205105</wp:posOffset>
          </wp:positionH>
          <wp:positionV relativeFrom="paragraph">
            <wp:posOffset>-183515</wp:posOffset>
          </wp:positionV>
          <wp:extent cx="1247775" cy="390525"/>
          <wp:effectExtent b="0" l="0" r="0" t="0"/>
          <wp:wrapTight wrapText="bothSides">
            <wp:wrapPolygon edited="0">
              <wp:start x="11196" y="0"/>
              <wp:lineTo x="-17" y="1050"/>
              <wp:lineTo x="-17" y="15764"/>
              <wp:lineTo x="7242" y="16815"/>
              <wp:lineTo x="7242" y="21019"/>
              <wp:lineTo x="21422" y="21019"/>
              <wp:lineTo x="21422" y="3152"/>
              <wp:lineTo x="21093" y="0"/>
              <wp:lineTo x="11196" y="0"/>
            </wp:wrapPolygon>
          </wp:wrapTight>
          <wp:docPr desc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Image 3"/>
                  <pic:cNvPicPr>
                    <a:picLocks noChangeArrowheads="1" noChangeAspect="1"/>
                  </pic:cNvPicPr>
                </pic:nvPicPr>
                <pic:blipFill>
                  <a:blip r:embed="rId1"/>
                  <a:stretch>
                    <a:fillRect/>
                  </a:stretch>
                </pic:blipFill>
                <pic:spPr bwMode="auto">
                  <a:xfrm>
                    <a:off x="0" y="0"/>
                    <a:ext cx="1247775" cy="390525"/>
                  </a:xfrm>
                  <a:prstGeom prst="rect">
                    <a:avLst/>
                  </a:prstGeom>
                </pic:spPr>
              </pic:pic>
            </a:graphicData>
          </a:graphic>
        </wp:anchor>
      </w:drawing>
    </w:r>
    <w:r>
      <w:rPr/>
      <w:t xml:space="preserve"> </w:t>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decimal"/>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4">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5">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6">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bidi w:val="0"/>
      <w:spacing w:after="160" w:before="0" w:line="259" w:lineRule="auto"/>
      <w:jc w:val="left"/>
    </w:pPr>
    <w:rPr>
      <w:rFonts w:ascii="Calibri" w:asciiTheme="minorHAnsi" w:cs="" w:cstheme="minorBidi" w:eastAsia="Calibri" w:eastAsiaTheme="minorHAnsi" w:hAnsi="Calibri" w:hAnsiTheme="minorHAnsi"/>
      <w:color w:val="auto"/>
      <w:kern w:val="0"/>
      <w:sz w:val="22"/>
      <w:szCs w:val="22"/>
      <w:lang w:bidi="ar-SA" w:eastAsia="en-US" w:val="fr-FR"/>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uiPriority w:val="99"/>
    <w:qFormat/>
    <w:rsid w:val="00345163"/>
    <w:rPr/>
  </w:style>
  <w:style w:customStyle="1" w:styleId="PieddepageCar" w:type="character">
    <w:name w:val="Pied de page Car"/>
    <w:basedOn w:val="DefaultParagraphFont"/>
    <w:link w:val="Pieddepage"/>
    <w:uiPriority w:val="99"/>
    <w:qFormat/>
    <w:rsid w:val="00345163"/>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345163"/>
    <w:pPr>
      <w:tabs>
        <w:tab w:pos="708" w:val="clear"/>
        <w:tab w:leader="none" w:pos="4536" w:val="center"/>
        <w:tab w:leader="none" w:pos="9072" w:val="right"/>
      </w:tabs>
      <w:spacing w:after="0" w:before="0" w:line="240" w:lineRule="auto"/>
    </w:pPr>
    <w:rPr/>
  </w:style>
  <w:style w:styleId="Pieddepage" w:type="paragraph">
    <w:name w:val="Footer"/>
    <w:basedOn w:val="Normal"/>
    <w:link w:val="PieddepageCar"/>
    <w:uiPriority w:val="99"/>
    <w:unhideWhenUsed/>
    <w:rsid w:val="00345163"/>
    <w:pPr>
      <w:tabs>
        <w:tab w:pos="708" w:val="clear"/>
        <w:tab w:leader="none" w:pos="4536" w:val="center"/>
        <w:tab w:leader="none" w:pos="9072" w:val="right"/>
      </w:tabs>
      <w:spacing w:after="0" w:before="0" w:line="240" w:lineRule="auto"/>
    </w:pPr>
    <w:rPr/>
  </w:style>
  <w:style w:styleId="ListParagraph" w:type="paragraph">
    <w:name w:val="List Paragraph"/>
    <w:basedOn w:val="Normal"/>
    <w:uiPriority w:val="34"/>
    <w:qFormat/>
    <w:rsid w:val="00c2081a"/>
    <w:pPr>
      <w:spacing w:after="160" w:before="0"/>
      <w:ind w:hanging="0" w:left="720"/>
      <w:contextualSpacing/>
    </w:pPr>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 Id="rId7" Target="theme/theme1.xml" Type="http://schemas.openxmlformats.org/officeDocument/2006/relationships/them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Ecobat</Template>
  <TotalTime>0</TotalTime>
  <Application>LibreOffice/7.1.8.1$Windows_X86_64 LibreOffice_project/e1f30c802c3269a1d052614453f260e49458c82c</Application>
  <AppVersion>15.0000</AppVersion>
  <Pages>3</Pages>
  <Words>596</Words>
  <Characters>3176</Characters>
  <CharactersWithSpaces>3722</CharactersWithSpaces>
  <Paragraphs>46</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2022-04-19T15:30:51Z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