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1"/>
        <w:pBdr>
          <w:top w:color="000000" w:space="1" w:sz="12" w:val="single"/>
          <w:left w:color="000000" w:space="4" w:sz="12" w:val="single"/>
          <w:bottom w:color="000000" w:space="1" w:sz="12" w:val="single"/>
          <w:right w:color="000000" w:space="4" w:sz="12" w:val="single"/>
        </w:pBdr>
        <w:shd w:fill="B3B3B3" w:val="clear"/>
        <w:spacing w:after="0" w:before="0" w:line="240" w:lineRule="auto"/>
        <w:rPr>
          <w:rFonts w:ascii="Arial" w:cs="Arial" w:eastAsia="Arial" w:hAnsi="Arial"/>
        </w:rPr>
      </w:pPr>
      <w:r>
        <w:rPr>
          <w:rFonts w:ascii="Arial" w:cs="Arial" w:eastAsia="Arial" w:hAnsi="Arial"/>
        </w:rPr>
      </w:r>
    </w:p>
    <w:tbl>
      <w:tblPr>
        <w:tblStyle w:val="Table1"/>
        <w:tblW w:type="dxa" w:w="9465"/>
        <w:jc w:val="left"/>
        <w:tblInd w:type="dxa" w:w="95"/>
        <w:tblLayout w:type="fixed"/>
        <w:tblCellMar>
          <w:top w:type="dxa" w:w="0"/>
          <w:left w:type="dxa" w:w="108"/>
          <w:bottom w:type="dxa" w:w="0"/>
          <w:right w:type="dxa" w:w="108"/>
        </w:tblCellMar>
        <w:tblLook w:val="0000"/>
      </w:tblPr>
      <w:tblGrid>
        <w:gridCol w:w="9465"/>
      </w:tblGrid>
      <w:tr>
        <w:trPr/>
        <w:tc>
          <w:tcPr>
            <w:tcW w:type="dxa" w:w="9465"/>
            <w:tcBorders>
              <w:top w:color="000000" w:space="0" w:sz="4" w:val="single"/>
              <w:left w:color="000000" w:space="0" w:sz="4" w:val="single"/>
              <w:bottom w:color="000000" w:space="0" w:sz="4" w:val="single"/>
              <w:right w:color="000000" w:space="0" w:sz="4" w:val="single"/>
            </w:tcBorders>
            <w:shd w:fill="C6D9F1" w:val="clear"/>
          </w:tcPr>
          <w:p>
            <w:pPr>
              <w:pStyle w:val="Normal1"/>
              <w:widowControl w:val="false"/>
              <w:spacing w:after="120" w:before="0" w:line="240" w:lineRule="auto"/>
              <w:ind w:hanging="0" w:right="-27"/>
              <w:jc w:val="center"/>
              <w:rPr>
                <w:rFonts w:ascii="Arial" w:cs="Arial" w:eastAsia="Arial" w:hAnsi="Arial"/>
                <w:b/>
                <w:b/>
                <w:sz w:val="32"/>
                <w:szCs w:val="32"/>
              </w:rPr>
            </w:pPr>
            <w:r>
              <w:rPr>
                <w:rFonts w:ascii="Arial" w:cs="Arial" w:eastAsia="Arial" w:hAnsi="Arial"/>
                <w:b/>
                <w:sz w:val="32"/>
                <w:szCs w:val="32"/>
              </w:rPr>
              <w:t xml:space="preserve">ACCORD SUR LA NÉGOCIATION ANNUELLE OBLIGATOIRE DE LA SOCIÉTÉ </w:t>
            </w:r>
            <w:r>
              <w:rPr>
                <w:rFonts w:ascii="Arial" w:cs="Arial" w:eastAsia="Arial" w:hAnsi="Arial"/>
                <w:b/>
                <w:sz w:val="32"/>
                <w:szCs w:val="32"/>
              </w:rPr>
              <w:t>SARP NORD</w:t>
            </w:r>
            <w:r>
              <w:rPr>
                <w:rFonts w:ascii="Arial" w:cs="Arial" w:eastAsia="Arial" w:hAnsi="Arial"/>
                <w:b/>
                <w:sz w:val="32"/>
                <w:szCs w:val="32"/>
              </w:rPr>
              <w:t xml:space="preserve"> - ANNÉE 2023</w:t>
            </w:r>
          </w:p>
        </w:tc>
      </w:tr>
    </w:tbl>
    <w:p>
      <w:pPr>
        <w:pStyle w:val="Normal1"/>
        <w:widowControl w:val="false"/>
        <w:spacing w:after="12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rPr>
      </w:pPr>
      <w:r>
        <w:rPr>
          <w:rFonts w:ascii="Arial" w:cs="Arial" w:eastAsia="Arial" w:hAnsi="Arial"/>
        </w:rPr>
        <w:t>ENTRE :</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b/>
          <w:b/>
          <w:bCs/>
        </w:rPr>
      </w:pPr>
      <w:r>
        <w:rPr>
          <w:rFonts w:ascii="Arial" w:cs="Arial" w:eastAsia="Arial" w:hAnsi="Arial"/>
          <w:b/>
          <w:bCs/>
        </w:rPr>
        <w:t>La société SARP NORD</w:t>
      </w:r>
      <w:r>
        <w:rPr>
          <w:rFonts w:ascii="Arial" w:cs="Arial" w:eastAsia="Arial" w:hAnsi="Arial"/>
          <w:b w:val="false"/>
          <w:bCs w:val="false"/>
        </w:rPr>
        <w:t xml:space="preserve"> immatriculée au Registre du Commerce et des Sociétés de BEAUVAIS</w:t>
      </w:r>
    </w:p>
    <w:p>
      <w:pPr>
        <w:pStyle w:val="Normal1"/>
        <w:spacing w:after="0" w:before="0" w:line="240" w:lineRule="auto"/>
        <w:jc w:val="both"/>
        <w:rPr>
          <w:rFonts w:ascii="Arial" w:cs="Arial" w:eastAsia="Arial" w:hAnsi="Arial"/>
          <w:b/>
          <w:b/>
          <w:bCs/>
        </w:rPr>
      </w:pPr>
      <w:r>
        <w:rPr>
          <w:rFonts w:ascii="Arial" w:cs="Arial" w:eastAsia="Arial" w:hAnsi="Arial"/>
          <w:b w:val="false"/>
          <w:bCs w:val="false"/>
        </w:rPr>
        <w:t>sous le numéro 487 709 651 dont le siège social est situé ZAC de Ther, 5 rue Gustave Eiffel, 60000 Beauvais, représentée par Monsieur xxx, en sa qualité de Directeur Opérationnel du Secteur Nord Est</w:t>
      </w:r>
    </w:p>
    <w:p>
      <w:pPr>
        <w:pStyle w:val="Normal1"/>
        <w:spacing w:after="0" w:before="0" w:line="240" w:lineRule="auto"/>
        <w:jc w:val="both"/>
        <w:rPr>
          <w:rFonts w:ascii="Arial" w:cs="Arial" w:eastAsia="Arial" w:hAnsi="Arial"/>
          <w:highlight w:val="yellow"/>
        </w:rPr>
      </w:pPr>
      <w:r>
        <w:rPr>
          <w:rFonts w:ascii="Arial" w:cs="Arial" w:eastAsia="Arial" w:hAnsi="Arial"/>
          <w:highlight w:val="yellow"/>
        </w:rPr>
      </w:r>
    </w:p>
    <w:p>
      <w:pPr>
        <w:pStyle w:val="Normal1"/>
        <w:spacing w:after="0" w:before="0" w:line="240" w:lineRule="auto"/>
        <w:ind w:hanging="0" w:left="7920"/>
        <w:jc w:val="both"/>
        <w:rPr>
          <w:rFonts w:ascii="Arial" w:cs="Arial" w:eastAsia="Arial" w:hAnsi="Arial"/>
        </w:rPr>
      </w:pPr>
      <w:r>
        <w:rPr>
          <w:rFonts w:ascii="Arial" w:cs="Arial" w:eastAsia="Arial" w:hAnsi="Arial"/>
        </w:rPr>
        <w:t>D’une part,</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ET :</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 xml:space="preserve">L’organisation Syndicale CFDT représentée par Monsieur xxx en sa qualité de Délégué Syndical, dûment mandaté, </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ind w:hanging="0" w:left="7920"/>
        <w:jc w:val="both"/>
        <w:rPr>
          <w:rFonts w:ascii="Arial" w:cs="Arial" w:eastAsia="Arial" w:hAnsi="Arial"/>
        </w:rPr>
      </w:pPr>
      <w:r>
        <w:rPr>
          <w:rFonts w:ascii="Arial" w:cs="Arial" w:eastAsia="Arial" w:hAnsi="Arial"/>
        </w:rPr>
        <w:t>D’autre part,</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r>
        <w:br w:type="page"/>
      </w:r>
    </w:p>
    <w:p>
      <w:pPr>
        <w:pStyle w:val="Normal1"/>
        <w:spacing w:after="0" w:before="0" w:line="240" w:lineRule="auto"/>
        <w:jc w:val="center"/>
        <w:rPr>
          <w:rFonts w:ascii="Arial" w:cs="Arial" w:eastAsia="Arial" w:hAnsi="Arial"/>
          <w:shd w:fill="C9DAF8" w:val="clear"/>
        </w:rPr>
      </w:pPr>
      <w:r>
        <w:rPr>
          <w:rFonts w:ascii="Arial" w:cs="Arial" w:eastAsia="Arial" w:hAnsi="Arial"/>
          <w:b/>
          <w:u w:val="single"/>
          <w:shd w:fill="C9DAF8" w:val="clear"/>
        </w:rPr>
        <w:t>PREAMBULE</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La négociation annuelle obligatoire s’est engagée entre la Direction de la société et le  Délégué Syndical présent dans l’entreprise, conformément aux articles L.2242-1 et suivants du Code du travail.</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Lors des discussions, la Direction a souhaité rappeler que les résultats de la société sur l’année 2022 restent déficitaires sur certaines agences, tout en évoquant le contexte économique général inflationniste: 5.2 % sur l’année 2022 selon les chiffres de l’INSEE.</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La Direction entend rappeler également que le groupe a pris en cours d’année des mesures en faveur du pouvoir d’achat ayant pour effet l’augmentation collective des salaires  des collaborateurs non cadres de la société à hauteur de 3 % en plus des mesures d’augmentations individuelles prises via les NAO 2022; pour rappel, une enveloppe de revalorisations de 3%.</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La Représentation Syndicale a quant à elle pu faire part de ses revendications.</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Les discussions se sont orientés autour des axes suivants :</w:t>
      </w:r>
    </w:p>
    <w:p>
      <w:pPr>
        <w:pStyle w:val="Normal1"/>
        <w:spacing w:after="0" w:before="0" w:line="240" w:lineRule="auto"/>
        <w:jc w:val="both"/>
        <w:rPr>
          <w:rFonts w:ascii="Arial" w:cs="Arial" w:eastAsia="Arial" w:hAnsi="Arial"/>
        </w:rPr>
      </w:pPr>
      <w:r>
        <w:rPr>
          <w:rFonts w:ascii="Arial" w:cs="Arial" w:eastAsia="Arial" w:hAnsi="Arial"/>
        </w:rPr>
      </w:r>
    </w:p>
    <w:p>
      <w:pPr>
        <w:pStyle w:val="Normal1"/>
        <w:numPr>
          <w:ilvl w:val="0"/>
          <w:numId w:val="5"/>
        </w:numPr>
        <w:spacing w:after="0" w:before="0" w:line="240" w:lineRule="auto"/>
        <w:ind w:hanging="360" w:left="720"/>
        <w:jc w:val="both"/>
        <w:rPr>
          <w:rFonts w:ascii="Arial" w:cs="Arial" w:eastAsia="Arial" w:hAnsi="Arial"/>
        </w:rPr>
      </w:pPr>
      <w:r>
        <w:rPr>
          <w:rFonts w:ascii="Arial" w:cs="Arial" w:eastAsia="Arial" w:hAnsi="Arial"/>
        </w:rPr>
        <w:t>Rémunération, temps du travail et partage de la valeur ajoutée dans l’entreprise,</w:t>
      </w:r>
    </w:p>
    <w:p>
      <w:pPr>
        <w:pStyle w:val="Normal1"/>
        <w:numPr>
          <w:ilvl w:val="0"/>
          <w:numId w:val="5"/>
        </w:numPr>
        <w:spacing w:after="0" w:before="0" w:line="240" w:lineRule="auto"/>
        <w:ind w:hanging="360" w:left="720"/>
        <w:jc w:val="both"/>
        <w:rPr>
          <w:rFonts w:ascii="Arial" w:cs="Arial" w:eastAsia="Arial" w:hAnsi="Arial"/>
        </w:rPr>
      </w:pPr>
      <w:r>
        <w:rPr>
          <w:rFonts w:ascii="Arial" w:cs="Arial" w:eastAsia="Arial" w:hAnsi="Arial"/>
        </w:rPr>
        <w:t>Égalité professionnelle entre les femmes et les hommes et la qualité de vie au travail.</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 xml:space="preserve">Aux termes des réunions du 15 février 2023, du 2 mars 2023, les parties ont abouti à la conclusion du présent accord. </w:t>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t>Article 1. CHAMP D’APPLICATION</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Le présent accord s’applique à l’ensemble des salariés en contrat à durée indéterminée et déterminée.</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t>Article 2. OBJET DE L’ACCORD</w:t>
      </w:r>
    </w:p>
    <w:p>
      <w:pPr>
        <w:pStyle w:val="Normal1"/>
        <w:spacing w:after="0" w:before="0" w:line="240" w:lineRule="auto"/>
        <w:jc w:val="both"/>
        <w:rPr>
          <w:rFonts w:ascii="Arial" w:cs="Arial" w:eastAsia="Arial" w:hAnsi="Arial"/>
          <w:sz w:val="24"/>
          <w:szCs w:val="24"/>
        </w:rPr>
      </w:pPr>
      <w:r>
        <w:rPr>
          <w:rFonts w:ascii="Arial" w:cs="Arial" w:eastAsia="Arial" w:hAnsi="Arial"/>
          <w:sz w:val="24"/>
          <w:szCs w:val="24"/>
        </w:rPr>
      </w:r>
    </w:p>
    <w:p>
      <w:pPr>
        <w:pStyle w:val="Normal1"/>
        <w:numPr>
          <w:ilvl w:val="0"/>
          <w:numId w:val="2"/>
        </w:numPr>
        <w:spacing w:after="0" w:before="0" w:line="240" w:lineRule="auto"/>
        <w:ind w:hanging="360" w:left="720"/>
        <w:jc w:val="both"/>
        <w:rPr>
          <w:rFonts w:ascii="Arial" w:cs="Arial" w:eastAsia="Arial" w:hAnsi="Arial"/>
          <w:b/>
          <w:b/>
          <w:sz w:val="24"/>
          <w:szCs w:val="24"/>
        </w:rPr>
      </w:pPr>
      <w:r>
        <w:rPr>
          <w:rFonts w:ascii="Arial" w:cs="Arial" w:eastAsia="Arial" w:hAnsi="Arial"/>
          <w:b/>
          <w:sz w:val="24"/>
          <w:szCs w:val="24"/>
          <w:u w:val="single"/>
        </w:rPr>
        <w:t>Rémunération, temps de travail et partage de la valeur ajoutée</w:t>
      </w:r>
    </w:p>
    <w:p>
      <w:pPr>
        <w:pStyle w:val="Normal1"/>
        <w:spacing w:after="0" w:before="0" w:line="240" w:lineRule="auto"/>
        <w:ind w:hanging="0" w:left="0"/>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numPr>
          <w:ilvl w:val="0"/>
          <w:numId w:val="3"/>
        </w:numPr>
        <w:spacing w:after="0" w:before="0" w:line="240" w:lineRule="auto"/>
        <w:ind w:hanging="360" w:left="720"/>
        <w:jc w:val="both"/>
        <w:rPr>
          <w:rFonts w:ascii="Arial" w:cs="Arial" w:eastAsia="Arial" w:hAnsi="Arial"/>
          <w:b/>
          <w:b/>
        </w:rPr>
      </w:pPr>
      <w:r>
        <w:rPr>
          <w:rFonts w:ascii="Arial" w:cs="Arial" w:eastAsia="Arial" w:hAnsi="Arial"/>
          <w:b/>
          <w:u w:val="single"/>
        </w:rPr>
        <w:t>Augmentation des appointements de base du personnel non cadre</w:t>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rPr>
      </w:pPr>
      <w:r>
        <w:rPr>
          <w:rFonts w:ascii="Arial" w:cs="Arial" w:eastAsia="Arial" w:hAnsi="Arial"/>
        </w:rPr>
        <w:t>L’enveloppe consacrée à la revalorisation des salaires de base bruts est fixée à 3,5  %.</w:t>
      </w:r>
    </w:p>
    <w:p>
      <w:pPr>
        <w:pStyle w:val="Normal1"/>
        <w:spacing w:after="0" w:before="0" w:line="240" w:lineRule="auto"/>
        <w:jc w:val="both"/>
        <w:rPr>
          <w:rFonts w:ascii="Arial" w:cs="Arial" w:eastAsia="Arial" w:hAnsi="Arial"/>
        </w:rPr>
      </w:pPr>
      <w:r>
        <w:rPr>
          <w:rFonts w:ascii="Arial" w:cs="Arial" w:eastAsia="Arial" w:hAnsi="Arial"/>
        </w:rPr>
        <w:t>La revalorisation des salaires de base aura lieu à compter du 01/03/2023.</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Les critères permettant d’attribuer ces augmentations individuelles sont basés sur l’engagement et l’investissement de chaque collaborateur au cours de l’année 2022 et ont pour objectif de valoriser la performance, l’implication de ces salariés dans la vie de la société.</w:t>
      </w:r>
    </w:p>
    <w:p>
      <w:pPr>
        <w:pStyle w:val="Normal1"/>
        <w:spacing w:after="0" w:before="0" w:line="240" w:lineRule="auto"/>
        <w:jc w:val="both"/>
        <w:rPr>
          <w:rFonts w:ascii="Arial" w:cs="Arial" w:eastAsia="Arial" w:hAnsi="Arial"/>
        </w:rPr>
      </w:pPr>
      <w:r>
        <w:rPr>
          <w:rFonts w:ascii="Arial" w:cs="Arial" w:eastAsia="Arial" w:hAnsi="Arial"/>
        </w:rPr>
        <w:t>A contrario, les salariés manquant d’implication, dont l’absentéisme est récurrent voire systématique, ou ayant été sanctionné recevront une moindre revalorisation.</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color w:val="231F20"/>
        </w:rPr>
      </w:pPr>
      <w:r>
        <w:rPr>
          <w:rFonts w:ascii="Arial" w:cs="Arial" w:eastAsia="Arial" w:hAnsi="Arial"/>
        </w:rPr>
        <w:t>La Direction s’engage à ce que chaque collaborateur soit reçu sur demande en entretien individuel afin que son  N+1 puisse lui  expliquer les raisons qui ont motivées  l’augmentation ou la moindre augmentation.</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numPr>
          <w:ilvl w:val="0"/>
          <w:numId w:val="3"/>
        </w:numPr>
        <w:spacing w:after="0" w:before="0" w:line="240" w:lineRule="auto"/>
        <w:ind w:hanging="360" w:left="720"/>
        <w:jc w:val="both"/>
        <w:rPr>
          <w:rFonts w:ascii="Arial" w:cs="Arial" w:eastAsia="Arial" w:hAnsi="Arial"/>
          <w:b/>
          <w:b/>
        </w:rPr>
      </w:pPr>
      <w:r>
        <w:rPr>
          <w:rFonts w:ascii="Arial" w:cs="Arial" w:eastAsia="Arial" w:hAnsi="Arial"/>
          <w:b/>
          <w:u w:val="single"/>
        </w:rPr>
        <w:t>Augmentation des appointements de base du personnel cadre</w:t>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jc w:val="both"/>
        <w:rPr>
          <w:rFonts w:ascii="Arial" w:cs="Arial" w:eastAsia="Arial" w:hAnsi="Arial"/>
        </w:rPr>
      </w:pPr>
      <w:r>
        <w:rPr>
          <w:rFonts w:ascii="Arial" w:cs="Arial" w:eastAsia="Arial" w:hAnsi="Arial"/>
        </w:rPr>
        <w:t xml:space="preserve">Les cadres bénéficient d’un régime spécifique commun à l’ensemble du Groupe </w:t>
      </w:r>
    </w:p>
    <w:p>
      <w:pPr>
        <w:pStyle w:val="Normal1"/>
        <w:spacing w:after="0" w:before="0" w:line="240" w:lineRule="auto"/>
        <w:ind w:hanging="0" w:left="0"/>
        <w:jc w:val="both"/>
        <w:rPr>
          <w:rFonts w:ascii="Arial" w:cs="Arial" w:eastAsia="Arial" w:hAnsi="Arial"/>
          <w:b/>
          <w:b/>
          <w:u w:val="single"/>
        </w:rPr>
      </w:pPr>
      <w:r>
        <w:rPr>
          <w:rFonts w:ascii="Arial" w:cs="Arial" w:eastAsia="Arial" w:hAnsi="Arial"/>
          <w:b/>
          <w:u w:val="single"/>
        </w:rPr>
      </w:r>
    </w:p>
    <w:p>
      <w:pPr>
        <w:pStyle w:val="Normal1"/>
        <w:spacing w:after="0" w:before="0" w:line="240" w:lineRule="auto"/>
        <w:ind w:hanging="0" w:left="720"/>
        <w:jc w:val="both"/>
        <w:rPr>
          <w:rFonts w:ascii="Arial" w:cs="Arial" w:eastAsia="Arial" w:hAnsi="Arial"/>
          <w:b/>
          <w:b/>
          <w:u w:val="single"/>
        </w:rPr>
      </w:pPr>
      <w:r>
        <w:rPr>
          <w:rFonts w:ascii="Arial" w:cs="Arial" w:eastAsia="Arial" w:hAnsi="Arial"/>
          <w:b/>
          <w:u w:val="single"/>
        </w:rPr>
      </w:r>
    </w:p>
    <w:p>
      <w:pPr>
        <w:pStyle w:val="Normal1"/>
        <w:numPr>
          <w:ilvl w:val="0"/>
          <w:numId w:val="3"/>
        </w:numPr>
        <w:spacing w:after="0" w:before="0" w:line="240" w:lineRule="auto"/>
        <w:ind w:hanging="360" w:left="720"/>
        <w:jc w:val="both"/>
        <w:rPr>
          <w:rFonts w:ascii="Arial" w:cs="Arial" w:eastAsia="Arial" w:hAnsi="Arial"/>
          <w:b/>
          <w:b/>
        </w:rPr>
      </w:pPr>
      <w:r>
        <w:rPr>
          <w:rFonts w:ascii="Arial" w:cs="Arial" w:eastAsia="Arial" w:hAnsi="Arial"/>
          <w:b/>
          <w:u w:val="single"/>
        </w:rPr>
        <w:t xml:space="preserve">Mise en place d’une prime de cooptation </w:t>
      </w:r>
    </w:p>
    <w:p>
      <w:pPr>
        <w:pStyle w:val="Normal1"/>
        <w:spacing w:after="0" w:before="0" w:line="240" w:lineRule="auto"/>
        <w:ind w:hanging="0" w:left="720"/>
        <w:jc w:val="both"/>
        <w:rPr>
          <w:rFonts w:ascii="Arial" w:cs="Arial" w:eastAsia="Arial" w:hAnsi="Arial"/>
          <w:b/>
          <w:b/>
          <w:u w:val="single"/>
        </w:rPr>
      </w:pPr>
      <w:r>
        <w:rPr>
          <w:rFonts w:ascii="Arial" w:cs="Arial" w:eastAsia="Arial" w:hAnsi="Arial"/>
          <w:b/>
          <w:u w:val="single"/>
        </w:rPr>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t>A compter du 01/03/2023, il sera mis en place une prime dite de “cooptation” afin de pallier aux problèmes de recrutement rencontrés et également d’impliquer l’ensemble des collaborateurs dans ce processus.</w:t>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t>Le montant total de la prime est de 500 euros brut par personne cooptée peu important le poste ou la classification visée. Les offres à pourvoir doivent être des contrats à durée indéterminée.</w:t>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t xml:space="preserve">Les modalités de versement de cette prime sont les suivantes : </w:t>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r>
    </w:p>
    <w:p>
      <w:pPr>
        <w:pStyle w:val="Normal1"/>
        <w:keepNext w:val="false"/>
        <w:keepLines w:val="false"/>
        <w:pageBreakBefore w:val="false"/>
        <w:widowControl/>
        <w:numPr>
          <w:ilvl w:val="0"/>
          <w:numId w:val="6"/>
        </w:numPr>
        <w:pBdr/>
        <w:shd w:fill="auto" w:val="clear"/>
        <w:spacing w:after="0" w:before="0" w:line="240" w:lineRule="auto"/>
        <w:ind w:hanging="360" w:left="720" w:right="0"/>
        <w:jc w:val="both"/>
        <w:rPr>
          <w:rFonts w:ascii="Arial" w:cs="Arial" w:eastAsia="Arial" w:hAnsi="Arial"/>
          <w:u w:val="none"/>
        </w:rPr>
      </w:pPr>
      <w:r>
        <w:rPr>
          <w:rFonts w:ascii="Arial" w:cs="Arial" w:eastAsia="Arial" w:hAnsi="Arial"/>
        </w:rPr>
        <w:t>un premier versement de 250 euros brut, après la validation de la période d’essai du candidat coopté;</w:t>
      </w:r>
    </w:p>
    <w:p>
      <w:pPr>
        <w:pStyle w:val="Normal1"/>
        <w:keepNext w:val="false"/>
        <w:keepLines w:val="false"/>
        <w:pageBreakBefore w:val="false"/>
        <w:widowControl/>
        <w:numPr>
          <w:ilvl w:val="0"/>
          <w:numId w:val="6"/>
        </w:numPr>
        <w:pBdr/>
        <w:shd w:fill="auto" w:val="clear"/>
        <w:spacing w:after="0" w:before="0" w:line="240" w:lineRule="auto"/>
        <w:ind w:hanging="360" w:left="720" w:right="0"/>
        <w:jc w:val="both"/>
        <w:rPr>
          <w:rFonts w:ascii="Arial" w:cs="Arial" w:eastAsia="Arial" w:hAnsi="Arial"/>
          <w:u w:val="none"/>
        </w:rPr>
      </w:pPr>
      <w:r>
        <w:rPr>
          <w:rFonts w:ascii="Arial" w:cs="Arial" w:eastAsia="Arial" w:hAnsi="Arial"/>
        </w:rPr>
        <w:t>un second versement de 250 euros brut, 6 mois après ce premier versement et si la personne cooptée est toujours en poste.</w:t>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r>
    </w:p>
    <w:p>
      <w:pPr>
        <w:pStyle w:val="Normal1"/>
        <w:keepNext w:val="false"/>
        <w:keepLines w:val="false"/>
        <w:pageBreakBefore w:val="false"/>
        <w:widowControl/>
        <w:numPr>
          <w:ilvl w:val="0"/>
          <w:numId w:val="3"/>
        </w:numPr>
        <w:pBdr/>
        <w:shd w:fill="auto" w:val="clear"/>
        <w:spacing w:after="0" w:before="0" w:line="240" w:lineRule="auto"/>
        <w:ind w:hanging="360" w:left="720" w:right="0"/>
        <w:jc w:val="both"/>
        <w:rPr>
          <w:rFonts w:ascii="Arial" w:cs="Arial" w:eastAsia="Arial" w:hAnsi="Arial"/>
          <w:b/>
          <w:b/>
        </w:rPr>
      </w:pPr>
      <w:r>
        <w:rPr>
          <w:rFonts w:ascii="Arial" w:cs="Arial" w:eastAsia="Arial" w:hAnsi="Arial"/>
          <w:b/>
          <w:u w:val="single"/>
        </w:rPr>
        <w:t>Durée effective et organisation du temps de travail</w:t>
      </w:r>
    </w:p>
    <w:p>
      <w:pPr>
        <w:pStyle w:val="Normal1"/>
        <w:tabs>
          <w:tab w:pos="720" w:val="clear"/>
          <w:tab w:leader="none" w:pos="1440" w:val="left"/>
          <w:tab w:leader="none" w:pos="1980" w:val="left"/>
        </w:tabs>
        <w:spacing w:after="0" w:before="0" w:line="240" w:lineRule="auto"/>
        <w:jc w:val="both"/>
        <w:rPr>
          <w:rFonts w:ascii="Arial" w:cs="Arial" w:eastAsia="Arial" w:hAnsi="Arial"/>
          <w:sz w:val="24"/>
          <w:szCs w:val="24"/>
        </w:rPr>
      </w:pPr>
      <w:r>
        <w:rPr>
          <w:rFonts w:ascii="Arial" w:cs="Arial" w:eastAsia="Arial" w:hAnsi="Arial"/>
          <w:sz w:val="24"/>
          <w:szCs w:val="24"/>
        </w:rPr>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t>La durée effective et l’organisation du temps de travail relèvent des accords d’entreprise</w:t>
      </w:r>
      <w:r>
        <w:rPr>
          <w:rFonts w:ascii="Arial" w:cs="Arial" w:eastAsia="Arial" w:hAnsi="Arial"/>
        </w:rPr>
        <w:t xml:space="preserve"> </w:t>
      </w:r>
      <w:r>
        <w:rPr>
          <w:rFonts w:ascii="Arial" w:cs="Arial" w:eastAsia="Arial" w:hAnsi="Arial"/>
        </w:rPr>
        <w:t>et restent inchangés.</w:t>
      </w:r>
    </w:p>
    <w:p>
      <w:pPr>
        <w:pStyle w:val="Normal1"/>
        <w:tabs>
          <w:tab w:pos="720" w:val="clear"/>
          <w:tab w:leader="none" w:pos="1440" w:val="left"/>
          <w:tab w:leader="none" w:pos="1980" w:val="left"/>
        </w:tabs>
        <w:spacing w:after="0" w:before="0" w:line="240" w:lineRule="auto"/>
        <w:jc w:val="both"/>
        <w:rPr>
          <w:rFonts w:ascii="Arial" w:cs="Arial" w:eastAsia="Arial" w:hAnsi="Arial"/>
          <w:sz w:val="24"/>
          <w:szCs w:val="24"/>
        </w:rPr>
      </w:pPr>
      <w:r>
        <w:rPr>
          <w:rFonts w:ascii="Arial" w:cs="Arial" w:eastAsia="Arial" w:hAnsi="Arial"/>
          <w:sz w:val="24"/>
          <w:szCs w:val="24"/>
        </w:rPr>
      </w:r>
    </w:p>
    <w:p>
      <w:pPr>
        <w:pStyle w:val="Normal1"/>
        <w:widowControl w:val="false"/>
        <w:numPr>
          <w:ilvl w:val="0"/>
          <w:numId w:val="3"/>
        </w:numPr>
        <w:tabs>
          <w:tab w:pos="720" w:val="clear"/>
          <w:tab w:leader="none" w:pos="1440" w:val="left"/>
          <w:tab w:leader="none" w:pos="1980" w:val="left"/>
        </w:tabs>
        <w:spacing w:after="0" w:before="0" w:line="278" w:lineRule="auto"/>
        <w:ind w:hanging="360" w:left="720"/>
        <w:jc w:val="both"/>
        <w:rPr>
          <w:rFonts w:ascii="Arial" w:cs="Arial" w:eastAsia="Arial" w:hAnsi="Arial"/>
          <w:b/>
          <w:b/>
          <w:sz w:val="24"/>
          <w:szCs w:val="24"/>
        </w:rPr>
      </w:pPr>
      <w:r>
        <w:rPr>
          <w:rFonts w:ascii="Arial" w:cs="Arial" w:eastAsia="Arial" w:hAnsi="Arial"/>
          <w:b/>
          <w:u w:val="single"/>
        </w:rPr>
        <w:t>Prévoyance et frais de santé</w:t>
      </w:r>
    </w:p>
    <w:p>
      <w:pPr>
        <w:pStyle w:val="Normal1"/>
        <w:tabs>
          <w:tab w:pos="720" w:val="clear"/>
          <w:tab w:leader="none" w:pos="1440" w:val="left"/>
          <w:tab w:leader="none" w:pos="1980" w:val="left"/>
        </w:tabs>
        <w:spacing w:after="0" w:before="0" w:line="240" w:lineRule="auto"/>
        <w:jc w:val="both"/>
        <w:rPr>
          <w:rFonts w:ascii="Arial" w:cs="Arial" w:eastAsia="Arial" w:hAnsi="Arial"/>
          <w:b/>
          <w:b/>
          <w:sz w:val="24"/>
          <w:szCs w:val="24"/>
          <w:u w:val="single"/>
        </w:rPr>
      </w:pPr>
      <w:r>
        <w:rPr>
          <w:rFonts w:ascii="Arial" w:cs="Arial" w:eastAsia="Arial" w:hAnsi="Arial"/>
          <w:b/>
          <w:sz w:val="24"/>
          <w:szCs w:val="24"/>
          <w:u w:val="single"/>
        </w:rPr>
      </w:r>
    </w:p>
    <w:p>
      <w:pPr>
        <w:pStyle w:val="Normal1"/>
        <w:keepNext w:val="false"/>
        <w:keepLines w:val="false"/>
        <w:pageBreakBefore w:val="false"/>
        <w:widowControl/>
        <w:pBdr/>
        <w:shd w:fill="auto" w:val="clear"/>
        <w:spacing w:after="0" w:before="0" w:line="240" w:lineRule="auto"/>
        <w:ind w:hanging="0" w:left="0" w:right="0"/>
        <w:jc w:val="both"/>
        <w:rPr>
          <w:rFonts w:ascii="Arial" w:cs="Arial" w:eastAsia="Arial" w:hAnsi="Arial"/>
        </w:rPr>
      </w:pPr>
      <w:r>
        <w:rPr>
          <w:rFonts w:ascii="Arial" w:cs="Arial" w:eastAsia="Arial" w:hAnsi="Arial"/>
        </w:rPr>
        <w:t>La prévoyance et les frais de santé relèvent des accords d’entreprise.  Ils restent inchangés.</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numPr>
          <w:ilvl w:val="0"/>
          <w:numId w:val="2"/>
        </w:numPr>
        <w:spacing w:after="0" w:before="0" w:line="240" w:lineRule="auto"/>
        <w:ind w:hanging="360" w:left="720"/>
        <w:jc w:val="both"/>
        <w:rPr>
          <w:rFonts w:ascii="Arial" w:cs="Arial" w:eastAsia="Arial" w:hAnsi="Arial"/>
          <w:b/>
          <w:b/>
          <w:sz w:val="24"/>
          <w:szCs w:val="24"/>
        </w:rPr>
      </w:pPr>
      <w:r>
        <w:rPr>
          <w:rFonts w:ascii="Arial" w:cs="Arial" w:eastAsia="Arial" w:hAnsi="Arial"/>
          <w:b/>
          <w:sz w:val="24"/>
          <w:szCs w:val="24"/>
          <w:u w:val="single"/>
        </w:rPr>
        <w:t xml:space="preserve">Égalité professionnelle et salariale entre les hommes et les femmes et la qualité de vie au travail </w:t>
      </w:r>
    </w:p>
    <w:p>
      <w:pPr>
        <w:pStyle w:val="Normal1"/>
        <w:spacing w:after="0" w:before="0" w:line="240" w:lineRule="auto"/>
        <w:ind w:hanging="0" w:left="720"/>
        <w:jc w:val="both"/>
        <w:rPr>
          <w:rFonts w:ascii="Arial" w:cs="Arial" w:eastAsia="Arial" w:hAnsi="Arial"/>
          <w:b/>
          <w:b/>
          <w:sz w:val="24"/>
          <w:szCs w:val="24"/>
          <w:u w:val="single"/>
        </w:rPr>
      </w:pPr>
      <w:r>
        <w:rPr>
          <w:rFonts w:ascii="Arial" w:cs="Arial" w:eastAsia="Arial" w:hAnsi="Arial"/>
          <w:b/>
          <w:sz w:val="24"/>
          <w:szCs w:val="24"/>
          <w:u w:val="single"/>
        </w:rPr>
      </w:r>
    </w:p>
    <w:p>
      <w:pPr>
        <w:pStyle w:val="Normal1"/>
        <w:widowControl w:val="false"/>
        <w:numPr>
          <w:ilvl w:val="0"/>
          <w:numId w:val="1"/>
        </w:numPr>
        <w:tabs>
          <w:tab w:pos="720" w:val="clear"/>
          <w:tab w:leader="none" w:pos="1440" w:val="left"/>
          <w:tab w:leader="none" w:pos="1980" w:val="left"/>
        </w:tabs>
        <w:spacing w:after="0" w:before="0" w:line="278" w:lineRule="auto"/>
        <w:ind w:hanging="360" w:left="720"/>
        <w:jc w:val="both"/>
        <w:rPr>
          <w:rFonts w:ascii="Arial" w:cs="Arial" w:eastAsia="Arial" w:hAnsi="Arial"/>
          <w:b/>
          <w:b/>
          <w:sz w:val="24"/>
          <w:szCs w:val="24"/>
        </w:rPr>
      </w:pPr>
      <w:r>
        <w:rPr>
          <w:rFonts w:ascii="Arial" w:cs="Arial" w:eastAsia="Arial" w:hAnsi="Arial"/>
          <w:b/>
          <w:u w:val="single"/>
        </w:rPr>
        <w:t xml:space="preserve">Egalité Hommes Femmes </w:t>
      </w:r>
    </w:p>
    <w:p>
      <w:pPr>
        <w:pStyle w:val="Normal1"/>
        <w:spacing w:after="0" w:before="0" w:line="240" w:lineRule="auto"/>
        <w:rPr>
          <w:rFonts w:ascii="Arial" w:cs="Arial" w:eastAsia="Arial" w:hAnsi="Arial"/>
          <w:sz w:val="24"/>
          <w:szCs w:val="24"/>
        </w:rPr>
      </w:pPr>
      <w:r>
        <w:rPr>
          <w:rFonts w:ascii="Arial" w:cs="Arial" w:eastAsia="Arial" w:hAnsi="Arial"/>
          <w:sz w:val="24"/>
          <w:szCs w:val="24"/>
        </w:rPr>
      </w:r>
    </w:p>
    <w:p>
      <w:pPr>
        <w:pStyle w:val="Normal1"/>
        <w:spacing w:after="0" w:before="0" w:line="240" w:lineRule="auto"/>
        <w:jc w:val="both"/>
        <w:rPr>
          <w:rFonts w:ascii="Arial" w:cs="Arial" w:eastAsia="Arial" w:hAnsi="Arial"/>
        </w:rPr>
      </w:pPr>
      <w:r>
        <w:rPr>
          <w:rFonts w:ascii="Arial" w:cs="Arial" w:eastAsia="Arial" w:hAnsi="Arial"/>
        </w:rPr>
        <w:t xml:space="preserve">Conformément aux dispositions de l’article L 2242-17 du code du travail, la Direction et la Délégation syndicale vont s’engager dans de nouvelles négociations en la matière. </w:t>
      </w:r>
    </w:p>
    <w:p>
      <w:pPr>
        <w:pStyle w:val="Normal1"/>
        <w:spacing w:after="0" w:before="0" w:line="240" w:lineRule="auto"/>
        <w:rPr>
          <w:rFonts w:ascii="Arial" w:cs="Arial" w:eastAsia="Arial" w:hAnsi="Arial"/>
          <w:sz w:val="24"/>
          <w:szCs w:val="24"/>
        </w:rPr>
      </w:pPr>
      <w:r>
        <w:rPr>
          <w:rFonts w:ascii="Arial" w:cs="Arial" w:eastAsia="Arial" w:hAnsi="Arial"/>
          <w:sz w:val="24"/>
          <w:szCs w:val="24"/>
        </w:rPr>
      </w:r>
    </w:p>
    <w:p>
      <w:pPr>
        <w:pStyle w:val="Normal1"/>
        <w:spacing w:after="0" w:before="0" w:line="240" w:lineRule="auto"/>
        <w:jc w:val="both"/>
        <w:rPr>
          <w:rFonts w:ascii="Arial" w:cs="Arial" w:eastAsia="Arial" w:hAnsi="Arial"/>
        </w:rPr>
      </w:pPr>
      <w:r>
        <w:rPr>
          <w:rFonts w:ascii="Arial" w:cs="Arial" w:eastAsia="Arial" w:hAnsi="Arial"/>
        </w:rPr>
        <w:t>En 2023, l’index sur l’égalité professionnelle n’a pas pu être calculé. Néanmoins la réflexion sur la mise en place des nouvelles modalités d’organisation du travail et de la qualité de vie au travail se poursuit.</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widowControl w:val="false"/>
        <w:numPr>
          <w:ilvl w:val="0"/>
          <w:numId w:val="1"/>
        </w:numPr>
        <w:tabs>
          <w:tab w:pos="720" w:val="clear"/>
          <w:tab w:leader="none" w:pos="1440" w:val="left"/>
          <w:tab w:leader="none" w:pos="1980" w:val="left"/>
        </w:tabs>
        <w:spacing w:after="0" w:before="0" w:line="278" w:lineRule="auto"/>
        <w:ind w:hanging="360" w:left="720"/>
        <w:jc w:val="both"/>
        <w:rPr>
          <w:rFonts w:ascii="Arial" w:cs="Arial" w:eastAsia="Arial" w:hAnsi="Arial"/>
          <w:b/>
          <w:b/>
          <w:sz w:val="24"/>
          <w:szCs w:val="24"/>
        </w:rPr>
      </w:pPr>
      <w:r>
        <w:rPr>
          <w:rFonts w:ascii="Arial" w:cs="Arial" w:eastAsia="Arial" w:hAnsi="Arial"/>
          <w:b/>
          <w:u w:val="single"/>
        </w:rPr>
        <w:t>Emploi des travailleurs handicapés</w:t>
      </w:r>
    </w:p>
    <w:p>
      <w:pPr>
        <w:pStyle w:val="Normal1"/>
        <w:spacing w:after="0" w:before="0" w:line="240" w:lineRule="auto"/>
        <w:rPr>
          <w:rFonts w:ascii="Arial" w:cs="Arial" w:eastAsia="Arial" w:hAnsi="Arial"/>
          <w:sz w:val="24"/>
          <w:szCs w:val="24"/>
        </w:rPr>
      </w:pPr>
      <w:r>
        <w:rPr>
          <w:rFonts w:ascii="Arial" w:cs="Arial" w:eastAsia="Arial" w:hAnsi="Arial"/>
          <w:sz w:val="24"/>
          <w:szCs w:val="24"/>
        </w:rPr>
      </w:r>
    </w:p>
    <w:p>
      <w:pPr>
        <w:pStyle w:val="Normal1"/>
        <w:tabs>
          <w:tab w:pos="720" w:val="clear"/>
          <w:tab w:leader="none" w:pos="6010" w:val="left"/>
          <w:tab w:leader="none" w:pos="8618" w:val="left"/>
        </w:tabs>
        <w:spacing w:after="120" w:before="0" w:line="259" w:lineRule="auto"/>
        <w:jc w:val="both"/>
        <w:rPr>
          <w:rFonts w:ascii="Arial" w:cs="Arial" w:eastAsia="Arial" w:hAnsi="Arial"/>
        </w:rPr>
      </w:pPr>
      <w:r>
        <w:rPr>
          <w:rFonts w:ascii="Arial" w:cs="Arial" w:eastAsia="Arial" w:hAnsi="Arial"/>
        </w:rPr>
        <w:t xml:space="preserve">Les travailleurs handicapés bénéficient au sein de l’entreprise des mêmes conditions d’accès à l’emploi, à la formation, à la promotion professionnelle, aux conditions de travail et d’emploi que l’ensemble des salariés </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Pour 2023, la société s’engage à poursuivre ses actions en faveur du handicap :</w:t>
      </w:r>
    </w:p>
    <w:p>
      <w:pPr>
        <w:pStyle w:val="Normal1"/>
        <w:spacing w:after="0" w:before="0" w:line="240" w:lineRule="auto"/>
        <w:ind w:hanging="0" w:left="720"/>
        <w:jc w:val="both"/>
        <w:rPr>
          <w:rFonts w:ascii="Arial" w:cs="Arial" w:eastAsia="Arial" w:hAnsi="Arial"/>
        </w:rPr>
      </w:pPr>
      <w:r>
        <w:rPr>
          <w:rFonts w:ascii="Arial" w:cs="Arial" w:eastAsia="Arial" w:hAnsi="Arial"/>
        </w:rPr>
      </w:r>
    </w:p>
    <w:p>
      <w:pPr>
        <w:pStyle w:val="Normal1"/>
        <w:numPr>
          <w:ilvl w:val="0"/>
          <w:numId w:val="4"/>
        </w:numPr>
        <w:spacing w:after="0" w:before="0" w:line="240" w:lineRule="auto"/>
        <w:ind w:hanging="360" w:left="720"/>
        <w:jc w:val="both"/>
        <w:rPr>
          <w:rFonts w:ascii="Arial" w:cs="Arial" w:eastAsia="Arial" w:hAnsi="Arial"/>
        </w:rPr>
      </w:pPr>
      <w:r>
        <w:rPr>
          <w:rFonts w:ascii="Arial" w:cs="Arial" w:eastAsia="Arial" w:hAnsi="Arial"/>
        </w:rPr>
        <w:t xml:space="preserve">Sensibiliser l’ensemble des collaborateurs au sujet du handicap, à l’occasion de causeries,  l’accueil de collaborateurs et collègues en situation de handicap etc… </w:t>
      </w:r>
    </w:p>
    <w:p>
      <w:pPr>
        <w:pStyle w:val="Normal1"/>
        <w:numPr>
          <w:ilvl w:val="0"/>
          <w:numId w:val="4"/>
        </w:numPr>
        <w:spacing w:after="0" w:before="0" w:line="240" w:lineRule="auto"/>
        <w:ind w:hanging="360" w:left="720"/>
        <w:jc w:val="both"/>
        <w:rPr>
          <w:rFonts w:ascii="Arial" w:cs="Arial" w:eastAsia="Arial" w:hAnsi="Arial"/>
        </w:rPr>
      </w:pPr>
      <w:r>
        <w:rPr>
          <w:rFonts w:ascii="Arial" w:cs="Arial" w:eastAsia="Arial" w:hAnsi="Arial"/>
        </w:rPr>
        <w:t>Actions de maintien dans l’emploi et d’aménagement de postes;</w:t>
      </w:r>
    </w:p>
    <w:p>
      <w:pPr>
        <w:pStyle w:val="Normal1"/>
        <w:numPr>
          <w:ilvl w:val="0"/>
          <w:numId w:val="4"/>
        </w:numPr>
        <w:spacing w:after="0" w:before="0" w:line="240" w:lineRule="auto"/>
        <w:ind w:hanging="360" w:left="720"/>
        <w:jc w:val="both"/>
        <w:rPr>
          <w:rFonts w:ascii="Arial" w:cs="Arial" w:eastAsia="Arial" w:hAnsi="Arial"/>
        </w:rPr>
      </w:pPr>
      <w:r>
        <w:rPr>
          <w:rFonts w:ascii="Arial" w:cs="Arial" w:eastAsia="Arial" w:hAnsi="Arial"/>
        </w:rPr>
        <w:t>Actions de recrutement.</w:t>
      </w:r>
    </w:p>
    <w:p>
      <w:pPr>
        <w:pStyle w:val="Normal1"/>
        <w:keepNext w:val="true"/>
        <w:keepLines/>
        <w:tabs>
          <w:tab w:pos="720" w:val="clear"/>
          <w:tab w:leader="none" w:pos="851" w:val="left"/>
        </w:tabs>
        <w:spacing w:after="0" w:before="0" w:line="240" w:lineRule="auto"/>
        <w:rPr>
          <w:rFonts w:ascii="Arial" w:cs="Arial" w:eastAsia="Arial" w:hAnsi="Arial"/>
          <w:b/>
          <w:b/>
          <w:smallCaps/>
          <w:sz w:val="24"/>
          <w:szCs w:val="24"/>
        </w:rPr>
      </w:pPr>
      <w:r>
        <w:rPr>
          <w:rFonts w:ascii="Arial" w:cs="Arial" w:eastAsia="Arial" w:hAnsi="Arial"/>
          <w:b/>
          <w:smallCaps/>
          <w:sz w:val="24"/>
          <w:szCs w:val="24"/>
        </w:rPr>
      </w:r>
    </w:p>
    <w:p>
      <w:pPr>
        <w:pStyle w:val="Normal1"/>
        <w:spacing w:after="0" w:before="0" w:line="240" w:lineRule="auto"/>
        <w:jc w:val="both"/>
        <w:rPr>
          <w:rFonts w:ascii="Arial" w:cs="Arial" w:eastAsia="Arial" w:hAnsi="Arial"/>
          <w:b/>
          <w:b/>
          <w:u w:val="single"/>
        </w:rPr>
      </w:pPr>
      <w:r>
        <w:rPr>
          <w:rFonts w:ascii="Arial" w:cs="Arial" w:eastAsia="Arial" w:hAnsi="Arial"/>
          <w:b/>
          <w:u w:val="single"/>
        </w:rPr>
        <w:t>Article 3. ENTRÉE EN VIGUEUR ET DURÉE DU PRÉSENT ACCORD</w:t>
      </w:r>
    </w:p>
    <w:p>
      <w:pPr>
        <w:pStyle w:val="Normal1"/>
        <w:spacing w:after="0" w:before="0" w:line="240" w:lineRule="auto"/>
        <w:jc w:val="both"/>
        <w:rPr>
          <w:rFonts w:ascii="Arial" w:cs="Arial" w:eastAsia="Arial" w:hAnsi="Arial"/>
          <w:b/>
          <w:b/>
          <w:u w:val="single"/>
        </w:rPr>
      </w:pPr>
      <w:r>
        <w:rPr>
          <w:rFonts w:ascii="Arial" w:cs="Arial" w:eastAsia="Arial" w:hAnsi="Arial"/>
          <w:b/>
          <w:u w:val="single"/>
        </w:rPr>
      </w:r>
    </w:p>
    <w:p>
      <w:pPr>
        <w:pStyle w:val="Normal1"/>
        <w:spacing w:after="0" w:before="0" w:line="240" w:lineRule="auto"/>
        <w:rPr>
          <w:rFonts w:ascii="Arial" w:cs="Arial" w:eastAsia="Arial" w:hAnsi="Arial"/>
          <w:highlight w:val="yellow"/>
        </w:rPr>
      </w:pPr>
      <w:r>
        <w:rPr>
          <w:rFonts w:ascii="Arial" w:cs="Arial" w:eastAsia="Arial" w:hAnsi="Arial"/>
        </w:rPr>
        <w:t>Le présent procès-verbal s’applique pour l’année 2023 et ce à compter de sa date de signature.</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b/>
          <w:u w:val="single"/>
        </w:rPr>
        <w:t>Article 4. DEPOT ET PUBLICITE</w:t>
      </w:r>
      <w:r>
        <w:rPr>
          <w:rFonts w:ascii="Arial" w:cs="Arial" w:eastAsia="Arial" w:hAnsi="Arial"/>
        </w:rPr>
        <w:t> </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Le présent accord sera notifié dès sa signature à l'ensemble des organisations syndicales représentatives.</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Il sera déposé, à l’initiative de la Société, conformément aux dispositions légales, sur la plateforme de téléprocédure du Ministère du travail.</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 xml:space="preserve">Conformément à l’article L.2231-5-1 du Code du travail, le présent accord sera rendu public et versé dans une base de données nationale, dans une version ne comportant pas les noms et prénoms des négociateurs et des signataires. </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Un exemplaire sera également remis au greffe du Conseil de prud’hommes compétent.</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Enfin l’existence du présent accord sera portée à la connaissance des salariés par voie d’affichage sur les panneaux d’affichage dédiés.</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A Beauvais, le 2 mars 2023</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Monsieur xxx</w:t>
      </w:r>
    </w:p>
    <w:p>
      <w:pPr>
        <w:pStyle w:val="Normal1"/>
        <w:spacing w:after="0" w:before="0" w:line="240" w:lineRule="auto"/>
        <w:jc w:val="both"/>
        <w:rPr>
          <w:rFonts w:ascii="Arial" w:cs="Arial" w:eastAsia="Arial" w:hAnsi="Arial"/>
        </w:rPr>
      </w:pPr>
      <w:r>
        <w:rPr>
          <w:rFonts w:ascii="Arial" w:cs="Arial" w:eastAsia="Arial" w:hAnsi="Arial"/>
        </w:rPr>
        <w:t>Délégué Syndical CFDT</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t>Monsieur xxx</w:t>
      </w:r>
    </w:p>
    <w:p>
      <w:pPr>
        <w:pStyle w:val="Normal1"/>
        <w:spacing w:after="0" w:before="0" w:line="240" w:lineRule="auto"/>
        <w:jc w:val="both"/>
        <w:rPr>
          <w:rFonts w:ascii="Arial" w:cs="Arial" w:eastAsia="Arial" w:hAnsi="Arial"/>
        </w:rPr>
      </w:pPr>
      <w:r>
        <w:rPr>
          <w:rFonts w:ascii="Arial" w:cs="Arial" w:eastAsia="Arial" w:hAnsi="Arial"/>
        </w:rPr>
        <w:t>Directeur Opérationnel de secteur</w:t>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0" w:before="0" w:line="240" w:lineRule="auto"/>
        <w:jc w:val="both"/>
        <w:rPr>
          <w:rFonts w:ascii="Arial" w:cs="Arial" w:eastAsia="Arial" w:hAnsi="Arial"/>
        </w:rPr>
      </w:pPr>
      <w:r>
        <w:rPr>
          <w:rFonts w:ascii="Arial" w:cs="Arial" w:eastAsia="Arial" w:hAnsi="Arial"/>
        </w:rPr>
      </w:r>
    </w:p>
    <w:p>
      <w:pPr>
        <w:pStyle w:val="Normal1"/>
        <w:spacing w:after="200" w:before="0"/>
        <w:rPr>
          <w:rFonts w:ascii="Arial" w:cs="Arial" w:eastAsia="Arial" w:hAnsi="Arial"/>
        </w:rPr>
      </w:pPr>
      <w:r>
        <w:rPr/>
      </w:r>
    </w:p>
    <w:sectPr>
      <w:headerReference r:id="rId2" w:type="default"/>
      <w:footerReference r:id="rId3" w:type="default"/>
      <w:type w:val="nextPage"/>
      <w:pgSz w:h="16838" w:w="11906"/>
      <w:pgMar w:bottom="1134" w:footer="708" w:gutter="0" w:header="708" w:left="1134" w:right="1134" w:top="1418"/>
      <w:pgNumType w:fmt="decimal" w:start="1"/>
      <w:formProt w:val="false"/>
      <w:textDirection w:val="lrTb"/>
      <w:docGrid w:charSpace="4096"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Noto Sans Symbols">
    <w:charset w:val="01"/>
    <w:family w:val="auto"/>
    <w:pitch w:val="default"/>
  </w:font>
  <w:font w:name="OpenSymbol">
    <w:altName w:val="Arial Unicode MS"/>
    <w:charset w:val="01"/>
    <w:family w:val="auto"/>
    <w:pitch w:val="default"/>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1"/>
      <w:spacing w:after="0" w:before="0" w:line="276" w:lineRule="auto"/>
      <w:jc w:val="center"/>
      <w:rPr>
        <w:rFonts w:ascii="Arial" w:cs="Arial" w:eastAsia="Arial" w:hAnsi="Arial"/>
        <w:color w:val="999999"/>
        <w:sz w:val="16"/>
        <w:szCs w:val="16"/>
      </w:rPr>
    </w:pPr>
    <w:r>
      <w:rPr>
        <w:rFonts w:ascii="Arial" w:cs="Arial" w:eastAsia="Arial" w:hAnsi="Arial"/>
        <w:color w:val="999999"/>
        <w:sz w:val="16"/>
        <w:szCs w:val="16"/>
      </w:rPr>
    </w:r>
  </w:p>
  <w:p>
    <w:pPr>
      <w:pStyle w:val="Normal1"/>
      <w:spacing w:after="0" w:before="0" w:line="276" w:lineRule="auto"/>
      <w:jc w:val="right"/>
      <w:rPr>
        <w:rFonts w:ascii="Arial" w:cs="Arial" w:eastAsia="Arial" w:hAnsi="Arial"/>
        <w:color w:val="999999"/>
        <w:sz w:val="16"/>
        <w:szCs w:val="16"/>
      </w:rPr>
    </w:pPr>
    <w:r>
      <w:rPr/>
      <w:fldChar w:fldCharType="begin"/>
    </w:r>
    <w:r>
      <w:rPr/>
      <w:instrText> PAGE </w:instrText>
    </w:r>
    <w:r>
      <w:rPr/>
      <w:fldChar w:fldCharType="separate"/>
    </w:r>
    <w:r>
      <w:rPr/>
      <w:t>3</w:t>
    </w:r>
    <w:r>
      <w:rPr/>
      <w:fldChar w:fldCharType="end"/>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1"/>
      <w:spacing w:after="0" w:before="0" w:line="240" w:lineRule="auto"/>
      <w:rPr>
        <w:rFonts w:ascii="Times New Roman" w:cs="Times New Roman" w:eastAsia="Times New Roman" w:hAnsi="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upperLetter"/>
      <w:lvlText w:val="%1."/>
      <w:lvlJc w:val="left"/>
      <w:pPr>
        <w:tabs>
          <w:tab w:pos="0" w:val="num"/>
        </w:tabs>
        <w:ind w:hanging="360" w:left="720"/>
      </w:pPr>
      <w:rPr>
        <w:u w:val="none"/>
      </w:rPr>
    </w:lvl>
    <w:lvl w:ilvl="1">
      <w:start w:val="1"/>
      <w:numFmt w:val="lowerLetter"/>
      <w:lvlText w:val="%2."/>
      <w:lvlJc w:val="left"/>
      <w:pPr>
        <w:tabs>
          <w:tab w:pos="0" w:val="num"/>
        </w:tabs>
        <w:ind w:hanging="360" w:left="1440"/>
      </w:pPr>
      <w:rPr>
        <w:u w:val="none"/>
      </w:rPr>
    </w:lvl>
    <w:lvl w:ilvl="2">
      <w:start w:val="1"/>
      <w:numFmt w:val="lowerRoman"/>
      <w:lvlText w:val="%3."/>
      <w:lvlJc w:val="right"/>
      <w:pPr>
        <w:tabs>
          <w:tab w:pos="0" w:val="num"/>
        </w:tabs>
        <w:ind w:hanging="360" w:left="2160"/>
      </w:pPr>
      <w:rPr>
        <w:u w:val="none"/>
      </w:rPr>
    </w:lvl>
    <w:lvl w:ilvl="3">
      <w:start w:val="1"/>
      <w:numFmt w:val="decimal"/>
      <w:lvlText w:val="%4."/>
      <w:lvlJc w:val="left"/>
      <w:pPr>
        <w:tabs>
          <w:tab w:pos="0" w:val="num"/>
        </w:tabs>
        <w:ind w:hanging="360" w:left="2880"/>
      </w:pPr>
      <w:rPr>
        <w:u w:val="none"/>
      </w:rPr>
    </w:lvl>
    <w:lvl w:ilvl="4">
      <w:start w:val="1"/>
      <w:numFmt w:val="lowerLetter"/>
      <w:lvlText w:val="%5."/>
      <w:lvlJc w:val="left"/>
      <w:pPr>
        <w:tabs>
          <w:tab w:pos="0" w:val="num"/>
        </w:tabs>
        <w:ind w:hanging="360" w:left="3600"/>
      </w:pPr>
      <w:rPr>
        <w:u w:val="none"/>
      </w:rPr>
    </w:lvl>
    <w:lvl w:ilvl="5">
      <w:start w:val="1"/>
      <w:numFmt w:val="lowerRoman"/>
      <w:lvlText w:val="%6."/>
      <w:lvlJc w:val="right"/>
      <w:pPr>
        <w:tabs>
          <w:tab w:pos="0" w:val="num"/>
        </w:tabs>
        <w:ind w:hanging="360" w:left="4320"/>
      </w:pPr>
      <w:rPr>
        <w:u w:val="none"/>
      </w:rPr>
    </w:lvl>
    <w:lvl w:ilvl="6">
      <w:start w:val="1"/>
      <w:numFmt w:val="decimal"/>
      <w:lvlText w:val="%7."/>
      <w:lvlJc w:val="left"/>
      <w:pPr>
        <w:tabs>
          <w:tab w:pos="0" w:val="num"/>
        </w:tabs>
        <w:ind w:hanging="360" w:left="5040"/>
      </w:pPr>
      <w:rPr>
        <w:u w:val="none"/>
      </w:rPr>
    </w:lvl>
    <w:lvl w:ilvl="7">
      <w:start w:val="1"/>
      <w:numFmt w:val="lowerLetter"/>
      <w:lvlText w:val="%8."/>
      <w:lvlJc w:val="left"/>
      <w:pPr>
        <w:tabs>
          <w:tab w:pos="0" w:val="num"/>
        </w:tabs>
        <w:ind w:hanging="360" w:left="5760"/>
      </w:pPr>
      <w:rPr>
        <w:u w:val="none"/>
      </w:rPr>
    </w:lvl>
    <w:lvl w:ilvl="8">
      <w:start w:val="1"/>
      <w:numFmt w:val="lowerRoman"/>
      <w:lvlText w:val="%9."/>
      <w:lvlJc w:val="right"/>
      <w:pPr>
        <w:tabs>
          <w:tab w:pos="0" w:val="num"/>
        </w:tabs>
        <w:ind w:hanging="360" w:left="6480"/>
      </w:pPr>
      <w:rPr>
        <w:u w:val="none"/>
      </w:rPr>
    </w:lvl>
  </w:abstractNum>
  <w:abstractNum w:abstractNumId="2">
    <w:lvl w:ilvl="0">
      <w:start w:val="1"/>
      <w:numFmt w:val="decimal"/>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3">
    <w:lvl w:ilvl="0">
      <w:start w:val="1"/>
      <w:numFmt w:val="upperLetter"/>
      <w:lvlText w:val="%1."/>
      <w:lvlJc w:val="left"/>
      <w:pPr>
        <w:tabs>
          <w:tab w:pos="0" w:val="num"/>
        </w:tabs>
        <w:ind w:hanging="360" w:left="720"/>
      </w:pPr>
      <w:rPr>
        <w:u w:val="none"/>
      </w:rPr>
    </w:lvl>
    <w:lvl w:ilvl="1">
      <w:start w:val="1"/>
      <w:numFmt w:val="lowerLetter"/>
      <w:lvlText w:val="%2."/>
      <w:lvlJc w:val="left"/>
      <w:pPr>
        <w:tabs>
          <w:tab w:pos="0" w:val="num"/>
        </w:tabs>
        <w:ind w:hanging="360" w:left="1440"/>
      </w:pPr>
      <w:rPr>
        <w:u w:val="none"/>
      </w:rPr>
    </w:lvl>
    <w:lvl w:ilvl="2">
      <w:start w:val="1"/>
      <w:numFmt w:val="lowerRoman"/>
      <w:lvlText w:val="%3."/>
      <w:lvlJc w:val="right"/>
      <w:pPr>
        <w:tabs>
          <w:tab w:pos="0" w:val="num"/>
        </w:tabs>
        <w:ind w:hanging="360" w:left="2160"/>
      </w:pPr>
      <w:rPr>
        <w:u w:val="none"/>
      </w:rPr>
    </w:lvl>
    <w:lvl w:ilvl="3">
      <w:start w:val="1"/>
      <w:numFmt w:val="decimal"/>
      <w:lvlText w:val="%4."/>
      <w:lvlJc w:val="left"/>
      <w:pPr>
        <w:tabs>
          <w:tab w:pos="0" w:val="num"/>
        </w:tabs>
        <w:ind w:hanging="360" w:left="2880"/>
      </w:pPr>
      <w:rPr>
        <w:u w:val="none"/>
      </w:rPr>
    </w:lvl>
    <w:lvl w:ilvl="4">
      <w:start w:val="1"/>
      <w:numFmt w:val="lowerLetter"/>
      <w:lvlText w:val="%5."/>
      <w:lvlJc w:val="left"/>
      <w:pPr>
        <w:tabs>
          <w:tab w:pos="0" w:val="num"/>
        </w:tabs>
        <w:ind w:hanging="360" w:left="3600"/>
      </w:pPr>
      <w:rPr>
        <w:u w:val="none"/>
      </w:rPr>
    </w:lvl>
    <w:lvl w:ilvl="5">
      <w:start w:val="1"/>
      <w:numFmt w:val="lowerRoman"/>
      <w:lvlText w:val="%6."/>
      <w:lvlJc w:val="right"/>
      <w:pPr>
        <w:tabs>
          <w:tab w:pos="0" w:val="num"/>
        </w:tabs>
        <w:ind w:hanging="360" w:left="4320"/>
      </w:pPr>
      <w:rPr>
        <w:u w:val="none"/>
      </w:rPr>
    </w:lvl>
    <w:lvl w:ilvl="6">
      <w:start w:val="1"/>
      <w:numFmt w:val="decimal"/>
      <w:lvlText w:val="%7."/>
      <w:lvlJc w:val="left"/>
      <w:pPr>
        <w:tabs>
          <w:tab w:pos="0" w:val="num"/>
        </w:tabs>
        <w:ind w:hanging="360" w:left="5040"/>
      </w:pPr>
      <w:rPr>
        <w:u w:val="none"/>
      </w:rPr>
    </w:lvl>
    <w:lvl w:ilvl="7">
      <w:start w:val="1"/>
      <w:numFmt w:val="lowerLetter"/>
      <w:lvlText w:val="%8."/>
      <w:lvlJc w:val="left"/>
      <w:pPr>
        <w:tabs>
          <w:tab w:pos="0" w:val="num"/>
        </w:tabs>
        <w:ind w:hanging="360" w:left="5760"/>
      </w:pPr>
      <w:rPr>
        <w:u w:val="none"/>
      </w:rPr>
    </w:lvl>
    <w:lvl w:ilvl="8">
      <w:start w:val="1"/>
      <w:numFmt w:val="lowerRoman"/>
      <w:lvlText w:val="%9."/>
      <w:lvlJc w:val="right"/>
      <w:pPr>
        <w:tabs>
          <w:tab w:pos="0" w:val="num"/>
        </w:tabs>
        <w:ind w:hanging="360" w:left="6480"/>
      </w:pPr>
      <w:rPr>
        <w:u w:val="none"/>
      </w:rPr>
    </w:lvl>
  </w:abstractNum>
  <w:abstractNum w:abstractNumId="4">
    <w:lvl w:ilvl="0">
      <w:start w:val="3"/>
      <w:numFmt w:val="bullet"/>
      <w:lvlText w:val="-"/>
      <w:lvlJc w:val="left"/>
      <w:pPr>
        <w:tabs>
          <w:tab w:pos="0" w:val="num"/>
        </w:tabs>
        <w:ind w:hanging="360" w:left="720"/>
      </w:pPr>
      <w:rPr>
        <w:rFonts w:ascii="Calibri" w:cs="Calibri" w:hAnsi="Calibri"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Noto Sans Symbols" w:cs="Noto Sans Symbols" w:hAnsi="Noto Sans Symbols" w:hint="default"/>
      </w:rPr>
    </w:lvl>
    <w:lvl w:ilvl="3">
      <w:start w:val="1"/>
      <w:numFmt w:val="bullet"/>
      <w:lvlText w:val="●"/>
      <w:lvlJc w:val="left"/>
      <w:pPr>
        <w:tabs>
          <w:tab w:pos="0" w:val="num"/>
        </w:tabs>
        <w:ind w:hanging="360" w:left="2880"/>
      </w:pPr>
      <w:rPr>
        <w:rFonts w:ascii="Noto Sans Symbols" w:cs="Noto Sans Symbols" w:hAnsi="Noto Sans Symbols"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Noto Sans Symbols" w:cs="Noto Sans Symbols" w:hAnsi="Noto Sans Symbols" w:hint="default"/>
      </w:rPr>
    </w:lvl>
    <w:lvl w:ilvl="6">
      <w:start w:val="1"/>
      <w:numFmt w:val="bullet"/>
      <w:lvlText w:val="●"/>
      <w:lvlJc w:val="left"/>
      <w:pPr>
        <w:tabs>
          <w:tab w:pos="0" w:val="num"/>
        </w:tabs>
        <w:ind w:hanging="360" w:left="5040"/>
      </w:pPr>
      <w:rPr>
        <w:rFonts w:ascii="Noto Sans Symbols" w:cs="Noto Sans Symbols" w:hAnsi="Noto Sans Symbols"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Noto Sans Symbols" w:cs="Noto Sans Symbols" w:hAnsi="Noto Sans Symbols" w:hint="default"/>
      </w:rPr>
    </w:lvl>
  </w:abstractNum>
  <w:abstractNum w:abstractNumId="5">
    <w:lvl w:ilvl="0">
      <w:start w:val="1"/>
      <w:numFmt w:val="bullet"/>
      <w:lvlText w:val="-"/>
      <w:lvlJc w:val="left"/>
      <w:pPr>
        <w:tabs>
          <w:tab w:pos="0" w:val="num"/>
        </w:tabs>
        <w:ind w:hanging="360" w:left="720"/>
      </w:pPr>
      <w:rPr>
        <w:rFonts w:ascii="OpenSymbol" w:cs="OpenSymbol" w:hAnsi="OpenSymbol" w:hint="default"/>
        <w:u w:val="none"/>
      </w:rPr>
    </w:lvl>
    <w:lvl w:ilvl="1">
      <w:start w:val="1"/>
      <w:numFmt w:val="bullet"/>
      <w:lvlText w:val="-"/>
      <w:lvlJc w:val="left"/>
      <w:pPr>
        <w:tabs>
          <w:tab w:pos="0" w:val="num"/>
        </w:tabs>
        <w:ind w:hanging="360" w:left="1440"/>
      </w:pPr>
      <w:rPr>
        <w:rFonts w:ascii="OpenSymbol" w:cs="OpenSymbol" w:hAnsi="OpenSymbol" w:hint="default"/>
        <w:u w:val="none"/>
      </w:rPr>
    </w:lvl>
    <w:lvl w:ilvl="2">
      <w:start w:val="1"/>
      <w:numFmt w:val="bullet"/>
      <w:lvlText w:val="-"/>
      <w:lvlJc w:val="left"/>
      <w:pPr>
        <w:tabs>
          <w:tab w:pos="0" w:val="num"/>
        </w:tabs>
        <w:ind w:hanging="360" w:left="2160"/>
      </w:pPr>
      <w:rPr>
        <w:rFonts w:ascii="OpenSymbol" w:cs="OpenSymbol" w:hAnsi="OpenSymbol" w:hint="default"/>
        <w:u w:val="none"/>
      </w:rPr>
    </w:lvl>
    <w:lvl w:ilvl="3">
      <w:start w:val="1"/>
      <w:numFmt w:val="bullet"/>
      <w:lvlText w:val="-"/>
      <w:lvlJc w:val="left"/>
      <w:pPr>
        <w:tabs>
          <w:tab w:pos="0" w:val="num"/>
        </w:tabs>
        <w:ind w:hanging="360" w:left="2880"/>
      </w:pPr>
      <w:rPr>
        <w:rFonts w:ascii="OpenSymbol" w:cs="OpenSymbol" w:hAnsi="OpenSymbol" w:hint="default"/>
        <w:u w:val="none"/>
      </w:rPr>
    </w:lvl>
    <w:lvl w:ilvl="4">
      <w:start w:val="1"/>
      <w:numFmt w:val="bullet"/>
      <w:lvlText w:val="-"/>
      <w:lvlJc w:val="left"/>
      <w:pPr>
        <w:tabs>
          <w:tab w:pos="0" w:val="num"/>
        </w:tabs>
        <w:ind w:hanging="360" w:left="3600"/>
      </w:pPr>
      <w:rPr>
        <w:rFonts w:ascii="OpenSymbol" w:cs="OpenSymbol" w:hAnsi="OpenSymbol" w:hint="default"/>
        <w:u w:val="none"/>
      </w:rPr>
    </w:lvl>
    <w:lvl w:ilvl="5">
      <w:start w:val="1"/>
      <w:numFmt w:val="bullet"/>
      <w:lvlText w:val="-"/>
      <w:lvlJc w:val="left"/>
      <w:pPr>
        <w:tabs>
          <w:tab w:pos="0" w:val="num"/>
        </w:tabs>
        <w:ind w:hanging="360" w:left="4320"/>
      </w:pPr>
      <w:rPr>
        <w:rFonts w:ascii="OpenSymbol" w:cs="OpenSymbol" w:hAnsi="OpenSymbol" w:hint="default"/>
        <w:u w:val="none"/>
      </w:rPr>
    </w:lvl>
    <w:lvl w:ilvl="6">
      <w:start w:val="1"/>
      <w:numFmt w:val="bullet"/>
      <w:lvlText w:val="-"/>
      <w:lvlJc w:val="left"/>
      <w:pPr>
        <w:tabs>
          <w:tab w:pos="0" w:val="num"/>
        </w:tabs>
        <w:ind w:hanging="360" w:left="5040"/>
      </w:pPr>
      <w:rPr>
        <w:rFonts w:ascii="OpenSymbol" w:cs="OpenSymbol" w:hAnsi="OpenSymbol" w:hint="default"/>
        <w:u w:val="none"/>
      </w:rPr>
    </w:lvl>
    <w:lvl w:ilvl="7">
      <w:start w:val="1"/>
      <w:numFmt w:val="bullet"/>
      <w:lvlText w:val="-"/>
      <w:lvlJc w:val="left"/>
      <w:pPr>
        <w:tabs>
          <w:tab w:pos="0" w:val="num"/>
        </w:tabs>
        <w:ind w:hanging="360" w:left="5760"/>
      </w:pPr>
      <w:rPr>
        <w:rFonts w:ascii="OpenSymbol" w:cs="OpenSymbol" w:hAnsi="OpenSymbol" w:hint="default"/>
        <w:u w:val="none"/>
      </w:rPr>
    </w:lvl>
    <w:lvl w:ilvl="8">
      <w:start w:val="1"/>
      <w:numFmt w:val="bullet"/>
      <w:lvlText w:val="-"/>
      <w:lvlJc w:val="left"/>
      <w:pPr>
        <w:tabs>
          <w:tab w:pos="0" w:val="num"/>
        </w:tabs>
        <w:ind w:hanging="360" w:left="6480"/>
      </w:pPr>
      <w:rPr>
        <w:rFonts w:ascii="OpenSymbol" w:cs="OpenSymbol" w:hAnsi="OpenSymbol" w:hint="default"/>
        <w:u w:val="none"/>
      </w:rPr>
    </w:lvl>
  </w:abstractNum>
  <w:abstractNum w:abstractNumId="6">
    <w:lvl w:ilvl="0">
      <w:start w:val="1"/>
      <w:numFmt w:val="bullet"/>
      <w:lvlText w:val="-"/>
      <w:lvlJc w:val="left"/>
      <w:pPr>
        <w:tabs>
          <w:tab w:pos="0" w:val="num"/>
        </w:tabs>
        <w:ind w:hanging="360" w:left="720"/>
      </w:pPr>
      <w:rPr>
        <w:rFonts w:ascii="OpenSymbol" w:cs="OpenSymbol" w:hAnsi="OpenSymbol" w:hint="default"/>
        <w:u w:val="none"/>
      </w:rPr>
    </w:lvl>
    <w:lvl w:ilvl="1">
      <w:start w:val="1"/>
      <w:numFmt w:val="bullet"/>
      <w:lvlText w:val="-"/>
      <w:lvlJc w:val="left"/>
      <w:pPr>
        <w:tabs>
          <w:tab w:pos="0" w:val="num"/>
        </w:tabs>
        <w:ind w:hanging="360" w:left="1440"/>
      </w:pPr>
      <w:rPr>
        <w:rFonts w:ascii="OpenSymbol" w:cs="OpenSymbol" w:hAnsi="OpenSymbol" w:hint="default"/>
        <w:u w:val="none"/>
      </w:rPr>
    </w:lvl>
    <w:lvl w:ilvl="2">
      <w:start w:val="1"/>
      <w:numFmt w:val="bullet"/>
      <w:lvlText w:val="-"/>
      <w:lvlJc w:val="left"/>
      <w:pPr>
        <w:tabs>
          <w:tab w:pos="0" w:val="num"/>
        </w:tabs>
        <w:ind w:hanging="360" w:left="2160"/>
      </w:pPr>
      <w:rPr>
        <w:rFonts w:ascii="OpenSymbol" w:cs="OpenSymbol" w:hAnsi="OpenSymbol" w:hint="default"/>
        <w:u w:val="none"/>
      </w:rPr>
    </w:lvl>
    <w:lvl w:ilvl="3">
      <w:start w:val="1"/>
      <w:numFmt w:val="bullet"/>
      <w:lvlText w:val="-"/>
      <w:lvlJc w:val="left"/>
      <w:pPr>
        <w:tabs>
          <w:tab w:pos="0" w:val="num"/>
        </w:tabs>
        <w:ind w:hanging="360" w:left="2880"/>
      </w:pPr>
      <w:rPr>
        <w:rFonts w:ascii="OpenSymbol" w:cs="OpenSymbol" w:hAnsi="OpenSymbol" w:hint="default"/>
        <w:u w:val="none"/>
      </w:rPr>
    </w:lvl>
    <w:lvl w:ilvl="4">
      <w:start w:val="1"/>
      <w:numFmt w:val="bullet"/>
      <w:lvlText w:val="-"/>
      <w:lvlJc w:val="left"/>
      <w:pPr>
        <w:tabs>
          <w:tab w:pos="0" w:val="num"/>
        </w:tabs>
        <w:ind w:hanging="360" w:left="3600"/>
      </w:pPr>
      <w:rPr>
        <w:rFonts w:ascii="OpenSymbol" w:cs="OpenSymbol" w:hAnsi="OpenSymbol" w:hint="default"/>
        <w:u w:val="none"/>
      </w:rPr>
    </w:lvl>
    <w:lvl w:ilvl="5">
      <w:start w:val="1"/>
      <w:numFmt w:val="bullet"/>
      <w:lvlText w:val="-"/>
      <w:lvlJc w:val="left"/>
      <w:pPr>
        <w:tabs>
          <w:tab w:pos="0" w:val="num"/>
        </w:tabs>
        <w:ind w:hanging="360" w:left="4320"/>
      </w:pPr>
      <w:rPr>
        <w:rFonts w:ascii="OpenSymbol" w:cs="OpenSymbol" w:hAnsi="OpenSymbol" w:hint="default"/>
        <w:u w:val="none"/>
      </w:rPr>
    </w:lvl>
    <w:lvl w:ilvl="6">
      <w:start w:val="1"/>
      <w:numFmt w:val="bullet"/>
      <w:lvlText w:val="-"/>
      <w:lvlJc w:val="left"/>
      <w:pPr>
        <w:tabs>
          <w:tab w:pos="0" w:val="num"/>
        </w:tabs>
        <w:ind w:hanging="360" w:left="5040"/>
      </w:pPr>
      <w:rPr>
        <w:rFonts w:ascii="OpenSymbol" w:cs="OpenSymbol" w:hAnsi="OpenSymbol" w:hint="default"/>
        <w:u w:val="none"/>
      </w:rPr>
    </w:lvl>
    <w:lvl w:ilvl="7">
      <w:start w:val="1"/>
      <w:numFmt w:val="bullet"/>
      <w:lvlText w:val="-"/>
      <w:lvlJc w:val="left"/>
      <w:pPr>
        <w:tabs>
          <w:tab w:pos="0" w:val="num"/>
        </w:tabs>
        <w:ind w:hanging="360" w:left="5760"/>
      </w:pPr>
      <w:rPr>
        <w:rFonts w:ascii="OpenSymbol" w:cs="OpenSymbol" w:hAnsi="OpenSymbol" w:hint="default"/>
        <w:u w:val="none"/>
      </w:rPr>
    </w:lvl>
    <w:lvl w:ilvl="8">
      <w:start w:val="1"/>
      <w:numFmt w:val="bullet"/>
      <w:lvlText w:val="-"/>
      <w:lvlJc w:val="left"/>
      <w:pPr>
        <w:tabs>
          <w:tab w:pos="0" w:val="num"/>
        </w:tabs>
        <w:ind w:hanging="360" w:left="6480"/>
      </w:pPr>
      <w:rPr>
        <w:rFonts w:ascii="OpenSymbol" w:cs="OpenSymbol" w:hAnsi="OpenSymbol" w:hint="default"/>
        <w:u w:val="none"/>
      </w:rPr>
    </w:lvl>
  </w:abstractNum>
  <w:abstractNum w:abstractNumId="7">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fr-FR"/>
      </w:rPr>
    </w:rPrDefault>
    <w:pPrDefault>
      <w:pPr>
        <w:suppressAutoHyphens w:val="true"/>
      </w:pPr>
    </w:pPrDefault>
  </w:docDefaults>
  <w:style w:default="1" w:styleId="Normal" w:type="paragraph">
    <w:name w:val="Normal"/>
    <w:qFormat/>
    <w:pPr>
      <w:widowControl/>
      <w:bidi w:val="0"/>
      <w:spacing w:after="200" w:before="0" w:line="276" w:lineRule="auto"/>
      <w:jc w:val="left"/>
    </w:pPr>
    <w:rPr>
      <w:rFonts w:ascii="Calibri" w:cs="Calibri" w:eastAsia="Calibri" w:hAnsi="Calibri"/>
      <w:color w:val="auto"/>
      <w:kern w:val="0"/>
      <w:sz w:val="22"/>
      <w:szCs w:val="22"/>
      <w:lang w:bidi="hi-IN" w:eastAsia="zh-CN" w:val="fr-FR"/>
    </w:rPr>
  </w:style>
  <w:style w:styleId="Titre1" w:type="paragraph">
    <w:name w:val="Heading 1"/>
    <w:basedOn w:val="Normal1"/>
    <w:next w:val="Normal1"/>
    <w:qFormat/>
    <w:pPr>
      <w:keepNext w:val="true"/>
      <w:keepLines/>
      <w:pageBreakBefore w:val="false"/>
      <w:spacing w:after="120" w:before="480" w:line="240" w:lineRule="auto"/>
    </w:pPr>
    <w:rPr>
      <w:b/>
      <w:sz w:val="48"/>
      <w:szCs w:val="48"/>
    </w:rPr>
  </w:style>
  <w:style w:styleId="Titre2" w:type="paragraph">
    <w:name w:val="Heading 2"/>
    <w:basedOn w:val="Normal1"/>
    <w:next w:val="Normal1"/>
    <w:qFormat/>
    <w:pPr>
      <w:keepNext w:val="true"/>
      <w:keepLines/>
      <w:pageBreakBefore w:val="false"/>
      <w:spacing w:after="80" w:before="360" w:line="240" w:lineRule="auto"/>
    </w:pPr>
    <w:rPr>
      <w:b/>
      <w:sz w:val="36"/>
      <w:szCs w:val="36"/>
    </w:rPr>
  </w:style>
  <w:style w:styleId="Titre3" w:type="paragraph">
    <w:name w:val="Heading 3"/>
    <w:basedOn w:val="Normal1"/>
    <w:next w:val="Normal1"/>
    <w:qFormat/>
    <w:pPr>
      <w:keepNext w:val="true"/>
      <w:keepLines/>
      <w:pageBreakBefore w:val="false"/>
      <w:spacing w:after="80" w:before="280" w:line="240" w:lineRule="auto"/>
    </w:pPr>
    <w:rPr>
      <w:b/>
      <w:sz w:val="28"/>
      <w:szCs w:val="28"/>
    </w:rPr>
  </w:style>
  <w:style w:styleId="Titre4" w:type="paragraph">
    <w:name w:val="Heading 4"/>
    <w:basedOn w:val="Normal1"/>
    <w:next w:val="Normal1"/>
    <w:qFormat/>
    <w:pPr>
      <w:keepNext w:val="true"/>
      <w:keepLines/>
      <w:pageBreakBefore w:val="false"/>
      <w:spacing w:after="40" w:before="240" w:line="240" w:lineRule="auto"/>
    </w:pPr>
    <w:rPr>
      <w:b/>
      <w:sz w:val="24"/>
      <w:szCs w:val="24"/>
    </w:rPr>
  </w:style>
  <w:style w:styleId="Titre5" w:type="paragraph">
    <w:name w:val="Heading 5"/>
    <w:basedOn w:val="Normal1"/>
    <w:next w:val="Normal1"/>
    <w:qFormat/>
    <w:pPr>
      <w:keepNext w:val="true"/>
      <w:keepLines/>
      <w:pageBreakBefore w:val="false"/>
      <w:spacing w:after="40" w:before="220" w:line="240" w:lineRule="auto"/>
    </w:pPr>
    <w:rPr>
      <w:b/>
      <w:sz w:val="22"/>
      <w:szCs w:val="22"/>
    </w:rPr>
  </w:style>
  <w:style w:styleId="Titre6" w:type="paragraph">
    <w:name w:val="Heading 6"/>
    <w:basedOn w:val="Normal1"/>
    <w:next w:val="Normal1"/>
    <w:qFormat/>
    <w:pPr>
      <w:keepNext w:val="true"/>
      <w:keepLines/>
      <w:pageBreakBefore w:val="false"/>
      <w:spacing w:after="40" w:before="200" w:line="240" w:lineRule="auto"/>
    </w:pPr>
    <w:rPr>
      <w:b/>
      <w:sz w:val="20"/>
      <w:szCs w:val="20"/>
    </w:rPr>
  </w:style>
  <w:style w:default="1" w:styleId="DefaultParagraphFont" w:type="character">
    <w:name w:val="Default Paragraph Font"/>
    <w:uiPriority w:val="1"/>
    <w:semiHidden/>
    <w:unhideWhenUsed/>
    <w:qFormat/>
    <w:rPr/>
  </w:style>
  <w:style w:customStyle="1" w:styleId="EntteCar" w:type="character">
    <w:name w:val="En-tête Car"/>
    <w:basedOn w:val="DefaultParagraphFont"/>
    <w:link w:val="En-tte"/>
    <w:qFormat/>
    <w:rsid w:val="0003284f"/>
    <w:rPr>
      <w:rFonts w:ascii="Times New Roman" w:cs="Times New Roman" w:eastAsia="Times New Roman" w:hAnsi="Times New Roman"/>
      <w:sz w:val="24"/>
      <w:szCs w:val="24"/>
      <w:lang w:eastAsia="fr-FR"/>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default="1" w:styleId="Normal1" w:type="paragraph">
    <w:name w:val="LO-normal"/>
    <w:qFormat/>
    <w:pPr>
      <w:widowControl/>
      <w:bidi w:val="0"/>
      <w:spacing w:after="200" w:before="0" w:line="276" w:lineRule="auto"/>
      <w:jc w:val="left"/>
    </w:pPr>
    <w:rPr>
      <w:rFonts w:ascii="Calibri" w:cs="Calibri" w:eastAsia="Calibri" w:hAnsi="Calibri"/>
      <w:color w:val="auto"/>
      <w:kern w:val="0"/>
      <w:sz w:val="22"/>
      <w:szCs w:val="22"/>
      <w:lang w:bidi="hi-IN" w:eastAsia="zh-CN" w:val="fr-FR"/>
    </w:rPr>
  </w:style>
  <w:style w:styleId="Titreprincipal" w:type="paragraph">
    <w:name w:val="Title"/>
    <w:basedOn w:val="Normal1"/>
    <w:next w:val="Normal1"/>
    <w:qFormat/>
    <w:pPr>
      <w:keepNext w:val="true"/>
      <w:keepLines/>
      <w:pageBreakBefore w:val="false"/>
      <w:spacing w:after="120" w:before="480" w:line="240" w:lineRule="auto"/>
    </w:pPr>
    <w:rPr>
      <w:b/>
      <w:sz w:val="72"/>
      <w:szCs w:val="72"/>
    </w:rPr>
  </w:style>
  <w:style w:styleId="Entteetpieddepage" w:type="paragraph">
    <w:name w:val="En-tête et pied de page"/>
    <w:basedOn w:val="Normal"/>
    <w:qFormat/>
    <w:pPr/>
    <w:rPr/>
  </w:style>
  <w:style w:styleId="Entte" w:type="paragraph">
    <w:name w:val="Header"/>
    <w:basedOn w:val="Normal1"/>
    <w:link w:val="En-tteCar"/>
    <w:rsid w:val="0003284f"/>
    <w:pPr>
      <w:tabs>
        <w:tab w:pos="720" w:val="clear"/>
        <w:tab w:leader="none" w:pos="4536" w:val="center"/>
        <w:tab w:leader="none" w:pos="9072" w:val="right"/>
      </w:tabs>
      <w:spacing w:after="0" w:before="0" w:line="240" w:lineRule="auto"/>
    </w:pPr>
    <w:rPr>
      <w:rFonts w:ascii="Times New Roman" w:cs="Times New Roman" w:eastAsia="Times New Roman" w:hAnsi="Times New Roman"/>
      <w:sz w:val="24"/>
      <w:szCs w:val="24"/>
      <w:lang w:eastAsia="fr-FR"/>
    </w:rPr>
  </w:style>
  <w:style w:styleId="Soustitre" w:type="paragraph">
    <w:name w:val="Subtitle"/>
    <w:basedOn w:val="Normal1"/>
    <w:next w:val="Normal1"/>
    <w:qFormat/>
    <w:pPr>
      <w:keepNext w:val="true"/>
      <w:keepLines/>
      <w:pageBreakBefore w:val="false"/>
      <w:spacing w:after="80" w:before="360" w:line="240" w:lineRule="auto"/>
    </w:pPr>
    <w:rPr>
      <w:rFonts w:ascii="Georgia" w:cs="Georgia" w:eastAsia="Georgia" w:hAnsi="Georgia"/>
      <w:i/>
      <w:color w:val="666666"/>
      <w:sz w:val="48"/>
      <w:szCs w:val="48"/>
    </w:rPr>
  </w:style>
  <w:style w:styleId="Pieddepage" w:type="paragraph">
    <w:name w:val="Footer"/>
    <w:basedOn w:val="Entteetpieddepage"/>
    <w:pPr/>
    <w:rPr/>
  </w:style>
  <w:style w:default="1" w:styleId="NoList" w:type="numbering">
    <w:name w:val="No List"/>
    <w:uiPriority w:val="99"/>
    <w:semiHidden/>
    <w:unhideWhenUsed/>
    <w:qFormat/>
  </w:style>
  <w:style w:default="1" w:styleId="TableNormal" w:type="table">
    <w:name w:val="Table Normal"/>
  </w:style>
  <w:style w:default="1" w:styleId="TableNormal" w:type="table">
    <w:name w:val="Table Normal"/>
  </w:style>
  <w:style w:default="1" w:styleId="TableNormal" w:type="table">
    <w:name w:val="Table Normal"/>
  </w:style>
  <w:style w:default="1" w:styleId="TableNormal" w:type="table">
    <w:name w:val="Table Normal"/>
  </w:style>
  <w:style w:default="1" w:styleId="TableNormal" w:type="table">
    <w:name w:val="Table Normal"/>
  </w:style>
  <w:style w:default="1" w:styleId="TableNormal" w:type="table">
    <w:name w:val="Table Normal"/>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 Id="rId7" Target="theme/theme1.xml" Type="http://schemas.openxmlformats.org/officeDocument/2006/relationships/theme"/><Relationship Id="rId8" Target="../customXml/item1.xml" Type="http://schemas.openxmlformats.org/officeDocument/2006/relationships/custom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lwLOtIGF2WDIUazRZOiOuCVJ/VA==">AMUW2mXqAsYRIYuilpva73lAkmuRjQP80uFvsaNjLvSuFhpsgpideHZ5SlQuJA3eGP21PCDWfbu7hSsf+OKPvnC1kjOzpA8PxHwWOd/lxTnJ/541o4u+nJg=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LibreOffice/7.1.8.1$Windows_X86_64 LibreOffice_project/e1f30c802c3269a1d052614453f260e49458c82c</Application>
  <AppVersion>15.0000</AppVersion>
  <Pages>4</Pages>
  <Words>963</Words>
  <Characters>5191</Characters>
  <CharactersWithSpaces>6095</CharactersWithSpaces>
  <Paragraphs>63</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2023-03-27T13:53:57Z</dcterms:created>
  <dc:language>fr-FR</dc:language>
  <cp:revision>1</cp:revision>
</cp:coreProperties>
</file>