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ED735F" w:rsidR="00E12BDF" w:rsidRDefault="00F325E6" w:rsidRPr="006E3562">
      <w:pPr>
        <w:ind w:hanging="180" w:left="-540"/>
        <w:rPr>
          <w:sz w:val="28"/>
          <w:szCs w:val="28"/>
        </w:rPr>
      </w:pPr>
      <w:r>
        <w:rPr>
          <w:noProof/>
        </w:rPr>
        <w:drawing>
          <wp:inline distB="0" distL="0" distR="0" distT="0">
            <wp:extent cx="2295525" cy="1466850"/>
            <wp:effectExtent b="0" l="0" r="0" t="0"/>
            <wp:docPr descr="LogoCouleur2014"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Couleur2014" id="0" name="Image 1"/>
                    <pic:cNvPicPr>
                      <a:picLocks noChangeArrowheads="1"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1466850"/>
                    </a:xfrm>
                    <a:prstGeom prst="rect">
                      <a:avLst/>
                    </a:prstGeom>
                    <a:noFill/>
                    <a:ln>
                      <a:noFill/>
                    </a:ln>
                  </pic:spPr>
                </pic:pic>
              </a:graphicData>
            </a:graphic>
          </wp:inline>
        </w:drawing>
      </w:r>
      <w:r w:rsidR="00F979EA">
        <w:rPr>
          <w:sz w:val="28"/>
          <w:szCs w:val="28"/>
        </w:rPr>
        <w:t xml:space="preserve">        </w:t>
      </w:r>
      <w:r w:rsidR="00EA3870">
        <w:rPr>
          <w:sz w:val="28"/>
          <w:szCs w:val="28"/>
        </w:rPr>
        <w:t xml:space="preserve">       </w:t>
      </w:r>
      <w:r w:rsidR="00F979EA">
        <w:rPr>
          <w:sz w:val="28"/>
          <w:szCs w:val="28"/>
        </w:rPr>
        <w:t xml:space="preserve">    </w:t>
      </w:r>
    </w:p>
    <w:p w:rsidP="00D60020" w:rsidR="00FA44DE" w:rsidRDefault="00FA44DE">
      <w:pPr>
        <w:ind w:left="1980"/>
        <w:rPr>
          <w:sz w:val="28"/>
          <w:szCs w:val="28"/>
        </w:rPr>
      </w:pPr>
    </w:p>
    <w:p w:rsidP="00D60020" w:rsidR="00A22823" w:rsidRDefault="00A22823" w:rsidRPr="006E3562">
      <w:pPr>
        <w:ind w:left="1980"/>
        <w:rPr>
          <w:sz w:val="28"/>
          <w:szCs w:val="28"/>
        </w:rPr>
      </w:pPr>
    </w:p>
    <w:p w:rsidR="00F3171A" w:rsidRDefault="00F3171A" w:rsidRPr="006E3562">
      <w:pPr>
        <w:rPr>
          <w:sz w:val="28"/>
          <w:szCs w:val="28"/>
        </w:rPr>
      </w:pPr>
    </w:p>
    <w:p w:rsidP="00FA44DE" w:rsidR="00FA44DE" w:rsidRDefault="00E62387" w:rsidRPr="00D512C1">
      <w:pPr>
        <w:jc w:val="center"/>
        <w:rPr>
          <w:sz w:val="28"/>
          <w:szCs w:val="28"/>
        </w:rPr>
      </w:pPr>
      <w:r w:rsidRPr="00BA12E7">
        <w:rPr>
          <w:sz w:val="28"/>
          <w:szCs w:val="28"/>
        </w:rPr>
        <w:t xml:space="preserve">  </w:t>
      </w:r>
      <w:r w:rsidR="006E3562" w:rsidRPr="00D512C1">
        <w:rPr>
          <w:sz w:val="28"/>
          <w:szCs w:val="28"/>
        </w:rPr>
        <w:t xml:space="preserve">PROTOCOLE D’ACCORD PORTANT SUR LA </w:t>
      </w:r>
    </w:p>
    <w:p w:rsidP="00FA44DE" w:rsidR="00FA44DE" w:rsidRDefault="006E3562" w:rsidRPr="00D512C1">
      <w:pPr>
        <w:jc w:val="center"/>
        <w:rPr>
          <w:sz w:val="28"/>
          <w:szCs w:val="28"/>
        </w:rPr>
      </w:pPr>
      <w:r w:rsidRPr="00D512C1">
        <w:rPr>
          <w:sz w:val="28"/>
          <w:szCs w:val="28"/>
        </w:rPr>
        <w:t>NEGOC</w:t>
      </w:r>
      <w:r w:rsidR="00054587" w:rsidRPr="00D512C1">
        <w:rPr>
          <w:sz w:val="28"/>
          <w:szCs w:val="28"/>
        </w:rPr>
        <w:t xml:space="preserve">IATION ANNUELLE OBLIGATOIRE </w:t>
      </w:r>
      <w:r w:rsidR="009C5E9B" w:rsidRPr="00D512C1">
        <w:rPr>
          <w:sz w:val="28"/>
          <w:szCs w:val="28"/>
        </w:rPr>
        <w:t>202</w:t>
      </w:r>
      <w:r w:rsidR="00FA40AA">
        <w:rPr>
          <w:sz w:val="28"/>
          <w:szCs w:val="28"/>
        </w:rPr>
        <w:t>3</w:t>
      </w:r>
    </w:p>
    <w:p w:rsidP="00FA44DE" w:rsidR="00F3171A" w:rsidRDefault="00F3171A" w:rsidRPr="00D512C1">
      <w:pPr>
        <w:jc w:val="center"/>
        <w:rPr>
          <w:sz w:val="28"/>
          <w:szCs w:val="28"/>
        </w:rPr>
      </w:pPr>
    </w:p>
    <w:p w:rsidP="000D09CF" w:rsidR="00FA44DE" w:rsidRDefault="006E3562" w:rsidRPr="00D512C1">
      <w:pPr>
        <w:spacing w:before="480"/>
        <w:jc w:val="both"/>
      </w:pPr>
      <w:r w:rsidRPr="00D512C1">
        <w:t xml:space="preserve">Entre </w:t>
      </w:r>
      <w:r w:rsidR="00FA44DE" w:rsidRPr="00D512C1">
        <w:t>:</w:t>
      </w:r>
    </w:p>
    <w:p w:rsidP="00B12BF8" w:rsidR="00FA44DE" w:rsidRDefault="00FA44DE" w:rsidRPr="00D512C1">
      <w:pPr>
        <w:spacing w:before="240"/>
        <w:ind w:firstLine="708"/>
        <w:jc w:val="both"/>
      </w:pPr>
      <w:r w:rsidRPr="00D512C1">
        <w:t>L’OFFICE PUBLIC DE L’HABITAT DE L’ORNE, Représenté par, en qualité de Directeur Général,</w:t>
      </w:r>
    </w:p>
    <w:p w:rsidP="006E3562" w:rsidR="00FA44DE" w:rsidRDefault="006E3562" w:rsidRPr="00D512C1">
      <w:pPr>
        <w:spacing w:before="480"/>
        <w:jc w:val="both"/>
      </w:pPr>
      <w:proofErr w:type="gramStart"/>
      <w:r w:rsidRPr="00D512C1">
        <w:t>d’une</w:t>
      </w:r>
      <w:proofErr w:type="gramEnd"/>
      <w:r w:rsidRPr="00D512C1">
        <w:t xml:space="preserve"> part</w:t>
      </w:r>
      <w:r w:rsidR="00FA44DE" w:rsidRPr="00D512C1">
        <w:t>,</w:t>
      </w:r>
    </w:p>
    <w:p w:rsidP="004C2DC0" w:rsidR="00FA44DE" w:rsidRDefault="006E3562" w:rsidRPr="00D512C1">
      <w:pPr>
        <w:spacing w:before="360"/>
        <w:jc w:val="both"/>
      </w:pPr>
      <w:r w:rsidRPr="00D512C1">
        <w:t>ET</w:t>
      </w:r>
      <w:r w:rsidR="008B64CD" w:rsidRPr="00D512C1">
        <w:t> :</w:t>
      </w:r>
    </w:p>
    <w:p w:rsidP="004C2DC0" w:rsidR="008B64CD" w:rsidRDefault="006E3562" w:rsidRPr="00D512C1">
      <w:pPr>
        <w:spacing w:before="240"/>
        <w:ind w:firstLine="709"/>
        <w:jc w:val="both"/>
      </w:pPr>
      <w:r w:rsidRPr="00D512C1">
        <w:t>L</w:t>
      </w:r>
      <w:r w:rsidR="009369E0" w:rsidRPr="00D512C1">
        <w:t>es o</w:t>
      </w:r>
      <w:r w:rsidR="008B64CD" w:rsidRPr="00D512C1">
        <w:t>rganisations syndicales:</w:t>
      </w:r>
    </w:p>
    <w:p w:rsidP="00003DAD" w:rsidR="00003DAD" w:rsidRDefault="00003DAD" w:rsidRPr="00D512C1">
      <w:pPr>
        <w:tabs>
          <w:tab w:pos="540" w:val="left"/>
          <w:tab w:pos="1980" w:val="left"/>
        </w:tabs>
        <w:jc w:val="both"/>
        <w:rPr>
          <w:b/>
        </w:rPr>
      </w:pPr>
      <w:r w:rsidRPr="00D512C1">
        <w:t xml:space="preserve">            F. O. représentée par</w:t>
      </w:r>
      <w:r w:rsidR="008B6F50" w:rsidRPr="00D512C1">
        <w:t>,</w:t>
      </w:r>
      <w:r w:rsidRPr="00D512C1">
        <w:t xml:space="preserve"> délégué syndical</w:t>
      </w:r>
    </w:p>
    <w:p w:rsidP="00D00B1D" w:rsidR="00D00B1D" w:rsidRDefault="00003DAD" w:rsidRPr="00D512C1">
      <w:pPr>
        <w:tabs>
          <w:tab w:pos="540" w:val="left"/>
          <w:tab w:pos="1980" w:val="left"/>
        </w:tabs>
        <w:jc w:val="both"/>
      </w:pPr>
      <w:r w:rsidRPr="00D512C1">
        <w:tab/>
      </w:r>
      <w:r w:rsidR="00B12BF8" w:rsidRPr="00D512C1">
        <w:t xml:space="preserve">   C. F. D. T. représenté</w:t>
      </w:r>
      <w:r w:rsidR="000E1EEE" w:rsidRPr="00D512C1">
        <w:t>e</w:t>
      </w:r>
      <w:r w:rsidR="00CE0937" w:rsidRPr="00D512C1">
        <w:t xml:space="preserve"> par</w:t>
      </w:r>
      <w:r w:rsidR="00E26322">
        <w:t>,</w:t>
      </w:r>
      <w:r w:rsidR="00B12BF8" w:rsidRPr="00D512C1">
        <w:t xml:space="preserve"> délégué syndical</w:t>
      </w:r>
    </w:p>
    <w:p w:rsidP="006E3562" w:rsidR="00BC331D" w:rsidRDefault="00D00B1D" w:rsidRPr="00D512C1">
      <w:pPr>
        <w:tabs>
          <w:tab w:pos="540" w:val="left"/>
          <w:tab w:pos="1980" w:val="left"/>
        </w:tabs>
        <w:jc w:val="both"/>
      </w:pPr>
      <w:r w:rsidRPr="00D512C1">
        <w:t xml:space="preserve">      </w:t>
      </w:r>
    </w:p>
    <w:p w:rsidP="006E3562" w:rsidR="00BC331D" w:rsidRDefault="00BC331D" w:rsidRPr="00D512C1">
      <w:pPr>
        <w:tabs>
          <w:tab w:pos="540" w:val="left"/>
          <w:tab w:pos="1980" w:val="left"/>
        </w:tabs>
        <w:jc w:val="both"/>
        <w:rPr>
          <w:b/>
        </w:rPr>
      </w:pPr>
      <w:proofErr w:type="gramStart"/>
      <w:r w:rsidRPr="00D512C1">
        <w:t>d’autre</w:t>
      </w:r>
      <w:proofErr w:type="gramEnd"/>
      <w:r w:rsidRPr="00D512C1">
        <w:t xml:space="preserve"> part</w:t>
      </w:r>
    </w:p>
    <w:p w:rsidP="00377AC3" w:rsidR="00C752AA" w:rsidRDefault="00377AC3" w:rsidRPr="00D512C1">
      <w:pPr>
        <w:spacing w:before="240"/>
        <w:ind w:firstLine="709"/>
        <w:jc w:val="both"/>
      </w:pPr>
      <w:r w:rsidRPr="00D512C1">
        <w:t>I</w:t>
      </w:r>
      <w:r w:rsidR="00C752AA" w:rsidRPr="00D512C1">
        <w:t>l a été convenu et décidé ce qui suit :</w:t>
      </w:r>
    </w:p>
    <w:p w:rsidP="00377AC3" w:rsidR="00C752AA" w:rsidRDefault="00B12BF8" w:rsidRPr="00D512C1">
      <w:pPr>
        <w:spacing w:before="240"/>
        <w:jc w:val="both"/>
        <w:rPr>
          <w:b/>
        </w:rPr>
      </w:pPr>
      <w:r w:rsidRPr="00D512C1">
        <w:rPr>
          <w:b/>
        </w:rPr>
        <w:t>PREAMBULE </w:t>
      </w:r>
      <w:r w:rsidR="00C752AA" w:rsidRPr="00D512C1">
        <w:rPr>
          <w:b/>
        </w:rPr>
        <w:t xml:space="preserve">: </w:t>
      </w:r>
    </w:p>
    <w:p w:rsidP="00B12BF8" w:rsidR="00AB494C" w:rsidRDefault="00B12BF8" w:rsidRPr="00D512C1">
      <w:pPr>
        <w:tabs>
          <w:tab w:pos="540" w:val="left"/>
        </w:tabs>
        <w:spacing w:before="240"/>
        <w:ind w:right="-108"/>
        <w:jc w:val="both"/>
      </w:pPr>
      <w:r w:rsidRPr="00D512C1">
        <w:tab/>
        <w:t xml:space="preserve">Conformément aux dispositions de l’article L. 2242-1 et suivants du code du travail, une négociation a été engagée entre </w:t>
      </w:r>
      <w:smartTag w:element="PersonName" w:uri="urn:schemas-microsoft-com:office:smarttags">
        <w:smartTagPr>
          <w:attr w:name="ProductID" w:val="la Direction"/>
        </w:smartTagPr>
        <w:r w:rsidRPr="00D512C1">
          <w:t>la Direction</w:t>
        </w:r>
      </w:smartTag>
      <w:r w:rsidRPr="00D512C1">
        <w:t xml:space="preserve"> de l’Office et les organisations syndicales représentatives dans l’entreprise.</w:t>
      </w:r>
    </w:p>
    <w:p w:rsidP="00B12BF8" w:rsidR="00AE7F38" w:rsidRDefault="00B12BF8" w:rsidRPr="00D512C1">
      <w:pPr>
        <w:tabs>
          <w:tab w:pos="540" w:val="left"/>
        </w:tabs>
        <w:spacing w:before="240"/>
        <w:ind w:right="-108"/>
        <w:jc w:val="both"/>
      </w:pPr>
      <w:r w:rsidRPr="00D512C1">
        <w:tab/>
        <w:t>Ce</w:t>
      </w:r>
      <w:r w:rsidR="00054587" w:rsidRPr="00D512C1">
        <w:t>tte négociation a donné lieu à</w:t>
      </w:r>
      <w:r w:rsidRPr="00D512C1">
        <w:t xml:space="preserve"> </w:t>
      </w:r>
      <w:r w:rsidR="00847299">
        <w:t>deux</w:t>
      </w:r>
      <w:r w:rsidR="00AE7F38" w:rsidRPr="00D512C1">
        <w:t xml:space="preserve"> </w:t>
      </w:r>
      <w:r w:rsidRPr="00D512C1">
        <w:t>réunions qui se sont tenu</w:t>
      </w:r>
      <w:r w:rsidR="001E633F" w:rsidRPr="00D512C1">
        <w:t>e</w:t>
      </w:r>
      <w:r w:rsidRPr="00D512C1">
        <w:t>s les</w:t>
      </w:r>
      <w:r w:rsidR="00FA40AA">
        <w:t xml:space="preserve"> </w:t>
      </w:r>
      <w:r w:rsidR="006E4855">
        <w:t>5 et 10</w:t>
      </w:r>
      <w:r w:rsidR="00AE7F38" w:rsidRPr="00D512C1">
        <w:t xml:space="preserve"> janvier 202</w:t>
      </w:r>
      <w:r w:rsidR="00FA40AA">
        <w:t>3</w:t>
      </w:r>
      <w:r w:rsidR="00AE7F38" w:rsidRPr="00D512C1">
        <w:t>.</w:t>
      </w:r>
    </w:p>
    <w:p w:rsidP="00B12BF8" w:rsidR="00847299" w:rsidRDefault="00847299">
      <w:pPr>
        <w:tabs>
          <w:tab w:pos="540" w:val="left"/>
        </w:tabs>
        <w:spacing w:before="240"/>
        <w:ind w:right="-108"/>
        <w:jc w:val="both"/>
      </w:pPr>
      <w:r>
        <w:tab/>
        <w:t>Les données économiques dans lesquel</w:t>
      </w:r>
      <w:r w:rsidR="002B38D6">
        <w:t>le</w:t>
      </w:r>
      <w:r>
        <w:t xml:space="preserve">s s’inscrit l’action de l’Office sont particulièrement difficiles pour l’exercice budgétaire 2023. La hausse soudaine et forte de l’inflation couplée à une augmentation très importante de nos charges financières liées à l’évolution des taux d’intérêt et la forte augmentation de la taxe foncière sur les propriétés bâties (TFPB) pèsent lourdement sur nos charges opérationnelles. C’est ainsi que le budget 2023, voté le 15 décembre dernier par le Conseil d’Administration prévoit un résultat tout juste à l’équilibre. </w:t>
      </w:r>
    </w:p>
    <w:p w:rsidP="00B12BF8" w:rsidR="00847299" w:rsidRDefault="00847299">
      <w:pPr>
        <w:tabs>
          <w:tab w:pos="540" w:val="left"/>
        </w:tabs>
        <w:spacing w:before="240"/>
        <w:ind w:right="-108"/>
        <w:jc w:val="both"/>
      </w:pPr>
      <w:r>
        <w:lastRenderedPageBreak/>
        <w:tab/>
        <w:t>Malgré la réduction sensible de la vacance en 2022, nous devons déplorer en parallèle une hausse des impayés.</w:t>
      </w:r>
    </w:p>
    <w:p w:rsidP="00B12BF8" w:rsidR="00847299" w:rsidRDefault="00847299">
      <w:pPr>
        <w:tabs>
          <w:tab w:pos="540" w:val="left"/>
        </w:tabs>
        <w:spacing w:before="240"/>
        <w:ind w:right="-108"/>
        <w:jc w:val="both"/>
      </w:pPr>
      <w:r>
        <w:tab/>
        <w:t xml:space="preserve">Ce contexte très difficile pour l’organisme a été largement pris en considération dans le cadre de la négociation qui vient de s’achever. </w:t>
      </w:r>
    </w:p>
    <w:p w:rsidP="00B12BF8" w:rsidR="009A33EB" w:rsidRDefault="00847299" w:rsidRPr="00D512C1">
      <w:pPr>
        <w:tabs>
          <w:tab w:pos="540" w:val="left"/>
        </w:tabs>
        <w:spacing w:before="240"/>
        <w:ind w:right="-108"/>
        <w:jc w:val="both"/>
      </w:pPr>
      <w:r>
        <w:tab/>
      </w:r>
      <w:r w:rsidR="001E633F" w:rsidRPr="00D512C1">
        <w:t xml:space="preserve">Compte tenu </w:t>
      </w:r>
      <w:r w:rsidR="002B38D6">
        <w:t xml:space="preserve">également </w:t>
      </w:r>
      <w:r w:rsidR="001E633F" w:rsidRPr="00D512C1">
        <w:t>d</w:t>
      </w:r>
      <w:r w:rsidR="003C59C3" w:rsidRPr="00D512C1">
        <w:t xml:space="preserve">e l’impact des dispositions gouvernementales </w:t>
      </w:r>
      <w:r w:rsidR="001E77FC" w:rsidRPr="00D512C1">
        <w:t>sur les</w:t>
      </w:r>
      <w:r w:rsidR="003C59C3" w:rsidRPr="00D512C1">
        <w:t xml:space="preserve"> </w:t>
      </w:r>
      <w:r w:rsidR="001E633F" w:rsidRPr="00D512C1">
        <w:t xml:space="preserve">capacités financières de notre organisme </w:t>
      </w:r>
      <w:r>
        <w:t xml:space="preserve">(la réduction de loyer de solidarité ampute nos recettes de 2,1 millions d’euros) </w:t>
      </w:r>
      <w:r w:rsidR="000759D8" w:rsidRPr="00D512C1">
        <w:t xml:space="preserve">et du contexte </w:t>
      </w:r>
      <w:r w:rsidR="00FA40AA">
        <w:t>économique</w:t>
      </w:r>
      <w:r w:rsidR="000759D8" w:rsidRPr="00D512C1">
        <w:t xml:space="preserve">, </w:t>
      </w:r>
      <w:r w:rsidR="0005458D" w:rsidRPr="00D512C1">
        <w:t xml:space="preserve">faisant nécessairement appel </w:t>
      </w:r>
      <w:r w:rsidR="001E633F" w:rsidRPr="00D512C1">
        <w:t xml:space="preserve">à la responsabilité de chacun pour maintenir </w:t>
      </w:r>
      <w:r w:rsidR="000759D8" w:rsidRPr="00D512C1">
        <w:t>notre activité au service de nos locataires</w:t>
      </w:r>
      <w:r w:rsidR="00A23CB9" w:rsidRPr="00D512C1">
        <w:t>,</w:t>
      </w:r>
      <w:r w:rsidR="00B12BF8" w:rsidRPr="00D512C1">
        <w:t xml:space="preserve"> les parties signatair</w:t>
      </w:r>
      <w:r w:rsidR="000D09CF" w:rsidRPr="00D512C1">
        <w:t>es ont conclu le présent accord</w:t>
      </w:r>
      <w:r w:rsidR="00282C3F" w:rsidRPr="00D512C1">
        <w:t>.</w:t>
      </w:r>
    </w:p>
    <w:p w:rsidP="0012662D" w:rsidR="008B3801" w:rsidRDefault="00033EBD" w:rsidRPr="00D512C1">
      <w:pPr>
        <w:tabs>
          <w:tab w:pos="540" w:val="left"/>
        </w:tabs>
        <w:spacing w:before="480"/>
        <w:ind w:right="-108"/>
        <w:jc w:val="both"/>
        <w:rPr>
          <w:b/>
        </w:rPr>
      </w:pPr>
      <w:r w:rsidRPr="00D512C1">
        <w:rPr>
          <w:b/>
        </w:rPr>
        <w:t xml:space="preserve">ARTICLE </w:t>
      </w:r>
      <w:r w:rsidR="0084716D" w:rsidRPr="00D512C1">
        <w:rPr>
          <w:b/>
        </w:rPr>
        <w:t>1</w:t>
      </w:r>
      <w:r w:rsidR="008B3801" w:rsidRPr="00D512C1">
        <w:rPr>
          <w:b/>
        </w:rPr>
        <w:t xml:space="preserve"> – </w:t>
      </w:r>
      <w:r w:rsidR="00752CFD" w:rsidRPr="00D512C1">
        <w:rPr>
          <w:b/>
        </w:rPr>
        <w:t>CHAMP D’APPLICATION</w:t>
      </w:r>
    </w:p>
    <w:p w:rsidP="00C66433" w:rsidR="00B77B2F" w:rsidRDefault="00752CFD" w:rsidRPr="00D512C1">
      <w:pPr>
        <w:tabs>
          <w:tab w:pos="540" w:val="left"/>
        </w:tabs>
        <w:spacing w:before="120"/>
        <w:ind w:right="-108"/>
        <w:jc w:val="both"/>
      </w:pPr>
      <w:r w:rsidRPr="00D512C1">
        <w:tab/>
        <w:t>Les dispositions du présent accord s’appliquent aux salariés de droit privé de l’Office Public de l’Habitat de l’Orne.</w:t>
      </w:r>
    </w:p>
    <w:p w:rsidP="00C66433" w:rsidR="00752CFD" w:rsidRDefault="00C75A94" w:rsidRPr="00D512C1">
      <w:pPr>
        <w:tabs>
          <w:tab w:pos="540" w:val="left"/>
        </w:tabs>
        <w:spacing w:before="120"/>
        <w:ind w:right="-108"/>
        <w:jc w:val="both"/>
      </w:pPr>
      <w:r w:rsidRPr="00D512C1">
        <w:tab/>
      </w:r>
      <w:r w:rsidR="00752CFD" w:rsidRPr="00D512C1">
        <w:t>Elles ne concernent pas les fonctionnaires.</w:t>
      </w:r>
    </w:p>
    <w:p w:rsidP="001E77FC" w:rsidR="00E357E5" w:rsidRDefault="00033EBD" w:rsidRPr="00D512C1">
      <w:pPr>
        <w:tabs>
          <w:tab w:pos="540" w:val="left"/>
        </w:tabs>
        <w:spacing w:before="480"/>
        <w:ind w:right="-108"/>
        <w:jc w:val="both"/>
        <w:rPr>
          <w:b/>
        </w:rPr>
      </w:pPr>
      <w:r w:rsidRPr="00D512C1">
        <w:rPr>
          <w:b/>
        </w:rPr>
        <w:t xml:space="preserve">ARTICLE </w:t>
      </w:r>
      <w:r w:rsidR="0084716D" w:rsidRPr="00D512C1">
        <w:rPr>
          <w:b/>
        </w:rPr>
        <w:t>2</w:t>
      </w:r>
      <w:r w:rsidR="008C1EA6" w:rsidRPr="00D512C1">
        <w:rPr>
          <w:b/>
        </w:rPr>
        <w:t xml:space="preserve"> – </w:t>
      </w:r>
      <w:r w:rsidR="00752CFD" w:rsidRPr="00D512C1">
        <w:rPr>
          <w:b/>
        </w:rPr>
        <w:t>REMUNERATION</w:t>
      </w:r>
    </w:p>
    <w:p w:rsidP="00896B7B" w:rsidR="00E357E5" w:rsidRDefault="00E357E5" w:rsidRPr="00D512C1">
      <w:pPr>
        <w:numPr>
          <w:ilvl w:val="0"/>
          <w:numId w:val="18"/>
        </w:numPr>
        <w:tabs>
          <w:tab w:pos="540" w:val="left"/>
        </w:tabs>
        <w:spacing w:before="360"/>
        <w:ind w:hanging="357" w:left="714" w:right="-108"/>
        <w:jc w:val="both"/>
        <w:rPr>
          <w:b/>
          <w:sz w:val="20"/>
          <w:szCs w:val="20"/>
        </w:rPr>
      </w:pPr>
      <w:r w:rsidRPr="00D512C1">
        <w:rPr>
          <w:b/>
          <w:sz w:val="20"/>
          <w:szCs w:val="20"/>
        </w:rPr>
        <w:t>BAREME DE REMUNERATION</w:t>
      </w:r>
    </w:p>
    <w:p w:rsidP="00FA40AA" w:rsidR="00CF0A4E" w:rsidRDefault="00CF0A4E" w:rsidRPr="00D512C1">
      <w:pPr>
        <w:tabs>
          <w:tab w:pos="540" w:val="left"/>
        </w:tabs>
        <w:spacing w:before="120"/>
        <w:ind w:right="-108"/>
        <w:jc w:val="both"/>
      </w:pPr>
      <w:r w:rsidRPr="00D512C1">
        <w:rPr>
          <w:b/>
        </w:rPr>
        <w:tab/>
      </w:r>
      <w:r w:rsidRPr="00D512C1">
        <w:t>Conformément à l’accord collectif national du 24 novembre 2010</w:t>
      </w:r>
      <w:r w:rsidR="00FA40AA">
        <w:t xml:space="preserve"> et l</w:t>
      </w:r>
      <w:r w:rsidR="00FA40AA" w:rsidRPr="00D512C1">
        <w:t>es avenants      n°1 et 2 portant sur la classification des emplois</w:t>
      </w:r>
      <w:r w:rsidR="00FA40AA">
        <w:t>,</w:t>
      </w:r>
      <w:r w:rsidR="00763421" w:rsidRPr="00D512C1">
        <w:t xml:space="preserve"> </w:t>
      </w:r>
      <w:r w:rsidR="008057D4">
        <w:t xml:space="preserve">à </w:t>
      </w:r>
      <w:r w:rsidR="00763421" w:rsidRPr="00D512C1">
        <w:t>l</w:t>
      </w:r>
      <w:r w:rsidR="00FA40AA">
        <w:t>’avenant n° 8 à la convention collective nationale du personnel des Offices Publics de l’habitat du 6 avril 2017 IDCC 3220,</w:t>
      </w:r>
      <w:r w:rsidRPr="00D512C1">
        <w:t xml:space="preserve"> la rémunération mensuelle brute de base garantie pour chacun des niveaux des</w:t>
      </w:r>
      <w:r w:rsidR="008057D4">
        <w:br/>
      </w:r>
      <w:r w:rsidRPr="00D512C1">
        <w:t>4 catégories s’établit</w:t>
      </w:r>
      <w:r w:rsidR="00FA40AA">
        <w:t xml:space="preserve"> </w:t>
      </w:r>
      <w:r w:rsidRPr="00D512C1">
        <w:t>comme suit</w:t>
      </w:r>
      <w:r w:rsidR="00C75A94" w:rsidRPr="00D512C1">
        <w:t xml:space="preserve"> </w:t>
      </w:r>
      <w:r w:rsidR="00FA40AA" w:rsidRPr="008057D4">
        <w:rPr>
          <w:b/>
          <w:u w:val="single"/>
        </w:rPr>
        <w:t xml:space="preserve">au </w:t>
      </w:r>
      <w:r w:rsidR="00C75A94" w:rsidRPr="008057D4">
        <w:rPr>
          <w:b/>
          <w:u w:val="single"/>
        </w:rPr>
        <w:t>1</w:t>
      </w:r>
      <w:r w:rsidR="00C75A94" w:rsidRPr="008057D4">
        <w:rPr>
          <w:b/>
          <w:u w:val="single"/>
          <w:vertAlign w:val="superscript"/>
        </w:rPr>
        <w:t>er</w:t>
      </w:r>
      <w:r w:rsidR="001B42F5" w:rsidRPr="008057D4">
        <w:rPr>
          <w:b/>
          <w:u w:val="single"/>
        </w:rPr>
        <w:t xml:space="preserve"> janvier 202</w:t>
      </w:r>
      <w:r w:rsidR="00FA40AA" w:rsidRPr="008057D4">
        <w:rPr>
          <w:b/>
          <w:u w:val="single"/>
        </w:rPr>
        <w:t>3</w:t>
      </w:r>
      <w:r w:rsidR="0005458D" w:rsidRPr="00D512C1">
        <w:t xml:space="preserve"> </w:t>
      </w:r>
      <w:r w:rsidR="00CC4461" w:rsidRPr="00D512C1">
        <w:t>:</w:t>
      </w:r>
    </w:p>
    <w:p w:rsidP="00FA40AA" w:rsidR="009A1F7C" w:rsidRDefault="009A1F7C" w:rsidRPr="00D512C1">
      <w:pPr>
        <w:tabs>
          <w:tab w:pos="540" w:val="left"/>
        </w:tabs>
        <w:spacing w:before="120"/>
        <w:ind w:right="-108"/>
        <w:jc w:val="both"/>
        <w:rPr>
          <w:i/>
        </w:rPr>
      </w:pPr>
    </w:p>
    <w:tbl>
      <w:tblPr>
        <w:tblW w:type="pct" w:w="500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2839"/>
        <w:gridCol w:w="2713"/>
        <w:gridCol w:w="2921"/>
      </w:tblGrid>
      <w:tr w:rsidR="00BA12E7" w:rsidRPr="00D512C1" w:rsidTr="001B42F5">
        <w:tc>
          <w:tcPr>
            <w:tcW w:type="pct" w:w="1675"/>
            <w:shd w:color="auto" w:fill="auto" w:val="clear"/>
          </w:tcPr>
          <w:p w:rsidP="001B42F5" w:rsidR="00BE3E3D" w:rsidRDefault="00BE3E3D" w:rsidRPr="00D512C1">
            <w:pPr>
              <w:tabs>
                <w:tab w:pos="540" w:val="left"/>
              </w:tabs>
              <w:spacing w:before="120"/>
              <w:ind w:right="-108"/>
              <w:jc w:val="center"/>
              <w:rPr>
                <w:b/>
              </w:rPr>
            </w:pPr>
            <w:r w:rsidRPr="00D512C1">
              <w:rPr>
                <w:b/>
              </w:rPr>
              <w:t>Catégories</w:t>
            </w:r>
          </w:p>
        </w:tc>
        <w:tc>
          <w:tcPr>
            <w:tcW w:type="pct" w:w="1601"/>
            <w:shd w:color="auto" w:fill="auto" w:val="clear"/>
          </w:tcPr>
          <w:p w:rsidP="001B42F5" w:rsidR="00BE3E3D" w:rsidRDefault="00BE3E3D" w:rsidRPr="00D512C1">
            <w:pPr>
              <w:tabs>
                <w:tab w:pos="540" w:val="left"/>
              </w:tabs>
              <w:spacing w:before="120"/>
              <w:ind w:right="-108"/>
              <w:jc w:val="center"/>
              <w:rPr>
                <w:b/>
              </w:rPr>
            </w:pPr>
            <w:r w:rsidRPr="00D512C1">
              <w:rPr>
                <w:b/>
              </w:rPr>
              <w:t>Niveaux</w:t>
            </w:r>
          </w:p>
        </w:tc>
        <w:tc>
          <w:tcPr>
            <w:tcW w:type="pct" w:w="1724"/>
            <w:shd w:color="auto" w:fill="auto" w:val="clear"/>
          </w:tcPr>
          <w:p w:rsidP="001B42F5" w:rsidR="00BE3E3D" w:rsidRDefault="00BE3E3D" w:rsidRPr="00D512C1">
            <w:pPr>
              <w:tabs>
                <w:tab w:pos="540" w:val="left"/>
              </w:tabs>
              <w:spacing w:before="120"/>
              <w:ind w:right="-108"/>
              <w:jc w:val="center"/>
              <w:rPr>
                <w:b/>
              </w:rPr>
            </w:pPr>
            <w:r w:rsidRPr="00D512C1">
              <w:rPr>
                <w:b/>
              </w:rPr>
              <w:t>Salaires bruts de base</w:t>
            </w:r>
          </w:p>
        </w:tc>
      </w:tr>
      <w:tr w:rsidR="00F30660" w:rsidRPr="00D512C1" w:rsidTr="00CA47C0">
        <w:trPr>
          <w:trHeight w:val="340"/>
        </w:trPr>
        <w:tc>
          <w:tcPr>
            <w:tcW w:type="pct" w:w="1675"/>
            <w:shd w:color="auto" w:fill="auto" w:val="clear"/>
          </w:tcPr>
          <w:p w:rsidP="001B42F5" w:rsidR="00F30660" w:rsidRDefault="00F30660" w:rsidRPr="00D512C1">
            <w:pPr>
              <w:tabs>
                <w:tab w:pos="540" w:val="left"/>
              </w:tabs>
              <w:spacing w:before="120"/>
              <w:ind w:right="-108"/>
              <w:jc w:val="center"/>
            </w:pPr>
            <w:r w:rsidRPr="00D512C1">
              <w:t>I</w:t>
            </w:r>
          </w:p>
        </w:tc>
        <w:tc>
          <w:tcPr>
            <w:tcW w:type="pct" w:w="1601"/>
            <w:shd w:color="auto" w:fill="auto" w:val="clear"/>
          </w:tcPr>
          <w:p w:rsidP="001B42F5" w:rsidR="00F30660" w:rsidRDefault="00F30660" w:rsidRPr="00D512C1">
            <w:pPr>
              <w:tabs>
                <w:tab w:pos="540" w:val="left"/>
              </w:tabs>
              <w:spacing w:before="120"/>
              <w:ind w:right="-108"/>
              <w:jc w:val="center"/>
            </w:pPr>
            <w:r w:rsidRPr="00D512C1">
              <w:t>1</w:t>
            </w:r>
          </w:p>
        </w:tc>
        <w:tc>
          <w:tcPr>
            <w:tcW w:type="pct" w:w="1724"/>
            <w:shd w:color="auto" w:fill="auto" w:val="clear"/>
            <w:vAlign w:val="center"/>
          </w:tcPr>
          <w:p w:rsidP="00CA47C0" w:rsidR="00F30660" w:rsidRDefault="00FA40AA">
            <w:pPr>
              <w:autoSpaceDE w:val="0"/>
              <w:autoSpaceDN w:val="0"/>
              <w:adjustRightInd w:val="0"/>
              <w:jc w:val="center"/>
              <w:rPr>
                <w:color w:val="000000"/>
              </w:rPr>
            </w:pPr>
            <w:r w:rsidRPr="00FA40AA">
              <w:rPr>
                <w:color w:val="000000"/>
              </w:rPr>
              <w:t>1702.51</w:t>
            </w:r>
          </w:p>
          <w:p w:rsidP="00CA47C0" w:rsidR="00B44E24" w:rsidRDefault="00B44E24" w:rsidRPr="00FA40AA">
            <w:pPr>
              <w:autoSpaceDE w:val="0"/>
              <w:autoSpaceDN w:val="0"/>
              <w:adjustRightInd w:val="0"/>
              <w:jc w:val="center"/>
              <w:rPr>
                <w:color w:val="000000"/>
              </w:rPr>
            </w:pPr>
            <w:r>
              <w:rPr>
                <w:color w:val="000000"/>
              </w:rPr>
              <w:t xml:space="preserve">* smic 1709.32 euros </w:t>
            </w:r>
          </w:p>
        </w:tc>
      </w:tr>
      <w:tr w:rsidR="00F30660" w:rsidRPr="00D512C1" w:rsidTr="00CA47C0">
        <w:tc>
          <w:tcPr>
            <w:tcW w:type="pct" w:w="1675"/>
            <w:shd w:color="auto" w:fill="auto" w:val="clear"/>
          </w:tcPr>
          <w:p w:rsidP="001B42F5" w:rsidR="00F30660" w:rsidRDefault="00F30660" w:rsidRPr="00D512C1">
            <w:pPr>
              <w:tabs>
                <w:tab w:pos="540" w:val="left"/>
              </w:tabs>
              <w:spacing w:before="120"/>
              <w:ind w:right="-108"/>
              <w:jc w:val="center"/>
            </w:pPr>
            <w:r w:rsidRPr="00D512C1">
              <w:t>I</w:t>
            </w:r>
          </w:p>
        </w:tc>
        <w:tc>
          <w:tcPr>
            <w:tcW w:type="pct" w:w="1601"/>
            <w:shd w:color="auto" w:fill="auto" w:val="clear"/>
          </w:tcPr>
          <w:p w:rsidP="001B42F5" w:rsidR="00F30660" w:rsidRDefault="00F30660" w:rsidRPr="00D512C1">
            <w:pPr>
              <w:tabs>
                <w:tab w:pos="540" w:val="left"/>
              </w:tabs>
              <w:spacing w:before="120"/>
              <w:ind w:right="-108"/>
              <w:jc w:val="center"/>
            </w:pPr>
            <w:r w:rsidRPr="00D512C1">
              <w:t>2</w:t>
            </w:r>
          </w:p>
        </w:tc>
        <w:tc>
          <w:tcPr>
            <w:tcW w:type="pct" w:w="1724"/>
            <w:shd w:color="auto" w:fill="auto" w:val="clear"/>
            <w:vAlign w:val="center"/>
          </w:tcPr>
          <w:p w:rsidP="00CA47C0" w:rsidR="00F30660" w:rsidRDefault="00FA40AA" w:rsidRPr="00FA40AA">
            <w:pPr>
              <w:autoSpaceDE w:val="0"/>
              <w:autoSpaceDN w:val="0"/>
              <w:adjustRightInd w:val="0"/>
              <w:jc w:val="center"/>
              <w:rPr>
                <w:color w:val="000000"/>
              </w:rPr>
            </w:pPr>
            <w:r w:rsidRPr="00FA40AA">
              <w:rPr>
                <w:color w:val="000000"/>
              </w:rPr>
              <w:t>1723.16</w:t>
            </w:r>
          </w:p>
        </w:tc>
      </w:tr>
      <w:tr w:rsidR="00F30660" w:rsidRPr="00D512C1" w:rsidTr="00CA47C0">
        <w:tc>
          <w:tcPr>
            <w:tcW w:type="pct" w:w="1675"/>
            <w:shd w:color="auto" w:fill="auto" w:val="clear"/>
          </w:tcPr>
          <w:p w:rsidP="001B42F5" w:rsidR="00F30660" w:rsidRDefault="00F30660" w:rsidRPr="00D512C1">
            <w:pPr>
              <w:tabs>
                <w:tab w:pos="540" w:val="left"/>
              </w:tabs>
              <w:spacing w:before="120"/>
              <w:ind w:right="-108"/>
              <w:jc w:val="center"/>
            </w:pPr>
            <w:r w:rsidRPr="00D512C1">
              <w:t>II</w:t>
            </w:r>
          </w:p>
        </w:tc>
        <w:tc>
          <w:tcPr>
            <w:tcW w:type="pct" w:w="1601"/>
            <w:shd w:color="auto" w:fill="auto" w:val="clear"/>
          </w:tcPr>
          <w:p w:rsidP="001B42F5" w:rsidR="00F30660" w:rsidRDefault="00F30660" w:rsidRPr="00D512C1">
            <w:pPr>
              <w:tabs>
                <w:tab w:pos="540" w:val="left"/>
              </w:tabs>
              <w:spacing w:before="120"/>
              <w:ind w:right="-108"/>
              <w:jc w:val="center"/>
            </w:pPr>
            <w:r w:rsidRPr="00D512C1">
              <w:t>1</w:t>
            </w:r>
          </w:p>
        </w:tc>
        <w:tc>
          <w:tcPr>
            <w:tcW w:type="pct" w:w="1724"/>
            <w:shd w:color="auto" w:fill="auto" w:val="clear"/>
            <w:vAlign w:val="center"/>
          </w:tcPr>
          <w:p w:rsidP="00CA47C0" w:rsidR="00F30660" w:rsidRDefault="00FA40AA" w:rsidRPr="00FA40AA">
            <w:pPr>
              <w:autoSpaceDE w:val="0"/>
              <w:autoSpaceDN w:val="0"/>
              <w:adjustRightInd w:val="0"/>
              <w:jc w:val="center"/>
              <w:rPr>
                <w:color w:val="000000"/>
              </w:rPr>
            </w:pPr>
            <w:r w:rsidRPr="00FA40AA">
              <w:rPr>
                <w:color w:val="000000"/>
              </w:rPr>
              <w:t>1810.11</w:t>
            </w:r>
          </w:p>
        </w:tc>
      </w:tr>
      <w:tr w:rsidR="00F30660" w:rsidRPr="00D512C1" w:rsidTr="00CA47C0">
        <w:tc>
          <w:tcPr>
            <w:tcW w:type="pct" w:w="1675"/>
            <w:shd w:color="auto" w:fill="auto" w:val="clear"/>
          </w:tcPr>
          <w:p w:rsidP="001B42F5" w:rsidR="00F30660" w:rsidRDefault="00F30660" w:rsidRPr="00D512C1">
            <w:pPr>
              <w:tabs>
                <w:tab w:pos="540" w:val="left"/>
              </w:tabs>
              <w:spacing w:before="120"/>
              <w:ind w:right="-108"/>
              <w:jc w:val="center"/>
            </w:pPr>
            <w:r w:rsidRPr="00D512C1">
              <w:t>II</w:t>
            </w:r>
          </w:p>
        </w:tc>
        <w:tc>
          <w:tcPr>
            <w:tcW w:type="pct" w:w="1601"/>
            <w:shd w:color="auto" w:fill="auto" w:val="clear"/>
          </w:tcPr>
          <w:p w:rsidP="001B42F5" w:rsidR="00F30660" w:rsidRDefault="00F30660" w:rsidRPr="00D512C1">
            <w:pPr>
              <w:tabs>
                <w:tab w:pos="540" w:val="left"/>
              </w:tabs>
              <w:spacing w:before="120"/>
              <w:ind w:right="-108"/>
              <w:jc w:val="center"/>
            </w:pPr>
            <w:r w:rsidRPr="00D512C1">
              <w:t>2</w:t>
            </w:r>
          </w:p>
        </w:tc>
        <w:tc>
          <w:tcPr>
            <w:tcW w:type="pct" w:w="1724"/>
            <w:shd w:color="auto" w:fill="auto" w:val="clear"/>
            <w:vAlign w:val="center"/>
          </w:tcPr>
          <w:p w:rsidP="00CA47C0" w:rsidR="00F30660" w:rsidRDefault="00FA40AA" w:rsidRPr="00FA40AA">
            <w:pPr>
              <w:autoSpaceDE w:val="0"/>
              <w:autoSpaceDN w:val="0"/>
              <w:adjustRightInd w:val="0"/>
              <w:jc w:val="center"/>
              <w:rPr>
                <w:color w:val="000000"/>
              </w:rPr>
            </w:pPr>
            <w:r w:rsidRPr="00FA40AA">
              <w:rPr>
                <w:color w:val="000000"/>
              </w:rPr>
              <w:t>1951.89</w:t>
            </w:r>
          </w:p>
        </w:tc>
      </w:tr>
      <w:tr w:rsidR="00F30660" w:rsidRPr="00D512C1" w:rsidTr="00CA47C0">
        <w:tc>
          <w:tcPr>
            <w:tcW w:type="pct" w:w="1675"/>
            <w:shd w:color="auto" w:fill="auto" w:val="clear"/>
          </w:tcPr>
          <w:p w:rsidP="001B42F5" w:rsidR="00F30660" w:rsidRDefault="00F30660" w:rsidRPr="00D512C1">
            <w:pPr>
              <w:tabs>
                <w:tab w:pos="540" w:val="left"/>
              </w:tabs>
              <w:spacing w:before="120"/>
              <w:ind w:right="-108"/>
              <w:jc w:val="center"/>
            </w:pPr>
            <w:r w:rsidRPr="00D512C1">
              <w:t>III</w:t>
            </w:r>
          </w:p>
        </w:tc>
        <w:tc>
          <w:tcPr>
            <w:tcW w:type="pct" w:w="1601"/>
            <w:shd w:color="auto" w:fill="auto" w:val="clear"/>
          </w:tcPr>
          <w:p w:rsidP="001B42F5" w:rsidR="00F30660" w:rsidRDefault="00F30660" w:rsidRPr="00D512C1">
            <w:pPr>
              <w:tabs>
                <w:tab w:pos="540" w:val="left"/>
              </w:tabs>
              <w:spacing w:before="120"/>
              <w:ind w:right="-108"/>
              <w:jc w:val="center"/>
            </w:pPr>
            <w:r w:rsidRPr="00D512C1">
              <w:t>1</w:t>
            </w:r>
          </w:p>
        </w:tc>
        <w:tc>
          <w:tcPr>
            <w:tcW w:type="pct" w:w="1724"/>
            <w:shd w:color="auto" w:fill="auto" w:val="clear"/>
            <w:vAlign w:val="center"/>
          </w:tcPr>
          <w:p w:rsidP="00CA47C0" w:rsidR="00F30660" w:rsidRDefault="00FA40AA" w:rsidRPr="00FA40AA">
            <w:pPr>
              <w:autoSpaceDE w:val="0"/>
              <w:autoSpaceDN w:val="0"/>
              <w:adjustRightInd w:val="0"/>
              <w:jc w:val="center"/>
              <w:rPr>
                <w:color w:val="000000"/>
              </w:rPr>
            </w:pPr>
            <w:r w:rsidRPr="00FA40AA">
              <w:rPr>
                <w:color w:val="000000"/>
              </w:rPr>
              <w:t>2367.75</w:t>
            </w:r>
          </w:p>
        </w:tc>
      </w:tr>
      <w:tr w:rsidR="00F30660" w:rsidRPr="00D512C1" w:rsidTr="00CA47C0">
        <w:tc>
          <w:tcPr>
            <w:tcW w:type="pct" w:w="1675"/>
            <w:shd w:color="auto" w:fill="auto" w:val="clear"/>
          </w:tcPr>
          <w:p w:rsidP="001B42F5" w:rsidR="00F30660" w:rsidRDefault="00F30660" w:rsidRPr="00D512C1">
            <w:pPr>
              <w:tabs>
                <w:tab w:pos="540" w:val="left"/>
              </w:tabs>
              <w:spacing w:before="120"/>
              <w:ind w:right="-108"/>
              <w:jc w:val="center"/>
            </w:pPr>
            <w:r w:rsidRPr="00D512C1">
              <w:t>III</w:t>
            </w:r>
          </w:p>
        </w:tc>
        <w:tc>
          <w:tcPr>
            <w:tcW w:type="pct" w:w="1601"/>
            <w:shd w:color="auto" w:fill="auto" w:val="clear"/>
          </w:tcPr>
          <w:p w:rsidP="001B42F5" w:rsidR="00F30660" w:rsidRDefault="00F30660" w:rsidRPr="00D512C1">
            <w:pPr>
              <w:tabs>
                <w:tab w:pos="540" w:val="left"/>
              </w:tabs>
              <w:spacing w:before="120"/>
              <w:ind w:right="-108"/>
              <w:jc w:val="center"/>
            </w:pPr>
            <w:r w:rsidRPr="00D512C1">
              <w:t>2</w:t>
            </w:r>
          </w:p>
        </w:tc>
        <w:tc>
          <w:tcPr>
            <w:tcW w:type="pct" w:w="1724"/>
            <w:shd w:color="auto" w:fill="auto" w:val="clear"/>
            <w:vAlign w:val="center"/>
          </w:tcPr>
          <w:p w:rsidP="00CA47C0" w:rsidR="00F30660" w:rsidRDefault="00FA40AA" w:rsidRPr="00FA40AA">
            <w:pPr>
              <w:autoSpaceDE w:val="0"/>
              <w:autoSpaceDN w:val="0"/>
              <w:adjustRightInd w:val="0"/>
              <w:jc w:val="center"/>
              <w:rPr>
                <w:color w:val="000000"/>
              </w:rPr>
            </w:pPr>
            <w:r w:rsidRPr="00FA40AA">
              <w:rPr>
                <w:color w:val="000000"/>
              </w:rPr>
              <w:t>2854.02</w:t>
            </w:r>
          </w:p>
        </w:tc>
      </w:tr>
      <w:tr w:rsidR="00F30660" w:rsidRPr="00D512C1" w:rsidTr="00CA47C0">
        <w:tc>
          <w:tcPr>
            <w:tcW w:type="pct" w:w="1675"/>
            <w:shd w:color="auto" w:fill="auto" w:val="clear"/>
          </w:tcPr>
          <w:p w:rsidP="001B42F5" w:rsidR="00F30660" w:rsidRDefault="00F30660" w:rsidRPr="00D512C1">
            <w:pPr>
              <w:tabs>
                <w:tab w:pos="540" w:val="left"/>
              </w:tabs>
              <w:spacing w:before="120"/>
              <w:ind w:right="-108"/>
              <w:jc w:val="center"/>
            </w:pPr>
            <w:r w:rsidRPr="00D512C1">
              <w:t>IV</w:t>
            </w:r>
          </w:p>
        </w:tc>
        <w:tc>
          <w:tcPr>
            <w:tcW w:type="pct" w:w="1601"/>
            <w:shd w:color="auto" w:fill="auto" w:val="clear"/>
          </w:tcPr>
          <w:p w:rsidP="001B42F5" w:rsidR="00F30660" w:rsidRDefault="00F30660" w:rsidRPr="00D512C1">
            <w:pPr>
              <w:tabs>
                <w:tab w:pos="540" w:val="left"/>
              </w:tabs>
              <w:spacing w:before="120"/>
              <w:ind w:right="-108"/>
              <w:jc w:val="center"/>
            </w:pPr>
            <w:r w:rsidRPr="00D512C1">
              <w:t>1</w:t>
            </w:r>
          </w:p>
        </w:tc>
        <w:tc>
          <w:tcPr>
            <w:tcW w:type="pct" w:w="1724"/>
            <w:shd w:color="auto" w:fill="auto" w:val="clear"/>
            <w:vAlign w:val="center"/>
          </w:tcPr>
          <w:p w:rsidP="00CA47C0" w:rsidR="00F30660" w:rsidRDefault="00FA40AA" w:rsidRPr="00FA40AA">
            <w:pPr>
              <w:autoSpaceDE w:val="0"/>
              <w:autoSpaceDN w:val="0"/>
              <w:adjustRightInd w:val="0"/>
              <w:jc w:val="center"/>
              <w:rPr>
                <w:color w:val="000000"/>
              </w:rPr>
            </w:pPr>
            <w:r w:rsidRPr="00FA40AA">
              <w:rPr>
                <w:color w:val="000000"/>
              </w:rPr>
              <w:t>3872.49</w:t>
            </w:r>
          </w:p>
        </w:tc>
      </w:tr>
      <w:tr w:rsidR="00F30660" w:rsidRPr="00D512C1" w:rsidTr="00CA47C0">
        <w:tc>
          <w:tcPr>
            <w:tcW w:type="pct" w:w="1675"/>
            <w:shd w:color="auto" w:fill="auto" w:val="clear"/>
          </w:tcPr>
          <w:p w:rsidP="001B42F5" w:rsidR="00F30660" w:rsidRDefault="00F30660" w:rsidRPr="00D512C1">
            <w:pPr>
              <w:tabs>
                <w:tab w:pos="540" w:val="left"/>
              </w:tabs>
              <w:spacing w:before="120"/>
              <w:ind w:right="-108"/>
              <w:jc w:val="center"/>
            </w:pPr>
            <w:r w:rsidRPr="00D512C1">
              <w:t>IV</w:t>
            </w:r>
          </w:p>
        </w:tc>
        <w:tc>
          <w:tcPr>
            <w:tcW w:type="pct" w:w="1601"/>
            <w:shd w:color="auto" w:fill="auto" w:val="clear"/>
          </w:tcPr>
          <w:p w:rsidP="001B42F5" w:rsidR="00F30660" w:rsidRDefault="00F30660" w:rsidRPr="00D512C1">
            <w:pPr>
              <w:tabs>
                <w:tab w:pos="540" w:val="left"/>
              </w:tabs>
              <w:spacing w:before="120"/>
              <w:ind w:right="-108"/>
              <w:jc w:val="center"/>
            </w:pPr>
            <w:r w:rsidRPr="00D512C1">
              <w:t>2</w:t>
            </w:r>
          </w:p>
        </w:tc>
        <w:tc>
          <w:tcPr>
            <w:tcW w:type="pct" w:w="1724"/>
            <w:shd w:color="auto" w:fill="auto" w:val="clear"/>
            <w:vAlign w:val="center"/>
          </w:tcPr>
          <w:p w:rsidP="00CA47C0" w:rsidR="00F30660" w:rsidRDefault="00FA40AA" w:rsidRPr="00FA40AA">
            <w:pPr>
              <w:autoSpaceDE w:val="0"/>
              <w:autoSpaceDN w:val="0"/>
              <w:adjustRightInd w:val="0"/>
              <w:jc w:val="center"/>
              <w:rPr>
                <w:color w:val="000000"/>
              </w:rPr>
            </w:pPr>
            <w:r w:rsidRPr="00FA40AA">
              <w:rPr>
                <w:color w:val="000000"/>
              </w:rPr>
              <w:t>5441.95</w:t>
            </w:r>
          </w:p>
        </w:tc>
      </w:tr>
    </w:tbl>
    <w:p w:rsidP="002D795D" w:rsidR="002D795D" w:rsidRDefault="002D795D" w:rsidRPr="00D512C1">
      <w:pPr>
        <w:tabs>
          <w:tab w:pos="540" w:val="left"/>
        </w:tabs>
        <w:spacing w:before="120"/>
        <w:ind w:left="540" w:right="-108"/>
        <w:jc w:val="both"/>
        <w:rPr>
          <w:b/>
        </w:rPr>
      </w:pPr>
    </w:p>
    <w:p w:rsidP="0005458D" w:rsidR="00F30660" w:rsidRDefault="00F30660" w:rsidRPr="00D512C1">
      <w:pPr>
        <w:pStyle w:val="Paragraphedeliste"/>
        <w:numPr>
          <w:ilvl w:val="0"/>
          <w:numId w:val="21"/>
        </w:numPr>
        <w:tabs>
          <w:tab w:pos="540" w:val="left"/>
        </w:tabs>
        <w:spacing w:before="120"/>
        <w:ind w:right="-108"/>
        <w:jc w:val="both"/>
        <w:rPr>
          <w:b/>
        </w:rPr>
      </w:pPr>
      <w:r w:rsidRPr="00D512C1">
        <w:rPr>
          <w:b/>
          <w:i/>
        </w:rPr>
        <w:t>Le SMIC 202</w:t>
      </w:r>
      <w:r w:rsidR="00FA40AA">
        <w:rPr>
          <w:b/>
          <w:i/>
        </w:rPr>
        <w:t>3</w:t>
      </w:r>
      <w:r w:rsidRPr="00D512C1">
        <w:rPr>
          <w:b/>
          <w:i/>
        </w:rPr>
        <w:t xml:space="preserve">: </w:t>
      </w:r>
      <w:r w:rsidR="002A42F1">
        <w:rPr>
          <w:b/>
          <w:i/>
        </w:rPr>
        <w:t xml:space="preserve"> 1 709.32</w:t>
      </w:r>
      <w:r w:rsidR="008B6F50" w:rsidRPr="00D512C1">
        <w:rPr>
          <w:b/>
          <w:i/>
        </w:rPr>
        <w:t xml:space="preserve"> </w:t>
      </w:r>
      <w:r w:rsidRPr="00D512C1">
        <w:rPr>
          <w:b/>
          <w:i/>
        </w:rPr>
        <w:t xml:space="preserve">euros </w:t>
      </w:r>
      <w:r w:rsidR="00D512C1">
        <w:rPr>
          <w:b/>
          <w:i/>
        </w:rPr>
        <w:t xml:space="preserve">bruts </w:t>
      </w:r>
      <w:r w:rsidRPr="00D512C1">
        <w:rPr>
          <w:b/>
          <w:i/>
        </w:rPr>
        <w:t>mensuel</w:t>
      </w:r>
      <w:r w:rsidR="00D04B31" w:rsidRPr="00D512C1">
        <w:rPr>
          <w:b/>
          <w:i/>
        </w:rPr>
        <w:t xml:space="preserve"> </w:t>
      </w:r>
    </w:p>
    <w:p w:rsidP="00287782" w:rsidR="00752CFD" w:rsidRDefault="00752CFD" w:rsidRPr="00D512C1">
      <w:pPr>
        <w:tabs>
          <w:tab w:pos="540" w:val="left"/>
        </w:tabs>
        <w:spacing w:before="240"/>
        <w:ind w:right="-108"/>
        <w:jc w:val="both"/>
        <w:rPr>
          <w:b/>
          <w:sz w:val="20"/>
          <w:szCs w:val="20"/>
        </w:rPr>
      </w:pPr>
      <w:r w:rsidRPr="00D512C1">
        <w:rPr>
          <w:rFonts w:ascii="Century Gothic" w:hAnsi="Century Gothic"/>
        </w:rPr>
        <w:t xml:space="preserve">▪ </w:t>
      </w:r>
      <w:r w:rsidR="00F3171A" w:rsidRPr="00D512C1">
        <w:rPr>
          <w:b/>
          <w:sz w:val="20"/>
          <w:szCs w:val="20"/>
        </w:rPr>
        <w:t>MESURES</w:t>
      </w:r>
      <w:r w:rsidR="00F3171A" w:rsidRPr="00D512C1">
        <w:rPr>
          <w:b/>
        </w:rPr>
        <w:t xml:space="preserve"> </w:t>
      </w:r>
      <w:r w:rsidR="00F3171A" w:rsidRPr="00D512C1">
        <w:rPr>
          <w:b/>
          <w:sz w:val="20"/>
          <w:szCs w:val="20"/>
        </w:rPr>
        <w:t xml:space="preserve">SALARIALES </w:t>
      </w:r>
    </w:p>
    <w:p w:rsidP="00C66433" w:rsidR="003A6902" w:rsidRDefault="00BC331D" w:rsidRPr="00D512C1">
      <w:pPr>
        <w:tabs>
          <w:tab w:pos="540" w:val="left"/>
        </w:tabs>
        <w:spacing w:before="120"/>
        <w:ind w:right="-108"/>
        <w:jc w:val="both"/>
      </w:pPr>
      <w:r w:rsidRPr="00D512C1">
        <w:t>Pour l’année 20</w:t>
      </w:r>
      <w:r w:rsidR="00816720" w:rsidRPr="00D512C1">
        <w:t>2</w:t>
      </w:r>
      <w:r w:rsidR="00CA47C0">
        <w:t>2</w:t>
      </w:r>
      <w:r w:rsidRPr="00D512C1">
        <w:t xml:space="preserve"> </w:t>
      </w:r>
      <w:r w:rsidR="00054587" w:rsidRPr="00D512C1">
        <w:t>a été</w:t>
      </w:r>
      <w:r w:rsidRPr="00D512C1">
        <w:t xml:space="preserve"> appliqué</w:t>
      </w:r>
      <w:r w:rsidR="003A2D8E" w:rsidRPr="00D512C1">
        <w:t>e</w:t>
      </w:r>
      <w:r w:rsidRPr="00D512C1">
        <w:t xml:space="preserve"> une augmentation de :</w:t>
      </w:r>
    </w:p>
    <w:p w:rsidP="00CA47C0" w:rsidR="00CA47C0" w:rsidRDefault="00CA47C0" w:rsidRPr="008057D4">
      <w:pPr>
        <w:pStyle w:val="Paragraphedeliste"/>
        <w:numPr>
          <w:ilvl w:val="0"/>
          <w:numId w:val="24"/>
        </w:numPr>
        <w:tabs>
          <w:tab w:pos="540" w:val="left"/>
        </w:tabs>
        <w:spacing w:before="120"/>
        <w:ind w:right="-108"/>
        <w:jc w:val="both"/>
        <w:rPr>
          <w:rFonts w:ascii="Century Gothic" w:hAnsi="Century Gothic"/>
        </w:rPr>
      </w:pPr>
      <w:r w:rsidRPr="008057D4">
        <w:t>de 1.20 % pour toutes les catégories au 1</w:t>
      </w:r>
      <w:r w:rsidRPr="008057D4">
        <w:rPr>
          <w:vertAlign w:val="superscript"/>
        </w:rPr>
        <w:t>er</w:t>
      </w:r>
      <w:r w:rsidRPr="008057D4">
        <w:t xml:space="preserve"> janvier 2022 </w:t>
      </w:r>
    </w:p>
    <w:p w:rsidP="00CA47C0" w:rsidR="00CA47C0" w:rsidRDefault="00CA47C0" w:rsidRPr="008057D4">
      <w:pPr>
        <w:pStyle w:val="Paragraphedeliste"/>
        <w:numPr>
          <w:ilvl w:val="0"/>
          <w:numId w:val="24"/>
        </w:numPr>
        <w:tabs>
          <w:tab w:pos="540" w:val="left"/>
        </w:tabs>
        <w:spacing w:before="120"/>
        <w:ind w:right="-108"/>
        <w:jc w:val="both"/>
        <w:rPr>
          <w:rFonts w:ascii="Century Gothic" w:hAnsi="Century Gothic"/>
        </w:rPr>
      </w:pPr>
      <w:r w:rsidRPr="008057D4">
        <w:t>de 1.00 % pour toutes les catégories au 1</w:t>
      </w:r>
      <w:r w:rsidRPr="008057D4">
        <w:rPr>
          <w:vertAlign w:val="superscript"/>
        </w:rPr>
        <w:t>er</w:t>
      </w:r>
      <w:r w:rsidRPr="008057D4">
        <w:t xml:space="preserve"> juillet 2022. </w:t>
      </w:r>
    </w:p>
    <w:p w:rsidP="00816720" w:rsidR="00D04B31" w:rsidRDefault="00054587" w:rsidRPr="00D02E1F">
      <w:pPr>
        <w:tabs>
          <w:tab w:pos="540" w:val="left"/>
        </w:tabs>
        <w:spacing w:before="120"/>
        <w:ind w:right="-108"/>
        <w:jc w:val="both"/>
        <w:rPr>
          <w:b/>
        </w:rPr>
      </w:pPr>
      <w:r w:rsidRPr="00D02E1F">
        <w:rPr>
          <w:b/>
        </w:rPr>
        <w:lastRenderedPageBreak/>
        <w:t>Pour l’année 20</w:t>
      </w:r>
      <w:r w:rsidR="00F30660" w:rsidRPr="00D02E1F">
        <w:rPr>
          <w:b/>
        </w:rPr>
        <w:t>2</w:t>
      </w:r>
      <w:r w:rsidR="00CA47C0" w:rsidRPr="00D02E1F">
        <w:rPr>
          <w:b/>
        </w:rPr>
        <w:t>3</w:t>
      </w:r>
      <w:r w:rsidRPr="00D02E1F">
        <w:rPr>
          <w:b/>
        </w:rPr>
        <w:t xml:space="preserve">, l’augmentation générale </w:t>
      </w:r>
      <w:r w:rsidR="00731EBF" w:rsidRPr="00D02E1F">
        <w:rPr>
          <w:b/>
        </w:rPr>
        <w:t>des salaires</w:t>
      </w:r>
      <w:r w:rsidR="00D00B1D" w:rsidRPr="00D02E1F">
        <w:rPr>
          <w:b/>
        </w:rPr>
        <w:t xml:space="preserve"> </w:t>
      </w:r>
      <w:r w:rsidRPr="00D02E1F">
        <w:rPr>
          <w:b/>
        </w:rPr>
        <w:t>sera</w:t>
      </w:r>
      <w:r w:rsidR="00D04B31" w:rsidRPr="00D02E1F">
        <w:rPr>
          <w:b/>
        </w:rPr>
        <w:t> :</w:t>
      </w:r>
    </w:p>
    <w:p w:rsidP="00D04B31" w:rsidR="00D04B31" w:rsidRDefault="0069458B" w:rsidRPr="00D02E1F">
      <w:pPr>
        <w:pStyle w:val="Paragraphedeliste"/>
        <w:numPr>
          <w:ilvl w:val="0"/>
          <w:numId w:val="24"/>
        </w:numPr>
        <w:tabs>
          <w:tab w:pos="540" w:val="left"/>
        </w:tabs>
        <w:spacing w:before="120"/>
        <w:ind w:right="-108"/>
        <w:jc w:val="both"/>
        <w:rPr>
          <w:rFonts w:ascii="Century Gothic" w:hAnsi="Century Gothic"/>
          <w:b/>
        </w:rPr>
      </w:pPr>
      <w:r w:rsidRPr="00D02E1F">
        <w:rPr>
          <w:b/>
        </w:rPr>
        <w:t>de</w:t>
      </w:r>
      <w:r w:rsidR="00557440" w:rsidRPr="00D02E1F">
        <w:rPr>
          <w:b/>
        </w:rPr>
        <w:t> </w:t>
      </w:r>
      <w:r w:rsidR="00CA47C0" w:rsidRPr="00D02E1F">
        <w:rPr>
          <w:b/>
        </w:rPr>
        <w:t>2.</w:t>
      </w:r>
      <w:r w:rsidR="00916795" w:rsidRPr="00D02E1F">
        <w:rPr>
          <w:b/>
        </w:rPr>
        <w:t>70</w:t>
      </w:r>
      <w:r w:rsidR="00D04B31" w:rsidRPr="00D02E1F">
        <w:rPr>
          <w:b/>
        </w:rPr>
        <w:t xml:space="preserve"> </w:t>
      </w:r>
      <w:r w:rsidR="00557440" w:rsidRPr="00D02E1F">
        <w:rPr>
          <w:b/>
        </w:rPr>
        <w:t>% p</w:t>
      </w:r>
      <w:r w:rsidR="00054587" w:rsidRPr="00D02E1F">
        <w:rPr>
          <w:b/>
        </w:rPr>
        <w:t>our toutes les catégories</w:t>
      </w:r>
      <w:r w:rsidR="00D628FB" w:rsidRPr="00D02E1F">
        <w:rPr>
          <w:b/>
        </w:rPr>
        <w:t xml:space="preserve"> </w:t>
      </w:r>
      <w:r w:rsidR="00816720" w:rsidRPr="00D02E1F">
        <w:rPr>
          <w:b/>
        </w:rPr>
        <w:t xml:space="preserve">au </w:t>
      </w:r>
      <w:r w:rsidR="008B6F50" w:rsidRPr="00D02E1F">
        <w:rPr>
          <w:b/>
        </w:rPr>
        <w:t>1</w:t>
      </w:r>
      <w:r w:rsidR="008B6F50" w:rsidRPr="00D02E1F">
        <w:rPr>
          <w:b/>
          <w:vertAlign w:val="superscript"/>
        </w:rPr>
        <w:t>er</w:t>
      </w:r>
      <w:r w:rsidR="008B6F50" w:rsidRPr="00D02E1F">
        <w:rPr>
          <w:b/>
        </w:rPr>
        <w:t xml:space="preserve"> janvier 202</w:t>
      </w:r>
      <w:r w:rsidR="00CA47C0" w:rsidRPr="00D02E1F">
        <w:rPr>
          <w:b/>
        </w:rPr>
        <w:t>3</w:t>
      </w:r>
      <w:r w:rsidR="00D04B31" w:rsidRPr="00D02E1F">
        <w:rPr>
          <w:b/>
        </w:rPr>
        <w:t xml:space="preserve"> </w:t>
      </w:r>
    </w:p>
    <w:p w:rsidP="00D04B31" w:rsidR="00F30660" w:rsidRDefault="00D04B31" w:rsidRPr="00D02E1F">
      <w:pPr>
        <w:pStyle w:val="Paragraphedeliste"/>
        <w:numPr>
          <w:ilvl w:val="0"/>
          <w:numId w:val="24"/>
        </w:numPr>
        <w:tabs>
          <w:tab w:pos="540" w:val="left"/>
        </w:tabs>
        <w:spacing w:before="120"/>
        <w:ind w:right="-108"/>
        <w:jc w:val="both"/>
        <w:rPr>
          <w:rFonts w:ascii="Century Gothic" w:hAnsi="Century Gothic"/>
          <w:b/>
        </w:rPr>
      </w:pPr>
      <w:r w:rsidRPr="00D02E1F">
        <w:rPr>
          <w:b/>
        </w:rPr>
        <w:t xml:space="preserve">de </w:t>
      </w:r>
      <w:r w:rsidR="00916795" w:rsidRPr="00D02E1F">
        <w:rPr>
          <w:b/>
        </w:rPr>
        <w:t>2.00</w:t>
      </w:r>
      <w:r w:rsidRPr="00D02E1F">
        <w:rPr>
          <w:b/>
        </w:rPr>
        <w:t xml:space="preserve"> % pour toutes les catégories au 1</w:t>
      </w:r>
      <w:r w:rsidRPr="00D02E1F">
        <w:rPr>
          <w:b/>
          <w:vertAlign w:val="superscript"/>
        </w:rPr>
        <w:t>er</w:t>
      </w:r>
      <w:r w:rsidRPr="00D02E1F">
        <w:rPr>
          <w:b/>
        </w:rPr>
        <w:t xml:space="preserve"> juillet 202</w:t>
      </w:r>
      <w:r w:rsidR="00CA47C0" w:rsidRPr="00D02E1F">
        <w:rPr>
          <w:b/>
        </w:rPr>
        <w:t>3</w:t>
      </w:r>
      <w:r w:rsidRPr="00D02E1F">
        <w:rPr>
          <w:b/>
        </w:rPr>
        <w:t xml:space="preserve">. </w:t>
      </w:r>
    </w:p>
    <w:p w:rsidP="001C6A71" w:rsidR="001C6A71" w:rsidRDefault="00D02E1F" w:rsidRPr="00D02E1F">
      <w:pPr>
        <w:pStyle w:val="xmsonormal"/>
        <w:spacing w:after="0" w:afterAutospacing="0" w:before="120" w:beforeAutospacing="0"/>
        <w:jc w:val="both"/>
        <w:rPr>
          <w:color w:val="000000"/>
          <w:shd w:color="auto" w:fill="FFFFFF" w:val="clear"/>
        </w:rPr>
      </w:pPr>
      <w:r>
        <w:rPr>
          <w:rStyle w:val="xcontentpasted0"/>
          <w:color w:val="000000"/>
          <w:shd w:color="auto" w:fill="FFFFFF" w:val="clear"/>
        </w:rPr>
        <w:t xml:space="preserve">Indépendamment de cette augmentation générale, </w:t>
      </w:r>
      <w:r w:rsidR="001C6A71" w:rsidRPr="00D02E1F">
        <w:rPr>
          <w:rStyle w:val="xcontentpasted0"/>
          <w:color w:val="000000"/>
          <w:shd w:color="auto" w:fill="FFFFFF" w:val="clear"/>
        </w:rPr>
        <w:t>La Direction Générale s’engage à réaliser un effort pour revaloriser les plus bas salaires d’ici la fin du 1</w:t>
      </w:r>
      <w:r w:rsidR="001C6A71" w:rsidRPr="00D02E1F">
        <w:rPr>
          <w:rStyle w:val="xcontentpasted0"/>
          <w:color w:val="000000"/>
          <w:shd w:color="auto" w:fill="FFFFFF" w:val="clear"/>
          <w:vertAlign w:val="superscript"/>
        </w:rPr>
        <w:t>er</w:t>
      </w:r>
      <w:r w:rsidR="001C6A71" w:rsidRPr="00D02E1F">
        <w:rPr>
          <w:rStyle w:val="xcontentpasted0"/>
          <w:color w:val="000000"/>
          <w:shd w:color="auto" w:fill="FFFFFF" w:val="clear"/>
        </w:rPr>
        <w:t xml:space="preserve"> trimestre 2023.  </w:t>
      </w:r>
    </w:p>
    <w:p w:rsidP="00C66433" w:rsidR="00612ED8" w:rsidRDefault="00612ED8" w:rsidRPr="00D02E1F">
      <w:pPr>
        <w:tabs>
          <w:tab w:pos="540" w:val="left"/>
        </w:tabs>
        <w:spacing w:before="240"/>
        <w:ind w:right="-108"/>
        <w:jc w:val="both"/>
        <w:rPr>
          <w:b/>
          <w:sz w:val="20"/>
          <w:szCs w:val="20"/>
        </w:rPr>
      </w:pPr>
      <w:r w:rsidRPr="00D02E1F">
        <w:rPr>
          <w:rFonts w:ascii="Century Gothic" w:hAnsi="Century Gothic"/>
          <w:b/>
        </w:rPr>
        <w:t xml:space="preserve">▪ </w:t>
      </w:r>
      <w:r w:rsidR="00623AF5" w:rsidRPr="00D02E1F">
        <w:rPr>
          <w:b/>
          <w:sz w:val="20"/>
          <w:szCs w:val="20"/>
        </w:rPr>
        <w:t>PRIMES</w:t>
      </w:r>
      <w:r w:rsidR="00D15458" w:rsidRPr="00D02E1F">
        <w:rPr>
          <w:b/>
          <w:sz w:val="20"/>
          <w:szCs w:val="20"/>
        </w:rPr>
        <w:t> :</w:t>
      </w:r>
    </w:p>
    <w:p w:rsidP="00D516BC" w:rsidR="001C6A71" w:rsidRDefault="00D516BC" w:rsidRPr="00D02E1F">
      <w:pPr>
        <w:pStyle w:val="texte"/>
        <w:numPr>
          <w:ilvl w:val="0"/>
          <w:numId w:val="22"/>
        </w:numPr>
        <w:jc w:val="left"/>
      </w:pPr>
      <w:r w:rsidRPr="00D02E1F">
        <w:t>Relè</w:t>
      </w:r>
      <w:r w:rsidR="001C6A71" w:rsidRPr="00D02E1F">
        <w:t xml:space="preserve">vement </w:t>
      </w:r>
      <w:r w:rsidR="001C6A71" w:rsidRPr="00D02E1F">
        <w:rPr>
          <w:b/>
        </w:rPr>
        <w:t xml:space="preserve">du seuil de 2500 euros à 2800 euros bruts mensuels </w:t>
      </w:r>
      <w:r w:rsidR="001C6A71" w:rsidRPr="00D02E1F">
        <w:t>permettant de déterminer les droits à la prime d’assiduité et la prise en charge de la part patronale des chèques de table à hauteur de 60 %.</w:t>
      </w:r>
    </w:p>
    <w:p w:rsidP="00087956" w:rsidR="00087956" w:rsidRDefault="00087956">
      <w:pPr>
        <w:tabs>
          <w:tab w:pos="540" w:val="left"/>
        </w:tabs>
        <w:spacing w:before="120"/>
        <w:ind w:right="-108"/>
      </w:pPr>
      <w:r w:rsidRPr="00D02E1F">
        <w:rPr>
          <w:b/>
        </w:rPr>
        <w:t xml:space="preserve">▪ </w:t>
      </w:r>
      <w:r w:rsidR="00612ED8" w:rsidRPr="00D02E1F">
        <w:rPr>
          <w:b/>
          <w:u w:val="single"/>
        </w:rPr>
        <w:t>Prime annuelle</w:t>
      </w:r>
      <w:r w:rsidRPr="00D02E1F">
        <w:t> :</w:t>
      </w:r>
    </w:p>
    <w:p w:rsidP="00087956" w:rsidR="00612ED8" w:rsidRDefault="00612ED8" w:rsidRPr="00D512C1">
      <w:pPr>
        <w:pStyle w:val="texte"/>
        <w:numPr>
          <w:ilvl w:val="0"/>
          <w:numId w:val="22"/>
        </w:numPr>
        <w:jc w:val="left"/>
      </w:pPr>
      <w:r w:rsidRPr="00D512C1">
        <w:t xml:space="preserve"> 13</w:t>
      </w:r>
      <w:r w:rsidRPr="00087956">
        <w:rPr>
          <w:vertAlign w:val="superscript"/>
        </w:rPr>
        <w:t>ème</w:t>
      </w:r>
      <w:r w:rsidRPr="00D512C1">
        <w:t xml:space="preserve"> mois versée p</w:t>
      </w:r>
      <w:r w:rsidR="00557440" w:rsidRPr="00D512C1">
        <w:t>ar moitié en mai et en novembre.</w:t>
      </w:r>
    </w:p>
    <w:p w:rsidP="00087956" w:rsidR="00087956" w:rsidRDefault="00087956">
      <w:pPr>
        <w:pStyle w:val="texte"/>
        <w:ind w:firstLine="0"/>
        <w:jc w:val="left"/>
      </w:pPr>
      <w:r w:rsidRPr="00087956">
        <w:rPr>
          <w:b/>
        </w:rPr>
        <w:t>▪</w:t>
      </w:r>
      <w:r>
        <w:rPr>
          <w:b/>
        </w:rPr>
        <w:t xml:space="preserve"> </w:t>
      </w:r>
      <w:r w:rsidR="00612ED8" w:rsidRPr="00A12642">
        <w:rPr>
          <w:b/>
          <w:u w:val="single"/>
        </w:rPr>
        <w:t xml:space="preserve">Prime </w:t>
      </w:r>
      <w:r w:rsidR="00E67419" w:rsidRPr="00A12642">
        <w:rPr>
          <w:b/>
          <w:u w:val="single"/>
        </w:rPr>
        <w:t>d’</w:t>
      </w:r>
      <w:r w:rsidR="00D15458" w:rsidRPr="00A12642">
        <w:rPr>
          <w:b/>
          <w:u w:val="single"/>
        </w:rPr>
        <w:t>Assiduité</w:t>
      </w:r>
      <w:r>
        <w:t> :</w:t>
      </w:r>
    </w:p>
    <w:p w:rsidP="00087956" w:rsidR="00A12642" w:rsidRDefault="008B6F50">
      <w:pPr>
        <w:pStyle w:val="texte"/>
        <w:numPr>
          <w:ilvl w:val="0"/>
          <w:numId w:val="22"/>
        </w:numPr>
        <w:jc w:val="left"/>
        <w:rPr>
          <w:b/>
        </w:rPr>
      </w:pPr>
      <w:r w:rsidRPr="00D512C1">
        <w:t xml:space="preserve">100 euros par trimestre pour </w:t>
      </w:r>
      <w:r w:rsidR="00BC4B7D" w:rsidRPr="00D512C1">
        <w:t xml:space="preserve">les </w:t>
      </w:r>
      <w:r w:rsidRPr="00D512C1">
        <w:t>salariés et agents fonctionnaires percevant une rémunération brute mensuelle inférieure ou égale à 2</w:t>
      </w:r>
      <w:r w:rsidR="00916795">
        <w:t>8</w:t>
      </w:r>
      <w:r w:rsidRPr="00D512C1">
        <w:t>00 euros (</w:t>
      </w:r>
      <w:r w:rsidRPr="00D512C1">
        <w:rPr>
          <w:b/>
        </w:rPr>
        <w:t xml:space="preserve">brut fiscal </w:t>
      </w:r>
      <w:r w:rsidR="00E67419" w:rsidRPr="00D512C1">
        <w:rPr>
          <w:b/>
        </w:rPr>
        <w:t xml:space="preserve">rétabli </w:t>
      </w:r>
      <w:r w:rsidR="00283CBB" w:rsidRPr="00D512C1">
        <w:rPr>
          <w:b/>
        </w:rPr>
        <w:t xml:space="preserve">temps complet </w:t>
      </w:r>
      <w:r w:rsidR="00E67419" w:rsidRPr="00D512C1">
        <w:rPr>
          <w:b/>
        </w:rPr>
        <w:t>de janvier 20</w:t>
      </w:r>
      <w:r w:rsidR="00E67419" w:rsidRPr="00D512C1">
        <w:t>2</w:t>
      </w:r>
      <w:r w:rsidR="008057D4">
        <w:t>3</w:t>
      </w:r>
      <w:r w:rsidRPr="00D512C1">
        <w:t>) n’</w:t>
      </w:r>
      <w:r w:rsidR="00BC4B7D" w:rsidRPr="00D512C1">
        <w:t>ayant aucune absence,</w:t>
      </w:r>
      <w:r w:rsidR="002D795D" w:rsidRPr="00D512C1">
        <w:rPr>
          <w:b/>
        </w:rPr>
        <w:t xml:space="preserve"> </w:t>
      </w:r>
      <w:r w:rsidR="002D795D" w:rsidRPr="00D512C1">
        <w:t>tous mo</w:t>
      </w:r>
      <w:r w:rsidR="00AC609E" w:rsidRPr="00D512C1">
        <w:t>tifs confondus</w:t>
      </w:r>
      <w:r w:rsidR="00BC4B7D" w:rsidRPr="00D512C1">
        <w:t xml:space="preserve">, </w:t>
      </w:r>
      <w:r w:rsidR="00AC609E" w:rsidRPr="00D512C1">
        <w:t>sauf accident de travail</w:t>
      </w:r>
      <w:r w:rsidR="00622027" w:rsidRPr="00D512C1">
        <w:t>, maladie professionnelle imputable au service</w:t>
      </w:r>
      <w:r w:rsidR="00AC609E" w:rsidRPr="00D512C1">
        <w:t xml:space="preserve"> et maternité</w:t>
      </w:r>
      <w:r w:rsidR="00AC609E" w:rsidRPr="00D512C1">
        <w:rPr>
          <w:b/>
        </w:rPr>
        <w:t xml:space="preserve">. </w:t>
      </w:r>
    </w:p>
    <w:p w:rsidP="00087956" w:rsidR="001E77FC" w:rsidRDefault="007C7402">
      <w:pPr>
        <w:pStyle w:val="texte"/>
        <w:ind w:firstLine="0" w:left="705"/>
        <w:rPr>
          <w:b/>
        </w:rPr>
      </w:pPr>
      <w:r w:rsidRPr="00D512C1">
        <w:rPr>
          <w:b/>
        </w:rPr>
        <w:t>Cette prime sera versée sur les mois suivant la fin de chaque trimestre, soit : avril, juillet, et octobre 202</w:t>
      </w:r>
      <w:r w:rsidR="00A12642">
        <w:rPr>
          <w:b/>
        </w:rPr>
        <w:t>3</w:t>
      </w:r>
      <w:r w:rsidRPr="00D512C1">
        <w:rPr>
          <w:b/>
        </w:rPr>
        <w:t xml:space="preserve"> et janvier 202</w:t>
      </w:r>
      <w:r w:rsidR="00A12642">
        <w:rPr>
          <w:b/>
        </w:rPr>
        <w:t>4</w:t>
      </w:r>
      <w:r w:rsidRPr="00D512C1">
        <w:rPr>
          <w:b/>
        </w:rPr>
        <w:t xml:space="preserve">. </w:t>
      </w:r>
    </w:p>
    <w:p w:rsidP="00087956" w:rsidR="00961411" w:rsidRDefault="00961411" w:rsidRPr="00D512C1">
      <w:pPr>
        <w:pStyle w:val="texte"/>
        <w:ind w:firstLine="0" w:left="705"/>
        <w:rPr>
          <w:b/>
        </w:rPr>
      </w:pPr>
      <w:r w:rsidRPr="00D512C1">
        <w:rPr>
          <w:b/>
        </w:rPr>
        <w:t xml:space="preserve">L’absence et l’attribution de la prime sont appréciés au trimestre. </w:t>
      </w:r>
    </w:p>
    <w:p w:rsidP="00961411" w:rsidR="00961411" w:rsidRDefault="00961411" w:rsidRPr="00D02E1F">
      <w:pPr>
        <w:pStyle w:val="Corpsdetexte3"/>
        <w:spacing w:before="240"/>
        <w:ind w:firstLine="335"/>
        <w:jc w:val="both"/>
        <w:rPr>
          <w:i w:val="0"/>
          <w:color w:val="auto"/>
          <w:sz w:val="24"/>
          <w:szCs w:val="24"/>
        </w:rPr>
      </w:pPr>
      <w:r w:rsidRPr="00D02E1F">
        <w:rPr>
          <w:b/>
          <w:i w:val="0"/>
          <w:color w:val="auto"/>
          <w:sz w:val="24"/>
          <w:szCs w:val="24"/>
          <w:u w:val="single"/>
        </w:rPr>
        <w:t>Pour rappel</w:t>
      </w:r>
      <w:r w:rsidRPr="00D02E1F">
        <w:rPr>
          <w:i w:val="0"/>
          <w:color w:val="auto"/>
          <w:sz w:val="24"/>
          <w:szCs w:val="24"/>
        </w:rPr>
        <w:t> : un congé d’assiduité calculé en deux ½ journées sera attribué chaque année aux salariés et agents si aucune absence égale ou supérieure à une journée n’est enregistrée sur chaque semestre de l’année N-1. Cette ½ journée ou journée sera créditée en janvier de l’année N.</w:t>
      </w:r>
    </w:p>
    <w:p w:rsidP="00961411" w:rsidR="00961411" w:rsidRDefault="00961411" w:rsidRPr="00D02E1F">
      <w:pPr>
        <w:pStyle w:val="Corpsdetexte3"/>
        <w:spacing w:before="100" w:beforeAutospacing="1"/>
        <w:ind w:firstLine="335"/>
        <w:jc w:val="both"/>
        <w:rPr>
          <w:i w:val="0"/>
          <w:color w:val="auto"/>
          <w:sz w:val="24"/>
          <w:szCs w:val="24"/>
        </w:rPr>
      </w:pPr>
      <w:r w:rsidRPr="00D02E1F">
        <w:rPr>
          <w:i w:val="0"/>
          <w:color w:val="auto"/>
          <w:sz w:val="24"/>
          <w:szCs w:val="24"/>
        </w:rPr>
        <w:t>Les motifs d’absences retenus sont :</w:t>
      </w:r>
    </w:p>
    <w:p w:rsidP="00961411" w:rsidR="00961411" w:rsidRDefault="00961411" w:rsidRPr="00D02E1F">
      <w:pPr>
        <w:numPr>
          <w:ilvl w:val="0"/>
          <w:numId w:val="25"/>
        </w:numPr>
        <w:spacing w:after="100" w:afterAutospacing="1" w:before="100" w:beforeAutospacing="1"/>
      </w:pPr>
      <w:r w:rsidRPr="00D02E1F">
        <w:t>Les périodes d'arrêt de travail pour maladie,</w:t>
      </w:r>
    </w:p>
    <w:p w:rsidP="00961411" w:rsidR="00961411" w:rsidRDefault="00961411" w:rsidRPr="00D02E1F">
      <w:pPr>
        <w:numPr>
          <w:ilvl w:val="0"/>
          <w:numId w:val="25"/>
        </w:numPr>
        <w:spacing w:after="100" w:afterAutospacing="1" w:before="100" w:beforeAutospacing="1"/>
      </w:pPr>
      <w:r w:rsidRPr="00D02E1F">
        <w:t>Les périodes de grève,</w:t>
      </w:r>
    </w:p>
    <w:p w:rsidP="00961411" w:rsidR="00961411" w:rsidRDefault="00961411" w:rsidRPr="00D02E1F">
      <w:pPr>
        <w:numPr>
          <w:ilvl w:val="0"/>
          <w:numId w:val="25"/>
        </w:numPr>
        <w:spacing w:after="100" w:afterAutospacing="1" w:before="100" w:beforeAutospacing="1"/>
      </w:pPr>
      <w:r w:rsidRPr="00D02E1F">
        <w:t>Le congé parental à temps plein,</w:t>
      </w:r>
    </w:p>
    <w:p w:rsidP="00961411" w:rsidR="00961411" w:rsidRDefault="00961411" w:rsidRPr="00D02E1F">
      <w:pPr>
        <w:numPr>
          <w:ilvl w:val="0"/>
          <w:numId w:val="25"/>
        </w:numPr>
        <w:spacing w:after="100" w:afterAutospacing="1" w:before="100" w:beforeAutospacing="1"/>
      </w:pPr>
      <w:r w:rsidRPr="00D02E1F">
        <w:t>Le congé de présence parentale,</w:t>
      </w:r>
    </w:p>
    <w:p w:rsidP="00961411" w:rsidR="00961411" w:rsidRDefault="00961411" w:rsidRPr="00D02E1F">
      <w:pPr>
        <w:numPr>
          <w:ilvl w:val="0"/>
          <w:numId w:val="25"/>
        </w:numPr>
        <w:spacing w:after="100" w:afterAutospacing="1" w:before="100" w:beforeAutospacing="1"/>
      </w:pPr>
      <w:r w:rsidRPr="00D02E1F">
        <w:t>Le congé de solidarité familiale,</w:t>
      </w:r>
    </w:p>
    <w:p w:rsidP="00961411" w:rsidR="00961411" w:rsidRDefault="00961411" w:rsidRPr="00D02E1F">
      <w:pPr>
        <w:numPr>
          <w:ilvl w:val="0"/>
          <w:numId w:val="25"/>
        </w:numPr>
        <w:spacing w:after="100" w:afterAutospacing="1" w:before="100" w:beforeAutospacing="1"/>
      </w:pPr>
      <w:r w:rsidRPr="00D02E1F">
        <w:t>Les périodes de mise à pied,</w:t>
      </w:r>
    </w:p>
    <w:p w:rsidP="00961411" w:rsidR="00961411" w:rsidRDefault="00961411" w:rsidRPr="00D02E1F">
      <w:pPr>
        <w:numPr>
          <w:ilvl w:val="0"/>
          <w:numId w:val="25"/>
        </w:numPr>
        <w:spacing w:after="100" w:afterAutospacing="1" w:before="100" w:beforeAutospacing="1"/>
      </w:pPr>
      <w:r w:rsidRPr="00D02E1F">
        <w:t>Les absences injustifiées.</w:t>
      </w:r>
    </w:p>
    <w:p w:rsidP="001225F4" w:rsidR="00961411" w:rsidRDefault="00961411" w:rsidRPr="00D02E1F">
      <w:pPr>
        <w:numPr>
          <w:ilvl w:val="0"/>
          <w:numId w:val="25"/>
        </w:numPr>
        <w:spacing w:after="100" w:afterAutospacing="1" w:before="100" w:beforeAutospacing="1"/>
        <w:rPr>
          <w:b/>
        </w:rPr>
      </w:pPr>
      <w:r w:rsidRPr="00D02E1F">
        <w:t xml:space="preserve">Les autorisations spéciales d’absences visées aux articles 8.1 et 8.2 de l’accord temps de travail à l’exception de l’absence pour décès du conjoint et/ou enfant. </w:t>
      </w:r>
    </w:p>
    <w:p w:rsidP="00087956" w:rsidR="00A12642" w:rsidRDefault="00087956" w:rsidRPr="00A12642">
      <w:pPr>
        <w:pStyle w:val="texte"/>
        <w:ind w:firstLine="0"/>
      </w:pPr>
      <w:r w:rsidRPr="00087956">
        <w:rPr>
          <w:b/>
        </w:rPr>
        <w:t>▪</w:t>
      </w:r>
      <w:r>
        <w:rPr>
          <w:b/>
        </w:rPr>
        <w:t xml:space="preserve"> </w:t>
      </w:r>
      <w:r w:rsidR="00302365" w:rsidRPr="00D512C1">
        <w:rPr>
          <w:b/>
          <w:u w:val="single"/>
        </w:rPr>
        <w:t>Prime de p</w:t>
      </w:r>
      <w:r w:rsidR="003D5AEC">
        <w:rPr>
          <w:b/>
          <w:u w:val="single"/>
        </w:rPr>
        <w:t>artage de la valeur PPV</w:t>
      </w:r>
      <w:r w:rsidR="00302365" w:rsidRPr="00D512C1">
        <w:t> </w:t>
      </w:r>
      <w:r w:rsidR="00A12642" w:rsidRPr="00A12642">
        <w:rPr>
          <w:u w:val="single"/>
        </w:rPr>
        <w:t xml:space="preserve">(ex prime pouvoir d’achat ou prime Macron) </w:t>
      </w:r>
      <w:r w:rsidR="00302365" w:rsidRPr="00A12642">
        <w:t xml:space="preserve">: </w:t>
      </w:r>
    </w:p>
    <w:p w:rsidP="00302365" w:rsidR="00470D91" w:rsidRDefault="00A12642">
      <w:pPr>
        <w:pStyle w:val="texte"/>
        <w:numPr>
          <w:ilvl w:val="0"/>
          <w:numId w:val="22"/>
        </w:numPr>
      </w:pPr>
      <w:r w:rsidRPr="00D512C1">
        <w:t>Prime</w:t>
      </w:r>
      <w:r w:rsidR="00302365" w:rsidRPr="00D512C1">
        <w:t xml:space="preserve"> de 400 euros totalement exonérée de charges et d’imposition pour l’ensemble du personnel ayant perçu, au cours des douze mois précédant son versement, une rémunération brute inférieure </w:t>
      </w:r>
      <w:r w:rsidR="00F473F0">
        <w:t>à trois fois la valeur du smic</w:t>
      </w:r>
      <w:r w:rsidR="00470D91">
        <w:t>.</w:t>
      </w:r>
      <w:r w:rsidR="00302365" w:rsidRPr="00D512C1">
        <w:t xml:space="preserve"> </w:t>
      </w:r>
    </w:p>
    <w:p w:rsidP="00302365" w:rsidR="00470D91" w:rsidRDefault="00302365">
      <w:pPr>
        <w:pStyle w:val="texte"/>
        <w:numPr>
          <w:ilvl w:val="0"/>
          <w:numId w:val="22"/>
        </w:numPr>
      </w:pPr>
      <w:r w:rsidRPr="00D512C1">
        <w:t xml:space="preserve">Cette prime </w:t>
      </w:r>
      <w:r w:rsidR="00961411">
        <w:t>sera versée au mois de mars 2023</w:t>
      </w:r>
      <w:r w:rsidRPr="00D512C1">
        <w:t xml:space="preserve">. </w:t>
      </w:r>
    </w:p>
    <w:p w:rsidP="00302365" w:rsidR="00302365" w:rsidRDefault="00F473F0" w:rsidRPr="00D512C1">
      <w:pPr>
        <w:pStyle w:val="texte"/>
        <w:numPr>
          <w:ilvl w:val="0"/>
          <w:numId w:val="22"/>
        </w:numPr>
      </w:pPr>
      <w:r>
        <w:t xml:space="preserve">Elle sera soumise à l’impôt sur le revenu, à la CSG et la CRDS pour le personnel percevant une rémunération supérieure au plafond d’exonération. </w:t>
      </w:r>
    </w:p>
    <w:p w:rsidP="00302365" w:rsidR="00302365" w:rsidRDefault="00302365" w:rsidRPr="00D512C1">
      <w:pPr>
        <w:tabs>
          <w:tab w:pos="540" w:val="left"/>
        </w:tabs>
        <w:spacing w:before="120"/>
        <w:ind w:right="-108"/>
        <w:jc w:val="both"/>
        <w:rPr>
          <w:b/>
        </w:rPr>
      </w:pPr>
      <w:r w:rsidRPr="00D512C1">
        <w:rPr>
          <w:b/>
        </w:rPr>
        <w:t>Le versement de cette prime reste conditionné à la présence du salarié toute l’année 202</w:t>
      </w:r>
      <w:r w:rsidR="00961411">
        <w:rPr>
          <w:b/>
        </w:rPr>
        <w:t>2</w:t>
      </w:r>
      <w:r w:rsidRPr="00D512C1">
        <w:rPr>
          <w:b/>
        </w:rPr>
        <w:t xml:space="preserve"> et encore présent au 1</w:t>
      </w:r>
      <w:r w:rsidRPr="00D512C1">
        <w:rPr>
          <w:b/>
          <w:vertAlign w:val="superscript"/>
        </w:rPr>
        <w:t>er</w:t>
      </w:r>
      <w:r w:rsidRPr="00D512C1">
        <w:rPr>
          <w:b/>
        </w:rPr>
        <w:t xml:space="preserve"> janvier 202</w:t>
      </w:r>
      <w:r w:rsidR="00961411">
        <w:rPr>
          <w:b/>
        </w:rPr>
        <w:t>3</w:t>
      </w:r>
      <w:r w:rsidRPr="00D512C1">
        <w:rPr>
          <w:b/>
        </w:rPr>
        <w:t>. Elle sera proratisée à la présence (déduction des absences tous motifs confondus sur l’année 202</w:t>
      </w:r>
      <w:r w:rsidR="00961411">
        <w:rPr>
          <w:b/>
        </w:rPr>
        <w:t>2</w:t>
      </w:r>
      <w:r w:rsidRPr="00D512C1">
        <w:rPr>
          <w:b/>
        </w:rPr>
        <w:t>, sauf accident de travail, maladie professionnelle imputable au service et maternité).</w:t>
      </w:r>
    </w:p>
    <w:p w:rsidP="0005458D" w:rsidR="00E07EB6" w:rsidRDefault="008D5CAC" w:rsidRPr="00D512C1">
      <w:pPr>
        <w:tabs>
          <w:tab w:pos="540" w:val="left"/>
        </w:tabs>
        <w:spacing w:before="120"/>
        <w:ind w:right="-108"/>
        <w:jc w:val="both"/>
        <w:rPr>
          <w:rFonts w:ascii="Century Gothic" w:hAnsi="Century Gothic"/>
        </w:rPr>
      </w:pPr>
      <w:r w:rsidRPr="00D512C1">
        <w:tab/>
      </w:r>
    </w:p>
    <w:p w:rsidP="00DE314F" w:rsidR="00612ED8" w:rsidRDefault="00612ED8" w:rsidRPr="00087956">
      <w:pPr>
        <w:tabs>
          <w:tab w:pos="540" w:val="left"/>
        </w:tabs>
        <w:ind w:right="-108"/>
        <w:jc w:val="both"/>
      </w:pPr>
      <w:r w:rsidRPr="00087956">
        <w:rPr>
          <w:b/>
        </w:rPr>
        <w:t xml:space="preserve">▪ </w:t>
      </w:r>
      <w:r w:rsidR="00623AF5" w:rsidRPr="00087956">
        <w:rPr>
          <w:b/>
          <w:sz w:val="20"/>
          <w:szCs w:val="20"/>
          <w:u w:val="single"/>
        </w:rPr>
        <w:t>CHEQUES DE TABLE</w:t>
      </w:r>
    </w:p>
    <w:p w:rsidP="00C66433" w:rsidR="00CC4461" w:rsidRDefault="00612ED8" w:rsidRPr="00D512C1">
      <w:pPr>
        <w:tabs>
          <w:tab w:pos="540" w:val="left"/>
        </w:tabs>
        <w:spacing w:before="120"/>
        <w:ind w:right="-108"/>
        <w:jc w:val="both"/>
      </w:pPr>
      <w:r w:rsidRPr="00D512C1">
        <w:tab/>
      </w:r>
      <w:r w:rsidR="00916795">
        <w:t xml:space="preserve">Augmentation </w:t>
      </w:r>
      <w:r w:rsidR="00D15458" w:rsidRPr="00D512C1">
        <w:t>de</w:t>
      </w:r>
      <w:r w:rsidR="00BC4B7D" w:rsidRPr="00D512C1">
        <w:t xml:space="preserve"> la valeur faciale des </w:t>
      </w:r>
      <w:r w:rsidRPr="00D512C1">
        <w:t xml:space="preserve">chèques de table </w:t>
      </w:r>
      <w:r w:rsidR="00287782" w:rsidRPr="00D512C1">
        <w:t>avec une valeur unitaire de</w:t>
      </w:r>
      <w:r w:rsidR="006C2BED" w:rsidRPr="00D512C1">
        <w:rPr>
          <w:b/>
        </w:rPr>
        <w:t> </w:t>
      </w:r>
      <w:r w:rsidR="00C749D4" w:rsidRPr="00D512C1">
        <w:rPr>
          <w:b/>
        </w:rPr>
        <w:br/>
      </w:r>
      <w:r w:rsidR="00BC4B7D" w:rsidRPr="00D02E1F">
        <w:rPr>
          <w:b/>
        </w:rPr>
        <w:t>9</w:t>
      </w:r>
      <w:r w:rsidR="00916795" w:rsidRPr="00D02E1F">
        <w:rPr>
          <w:b/>
        </w:rPr>
        <w:t>.50</w:t>
      </w:r>
      <w:r w:rsidR="006C2BED" w:rsidRPr="00D02E1F">
        <w:rPr>
          <w:b/>
        </w:rPr>
        <w:t xml:space="preserve"> </w:t>
      </w:r>
      <w:r w:rsidR="00287782" w:rsidRPr="00D02E1F">
        <w:rPr>
          <w:b/>
        </w:rPr>
        <w:t>euros</w:t>
      </w:r>
      <w:r w:rsidR="00287782" w:rsidRPr="00D02E1F">
        <w:t>,</w:t>
      </w:r>
      <w:r w:rsidR="00D24A90" w:rsidRPr="00D02E1F">
        <w:t xml:space="preserve"> </w:t>
      </w:r>
      <w:r w:rsidR="00287782" w:rsidRPr="00D02E1F">
        <w:t>prise</w:t>
      </w:r>
      <w:r w:rsidR="00287782" w:rsidRPr="00D512C1">
        <w:t xml:space="preserve"> en charge à hauteur de 50 % ou 60 %, selon le niveau de salaire</w:t>
      </w:r>
      <w:r w:rsidR="001C6719" w:rsidRPr="00D512C1">
        <w:t xml:space="preserve"> (</w:t>
      </w:r>
      <w:r w:rsidR="001C6719" w:rsidRPr="00D512C1">
        <w:rPr>
          <w:b/>
        </w:rPr>
        <w:t>pris</w:t>
      </w:r>
      <w:r w:rsidR="00C75A94" w:rsidRPr="00D512C1">
        <w:rPr>
          <w:b/>
        </w:rPr>
        <w:t>e</w:t>
      </w:r>
      <w:r w:rsidR="001C6719" w:rsidRPr="00D512C1">
        <w:rPr>
          <w:b/>
        </w:rPr>
        <w:t xml:space="preserve"> en compte du salaire </w:t>
      </w:r>
      <w:r w:rsidR="00D24A90" w:rsidRPr="00D512C1">
        <w:rPr>
          <w:b/>
        </w:rPr>
        <w:t xml:space="preserve">brut fiscal </w:t>
      </w:r>
      <w:r w:rsidR="001C6719" w:rsidRPr="00D512C1">
        <w:rPr>
          <w:b/>
        </w:rPr>
        <w:t>de décembre</w:t>
      </w:r>
      <w:r w:rsidR="00CF4254" w:rsidRPr="00D512C1">
        <w:rPr>
          <w:b/>
        </w:rPr>
        <w:t xml:space="preserve"> de l’année N-1</w:t>
      </w:r>
      <w:r w:rsidR="001C6719" w:rsidRPr="00D512C1">
        <w:rPr>
          <w:b/>
        </w:rPr>
        <w:t xml:space="preserve"> dont le seuil est fixé à</w:t>
      </w:r>
      <w:r w:rsidR="00B84D56" w:rsidRPr="00D512C1">
        <w:rPr>
          <w:b/>
        </w:rPr>
        <w:t xml:space="preserve"> </w:t>
      </w:r>
      <w:r w:rsidR="00C749D4" w:rsidRPr="00D512C1">
        <w:rPr>
          <w:b/>
        </w:rPr>
        <w:br/>
      </w:r>
      <w:r w:rsidR="001C6719" w:rsidRPr="00D512C1">
        <w:rPr>
          <w:b/>
        </w:rPr>
        <w:t xml:space="preserve"> </w:t>
      </w:r>
      <w:r w:rsidR="00D24A90" w:rsidRPr="00D512C1">
        <w:rPr>
          <w:b/>
        </w:rPr>
        <w:t xml:space="preserve">2 </w:t>
      </w:r>
      <w:r w:rsidR="00916795">
        <w:rPr>
          <w:b/>
        </w:rPr>
        <w:t>8</w:t>
      </w:r>
      <w:r w:rsidR="00D24A90" w:rsidRPr="00D512C1">
        <w:rPr>
          <w:b/>
        </w:rPr>
        <w:t>00</w:t>
      </w:r>
      <w:r w:rsidR="001C6719" w:rsidRPr="00D512C1">
        <w:rPr>
          <w:b/>
        </w:rPr>
        <w:t xml:space="preserve"> €</w:t>
      </w:r>
      <w:r w:rsidR="00E9365F" w:rsidRPr="00D512C1">
        <w:rPr>
          <w:b/>
        </w:rPr>
        <w:t xml:space="preserve"> </w:t>
      </w:r>
      <w:r w:rsidR="002B3609" w:rsidRPr="00D512C1">
        <w:rPr>
          <w:b/>
        </w:rPr>
        <w:t xml:space="preserve">brut mensuel </w:t>
      </w:r>
      <w:r w:rsidR="00E9365F" w:rsidRPr="00D512C1">
        <w:rPr>
          <w:b/>
        </w:rPr>
        <w:t>pour une répartition 60/40</w:t>
      </w:r>
      <w:r w:rsidR="00297D41" w:rsidRPr="00D512C1">
        <w:rPr>
          <w:b/>
        </w:rPr>
        <w:t xml:space="preserve"> et 50/50 au-delà</w:t>
      </w:r>
      <w:r w:rsidR="00E9365F" w:rsidRPr="00D512C1">
        <w:rPr>
          <w:b/>
        </w:rPr>
        <w:t>)</w:t>
      </w:r>
      <w:r w:rsidR="009B232A" w:rsidRPr="00D512C1">
        <w:rPr>
          <w:b/>
        </w:rPr>
        <w:t>.</w:t>
      </w:r>
      <w:r w:rsidR="00541F35" w:rsidRPr="00D512C1">
        <w:t xml:space="preserve"> </w:t>
      </w:r>
    </w:p>
    <w:p w:rsidP="00E07EB6" w:rsidR="00C749D4" w:rsidRDefault="00C749D4" w:rsidRPr="00D512C1">
      <w:pPr>
        <w:tabs>
          <w:tab w:pos="540" w:val="left"/>
        </w:tabs>
        <w:spacing w:before="120"/>
        <w:ind w:right="-108"/>
        <w:jc w:val="both"/>
        <w:rPr>
          <w:rFonts w:ascii="Century Gothic" w:hAnsi="Century Gothic"/>
          <w:b/>
        </w:rPr>
      </w:pPr>
    </w:p>
    <w:p w:rsidP="00E07EB6" w:rsidR="00287782" w:rsidRDefault="00287782" w:rsidRPr="00A12642">
      <w:pPr>
        <w:tabs>
          <w:tab w:pos="540" w:val="left"/>
        </w:tabs>
        <w:spacing w:before="120"/>
        <w:ind w:right="-108"/>
        <w:jc w:val="both"/>
        <w:rPr>
          <w:u w:val="single"/>
        </w:rPr>
      </w:pPr>
      <w:r w:rsidRPr="00A12642">
        <w:rPr>
          <w:rFonts w:ascii="Century Gothic" w:hAnsi="Century Gothic"/>
          <w:b/>
          <w:u w:val="single"/>
        </w:rPr>
        <w:t xml:space="preserve">▪ </w:t>
      </w:r>
      <w:r w:rsidR="00623AF5" w:rsidRPr="00A12642">
        <w:rPr>
          <w:b/>
          <w:sz w:val="20"/>
          <w:szCs w:val="20"/>
          <w:u w:val="single"/>
        </w:rPr>
        <w:t>CHEQUES EMPLOI SERVICE UNIVERSEL</w:t>
      </w:r>
    </w:p>
    <w:p w:rsidP="00C66433" w:rsidR="00287782" w:rsidRDefault="00247A4D">
      <w:pPr>
        <w:tabs>
          <w:tab w:pos="540" w:val="left"/>
        </w:tabs>
        <w:spacing w:before="120"/>
        <w:ind w:right="-108"/>
        <w:jc w:val="both"/>
      </w:pPr>
      <w:r w:rsidRPr="00D512C1">
        <w:tab/>
        <w:t>Le droit au CESU préfinancé est ouvert, sous conditions de ressources, pour la garde d’enfant de moins de 3 ans, à raison de 50 euros par mois.</w:t>
      </w:r>
    </w:p>
    <w:p w:rsidP="00C66433" w:rsidR="00247A4D" w:rsidRDefault="00832A33" w:rsidRPr="00D512C1">
      <w:pPr>
        <w:tabs>
          <w:tab w:pos="540" w:val="left"/>
        </w:tabs>
        <w:spacing w:before="600"/>
        <w:ind w:right="-108"/>
        <w:jc w:val="both"/>
        <w:rPr>
          <w:b/>
        </w:rPr>
      </w:pPr>
      <w:r w:rsidRPr="00D512C1">
        <w:rPr>
          <w:b/>
        </w:rPr>
        <w:t xml:space="preserve">ARTICLE 3 </w:t>
      </w:r>
      <w:r w:rsidR="00471B62" w:rsidRPr="00D512C1">
        <w:rPr>
          <w:b/>
        </w:rPr>
        <w:t>-</w:t>
      </w:r>
      <w:r w:rsidR="00247A4D" w:rsidRPr="00D512C1">
        <w:rPr>
          <w:b/>
        </w:rPr>
        <w:t xml:space="preserve"> </w:t>
      </w:r>
      <w:r w:rsidR="003A6902" w:rsidRPr="00D512C1">
        <w:rPr>
          <w:b/>
        </w:rPr>
        <w:t>EGALITE HOMMES / FEMMES</w:t>
      </w:r>
    </w:p>
    <w:p w:rsidP="00CD5671" w:rsidR="003A2D8E" w:rsidRDefault="00247A4D" w:rsidRPr="00D512C1">
      <w:pPr>
        <w:tabs>
          <w:tab w:pos="540" w:val="left"/>
        </w:tabs>
        <w:spacing w:before="100" w:beforeAutospacing="1"/>
        <w:ind w:right="-108"/>
        <w:jc w:val="both"/>
      </w:pPr>
      <w:r w:rsidRPr="00D512C1">
        <w:tab/>
      </w:r>
      <w:r w:rsidR="00D441C8" w:rsidRPr="00D512C1">
        <w:t xml:space="preserve">Un accord collectif « Egalité Hommes/Femmes » a été </w:t>
      </w:r>
      <w:r w:rsidR="00F87858" w:rsidRPr="00D512C1">
        <w:t>signé entre les Organisations S</w:t>
      </w:r>
      <w:r w:rsidR="00D441C8" w:rsidRPr="00D512C1">
        <w:t xml:space="preserve">yndicales et la </w:t>
      </w:r>
      <w:r w:rsidR="00F87858" w:rsidRPr="00D512C1">
        <w:t>D</w:t>
      </w:r>
      <w:r w:rsidR="00D441C8" w:rsidRPr="00D512C1">
        <w:t xml:space="preserve">irection de l’Office </w:t>
      </w:r>
      <w:r w:rsidR="00F87858" w:rsidRPr="00D512C1">
        <w:t>le 1</w:t>
      </w:r>
      <w:r w:rsidR="002D44A4">
        <w:t>7 novembre 2022</w:t>
      </w:r>
      <w:r w:rsidR="00C749D4" w:rsidRPr="00D512C1">
        <w:t xml:space="preserve"> pour </w:t>
      </w:r>
      <w:r w:rsidR="002D44A4">
        <w:t>4</w:t>
      </w:r>
      <w:r w:rsidR="00C749D4" w:rsidRPr="00D512C1">
        <w:t xml:space="preserve"> ans.</w:t>
      </w:r>
    </w:p>
    <w:p w:rsidP="00CD5671" w:rsidR="00841271" w:rsidRDefault="00DE314F" w:rsidRPr="00D512C1">
      <w:pPr>
        <w:tabs>
          <w:tab w:pos="540" w:val="left"/>
        </w:tabs>
        <w:spacing w:before="100" w:beforeAutospacing="1"/>
        <w:ind w:right="-108"/>
        <w:jc w:val="both"/>
      </w:pPr>
      <w:r w:rsidRPr="00D512C1">
        <w:tab/>
        <w:t>Il confirme l’attachement de l’Office à</w:t>
      </w:r>
      <w:r w:rsidR="00F87858" w:rsidRPr="00D512C1">
        <w:t xml:space="preserve"> la politique d’égalité des chances et de trait</w:t>
      </w:r>
      <w:r w:rsidR="00841271" w:rsidRPr="00D512C1">
        <w:t>ement entre les hommes et les femmes, conformément à l’accord collectif national du 17 novembre 2010</w:t>
      </w:r>
      <w:r w:rsidR="00612477" w:rsidRPr="00D512C1">
        <w:t xml:space="preserve"> et l’avenant n° 6 du 28 octobre 2020.</w:t>
      </w:r>
    </w:p>
    <w:p w:rsidP="00CD5671" w:rsidR="00841271" w:rsidRDefault="00841271" w:rsidRPr="00D512C1">
      <w:pPr>
        <w:tabs>
          <w:tab w:pos="540" w:val="left"/>
        </w:tabs>
        <w:spacing w:before="100" w:beforeAutospacing="1"/>
        <w:ind w:right="-108"/>
        <w:jc w:val="both"/>
      </w:pPr>
      <w:r w:rsidRPr="00D512C1">
        <w:tab/>
        <w:t>Il rappelle le principe d’égalité de rémunération à poste, parcours et résultats professionnels comparables.</w:t>
      </w:r>
    </w:p>
    <w:p w:rsidP="00CD5671" w:rsidR="00841271" w:rsidRDefault="00841271" w:rsidRPr="00D512C1">
      <w:pPr>
        <w:tabs>
          <w:tab w:pos="540" w:val="left"/>
        </w:tabs>
        <w:spacing w:before="100" w:beforeAutospacing="1"/>
        <w:ind w:right="-108"/>
        <w:jc w:val="both"/>
      </w:pPr>
      <w:r w:rsidRPr="00D512C1">
        <w:tab/>
        <w:t>Il garantit l’égalité de traitement en matière de recrutement et d’évolution professionnelle</w:t>
      </w:r>
      <w:r w:rsidR="00783E1C" w:rsidRPr="00D512C1">
        <w:t>,</w:t>
      </w:r>
      <w:r w:rsidRPr="00D512C1">
        <w:t xml:space="preserve"> par le respect des mêmes critères objectifs de sélection</w:t>
      </w:r>
      <w:r w:rsidR="00541114" w:rsidRPr="00D512C1">
        <w:t xml:space="preserve"> afin que le choix ne</w:t>
      </w:r>
      <w:r w:rsidR="00572309" w:rsidRPr="00D512C1">
        <w:t xml:space="preserve"> résulte</w:t>
      </w:r>
      <w:r w:rsidR="00541114" w:rsidRPr="00D512C1">
        <w:t xml:space="preserve"> que de l’adéquation</w:t>
      </w:r>
      <w:r w:rsidRPr="00D512C1">
        <w:t xml:space="preserve"> entre le profil du candidat ou de la candidate au regard de sa formation, son expérience professionnelle et ses compétences et les critères requis pour le poste.</w:t>
      </w:r>
    </w:p>
    <w:p w:rsidP="00CD5671" w:rsidR="003F6491" w:rsidRDefault="00C75A94" w:rsidRPr="00D512C1">
      <w:pPr>
        <w:tabs>
          <w:tab w:pos="540" w:val="left"/>
        </w:tabs>
        <w:spacing w:before="100" w:beforeAutospacing="1"/>
        <w:ind w:right="-108"/>
        <w:jc w:val="both"/>
      </w:pPr>
      <w:r w:rsidRPr="00D512C1">
        <w:tab/>
      </w:r>
      <w:r w:rsidR="003F6491" w:rsidRPr="00D512C1">
        <w:t xml:space="preserve">Un rapport sur la situation comparée des hommes et des femmes a été présenté au comité </w:t>
      </w:r>
      <w:r w:rsidR="002B3609" w:rsidRPr="00D512C1">
        <w:t>social et économique</w:t>
      </w:r>
      <w:r w:rsidR="003F6491" w:rsidRPr="00D512C1">
        <w:t xml:space="preserve"> lors de sa réunion </w:t>
      </w:r>
      <w:r w:rsidR="001E6089" w:rsidRPr="00D512C1">
        <w:t xml:space="preserve">du </w:t>
      </w:r>
      <w:r w:rsidR="00D51297" w:rsidRPr="00D512C1">
        <w:t>2</w:t>
      </w:r>
      <w:r w:rsidR="002D44A4">
        <w:t>5</w:t>
      </w:r>
      <w:r w:rsidR="00D51297" w:rsidRPr="00D512C1">
        <w:t xml:space="preserve"> mars 202</w:t>
      </w:r>
      <w:r w:rsidR="002D44A4">
        <w:t>2</w:t>
      </w:r>
      <w:r w:rsidR="003F6491" w:rsidRPr="00D512C1">
        <w:t>.</w:t>
      </w:r>
    </w:p>
    <w:p w:rsidP="00CD5671" w:rsidR="00CD5671" w:rsidRDefault="00841271" w:rsidRPr="00D512C1">
      <w:pPr>
        <w:tabs>
          <w:tab w:pos="540" w:val="left"/>
        </w:tabs>
        <w:spacing w:before="100" w:beforeAutospacing="1"/>
        <w:ind w:right="-108"/>
        <w:jc w:val="both"/>
      </w:pPr>
      <w:r w:rsidRPr="00D512C1">
        <w:tab/>
        <w:t>Les parties conviennent que sur l’ensemble des points évoqués, l’égalité est globalement respectée.</w:t>
      </w:r>
    </w:p>
    <w:p w:rsidP="00CD5671" w:rsidR="00C75A94" w:rsidRDefault="00A72724" w:rsidRPr="00D512C1">
      <w:pPr>
        <w:tabs>
          <w:tab w:pos="540" w:val="left"/>
        </w:tabs>
        <w:spacing w:before="100" w:beforeAutospacing="1"/>
        <w:ind w:right="-108"/>
        <w:jc w:val="both"/>
      </w:pPr>
      <w:r w:rsidRPr="00D512C1">
        <w:tab/>
        <w:t xml:space="preserve">L’index égalité hommes/femmes affiche un </w:t>
      </w:r>
      <w:r w:rsidR="002B3609" w:rsidRPr="00D512C1">
        <w:t xml:space="preserve">excellent </w:t>
      </w:r>
      <w:r w:rsidR="00D2023A" w:rsidRPr="00D512C1">
        <w:t xml:space="preserve">résultat de </w:t>
      </w:r>
      <w:r w:rsidR="00D2023A" w:rsidRPr="00916795">
        <w:t>9</w:t>
      </w:r>
      <w:r w:rsidR="00916795" w:rsidRPr="00916795">
        <w:t>8</w:t>
      </w:r>
      <w:r w:rsidRPr="00916795">
        <w:t>/100</w:t>
      </w:r>
      <w:r w:rsidR="002B3609" w:rsidRPr="00916795">
        <w:t>.</w:t>
      </w:r>
      <w:r w:rsidR="002B3609" w:rsidRPr="00D512C1">
        <w:t xml:space="preserve"> Cet index s</w:t>
      </w:r>
      <w:r w:rsidRPr="00D512C1">
        <w:t xml:space="preserve">era communiqué </w:t>
      </w:r>
      <w:r w:rsidR="002B3609" w:rsidRPr="00D512C1">
        <w:t xml:space="preserve">conformément à la réglementation en vigueur </w:t>
      </w:r>
      <w:r w:rsidRPr="00D512C1">
        <w:t xml:space="preserve">à la </w:t>
      </w:r>
      <w:r w:rsidR="00283CBB" w:rsidRPr="00D512C1">
        <w:t>DREETS</w:t>
      </w:r>
      <w:r w:rsidRPr="00D512C1">
        <w:t xml:space="preserve"> pour le 1</w:t>
      </w:r>
      <w:r w:rsidRPr="00D512C1">
        <w:rPr>
          <w:vertAlign w:val="superscript"/>
        </w:rPr>
        <w:t>er</w:t>
      </w:r>
      <w:r w:rsidRPr="00D512C1">
        <w:t xml:space="preserve"> mars 202</w:t>
      </w:r>
      <w:r w:rsidR="00447A74">
        <w:t>3</w:t>
      </w:r>
      <w:r w:rsidR="002B3609" w:rsidRPr="00D512C1">
        <w:t xml:space="preserve"> au plus tard et sera publié sur le site Internet d’ORNE HABITAT.</w:t>
      </w:r>
      <w:r w:rsidRPr="00D512C1">
        <w:t xml:space="preserve"> </w:t>
      </w:r>
    </w:p>
    <w:p w:rsidP="009C23F1" w:rsidR="009C23F1" w:rsidRDefault="009C23F1" w:rsidRPr="00D512C1">
      <w:pPr>
        <w:tabs>
          <w:tab w:pos="540" w:val="left"/>
        </w:tabs>
        <w:spacing w:before="100" w:beforeAutospacing="1"/>
        <w:ind w:right="-108"/>
        <w:jc w:val="both"/>
        <w:rPr>
          <w:b/>
        </w:rPr>
      </w:pPr>
      <w:r w:rsidRPr="00D512C1">
        <w:rPr>
          <w:b/>
        </w:rPr>
        <w:t>ARTICLE 4 – QUALITE DE VIE AU TRAVAIL – DROIT A LA DECONNEXION</w:t>
      </w:r>
    </w:p>
    <w:p w:rsidP="00C75A94" w:rsidR="00447A74" w:rsidRDefault="00447A74">
      <w:pPr>
        <w:spacing w:after="200" w:line="276" w:lineRule="auto"/>
        <w:ind w:firstLine="708"/>
        <w:jc w:val="both"/>
      </w:pPr>
    </w:p>
    <w:p w:rsidP="00C75A94" w:rsidR="000A108A" w:rsidRDefault="000A108A" w:rsidRPr="00D512C1">
      <w:pPr>
        <w:spacing w:after="200" w:line="276" w:lineRule="auto"/>
        <w:ind w:firstLine="708"/>
        <w:jc w:val="both"/>
      </w:pPr>
      <w:r w:rsidRPr="00D512C1">
        <w:t>La bonne articulation entre vie professionnelle et vie privée est une condition majeure de la réussite de la transformation numérique, pour que celle-ci puisse réellement permettre une am</w:t>
      </w:r>
      <w:r w:rsidR="009B232A" w:rsidRPr="00D512C1">
        <w:t>élioration de la qualité de vie et une préservation de la santé.</w:t>
      </w:r>
    </w:p>
    <w:p w:rsidP="00C75A94" w:rsidR="000A108A" w:rsidRDefault="000A108A" w:rsidRPr="00D512C1">
      <w:pPr>
        <w:spacing w:after="200" w:line="276" w:lineRule="auto"/>
        <w:ind w:firstLine="708"/>
        <w:jc w:val="both"/>
      </w:pPr>
      <w:r w:rsidRPr="00D512C1">
        <w:t xml:space="preserve">C’est pourquoi, ORNE HABITAT veut faire du droit à la déconnexion, un devoir de déconnexion. Toutefois, savoir se déconnecter est une </w:t>
      </w:r>
      <w:r w:rsidR="002D795D" w:rsidRPr="00D512C1">
        <w:t>disposition qui s’acquiert</w:t>
      </w:r>
      <w:r w:rsidRPr="00D512C1">
        <w:t xml:space="preserve"> à un niveau individuel mais qui a besoin d’être soutenue par l’entreprise.</w:t>
      </w:r>
    </w:p>
    <w:p w:rsidP="00C75A94" w:rsidR="000A108A" w:rsidRDefault="000A108A" w:rsidRPr="00D512C1">
      <w:pPr>
        <w:spacing w:after="200" w:line="276" w:lineRule="auto"/>
        <w:ind w:firstLine="708"/>
        <w:jc w:val="both"/>
      </w:pPr>
      <w:r w:rsidRPr="00D512C1">
        <w:t>ORNE HABITAT s’engage donc :</w:t>
      </w:r>
    </w:p>
    <w:p w:rsidP="000A108A" w:rsidR="000A108A" w:rsidRDefault="000A108A" w:rsidRPr="00D512C1">
      <w:pPr>
        <w:numPr>
          <w:ilvl w:val="0"/>
          <w:numId w:val="19"/>
        </w:numPr>
        <w:spacing w:after="200" w:line="276" w:lineRule="auto"/>
        <w:contextualSpacing/>
        <w:jc w:val="both"/>
      </w:pPr>
      <w:r w:rsidRPr="00D512C1">
        <w:t>A former les salariés et manager sur le bon usage des outils numériques</w:t>
      </w:r>
      <w:r w:rsidR="0005458D" w:rsidRPr="00D512C1">
        <w:t>,</w:t>
      </w:r>
    </w:p>
    <w:p w:rsidP="000A108A" w:rsidR="00C75A94" w:rsidRDefault="000A108A" w:rsidRPr="00D512C1">
      <w:pPr>
        <w:numPr>
          <w:ilvl w:val="0"/>
          <w:numId w:val="19"/>
        </w:numPr>
        <w:spacing w:after="200" w:line="276" w:lineRule="auto"/>
        <w:contextualSpacing/>
        <w:jc w:val="both"/>
      </w:pPr>
      <w:r w:rsidRPr="00D512C1">
        <w:t>A sensibiliser l’ensemble des salariés sur leur droit à la déconnexion</w:t>
      </w:r>
      <w:r w:rsidR="0005458D" w:rsidRPr="00D512C1">
        <w:t>.</w:t>
      </w:r>
    </w:p>
    <w:p w:rsidP="00C75A94" w:rsidR="00C75A94" w:rsidRDefault="00C75A94" w:rsidRPr="00D512C1">
      <w:pPr>
        <w:spacing w:after="200" w:line="276" w:lineRule="auto"/>
        <w:contextualSpacing/>
        <w:jc w:val="both"/>
      </w:pPr>
    </w:p>
    <w:p w:rsidP="00C75A94" w:rsidR="000A108A" w:rsidRDefault="000A108A" w:rsidRPr="00D512C1">
      <w:pPr>
        <w:spacing w:after="200" w:line="276" w:lineRule="auto"/>
        <w:ind w:firstLine="360"/>
        <w:contextualSpacing/>
        <w:jc w:val="both"/>
      </w:pPr>
      <w:r w:rsidRPr="00D512C1">
        <w:t xml:space="preserve">ORNE HABITAT affirme qu’en dehors des horaires de travail et dans tous les cas après 20h00 en semaine, week-end ou pendant la période de congés </w:t>
      </w:r>
      <w:r w:rsidR="009B232A" w:rsidRPr="00D512C1">
        <w:t>ou toutes autres absences du destinataire</w:t>
      </w:r>
      <w:r w:rsidR="00CF4254" w:rsidRPr="00D512C1">
        <w:t xml:space="preserve">, </w:t>
      </w:r>
      <w:r w:rsidRPr="00D512C1">
        <w:t>les courriels ne seront pas présumés être lus.</w:t>
      </w:r>
    </w:p>
    <w:p w:rsidP="00C75A94" w:rsidR="00C75A94" w:rsidRDefault="00C75A94" w:rsidRPr="00D512C1">
      <w:pPr>
        <w:spacing w:after="200" w:line="276" w:lineRule="auto"/>
        <w:ind w:firstLine="360"/>
        <w:contextualSpacing/>
        <w:jc w:val="both"/>
      </w:pPr>
    </w:p>
    <w:p w:rsidP="00EA208D" w:rsidR="00C75A94" w:rsidRDefault="000A108A">
      <w:pPr>
        <w:spacing w:after="200" w:line="276" w:lineRule="auto"/>
        <w:ind w:firstLine="708"/>
      </w:pPr>
      <w:r w:rsidRPr="00D512C1">
        <w:t xml:space="preserve">De plus, ORNE HABITAT rappelle </w:t>
      </w:r>
      <w:r w:rsidR="00C75A94" w:rsidRPr="00D512C1">
        <w:t>les règles de bonne pratique de l’utilisation des messageries conformément à la charte informatique annexée au règlement intérieur.</w:t>
      </w:r>
    </w:p>
    <w:p w:rsidP="00EA208D" w:rsidR="009D5D96" w:rsidRDefault="009D5D96">
      <w:pPr>
        <w:spacing w:before="240"/>
        <w:ind w:firstLine="709"/>
        <w:jc w:val="both"/>
      </w:pPr>
      <w:r w:rsidRPr="003F492F">
        <w:t>L’accord télétravail signé le 24 juin 2021, vise en particulier la conciliation vie professionnelle et familiale, la limitation des temps de trajets, la démarche de diversité et d’égalité professionnelle, l'accès et le maintien dans l'emploi des travailleurs en situation de handicap et le développement durable.</w:t>
      </w:r>
    </w:p>
    <w:p w:rsidP="00EA208D" w:rsidR="00EA208D" w:rsidRDefault="00EA208D">
      <w:pPr>
        <w:spacing w:before="240"/>
        <w:ind w:firstLine="709"/>
        <w:jc w:val="both"/>
      </w:pPr>
      <w:r>
        <w:t xml:space="preserve">Un accord de méthode sur la Qualité de vie au travail, signé le 24 juin 2021 également, confirme la volonté de l’Office de veiller à la qualité de vie au travail de ses collaborateurs. </w:t>
      </w:r>
    </w:p>
    <w:p w:rsidP="00EA208D" w:rsidR="00EA208D" w:rsidRDefault="00EA208D">
      <w:pPr>
        <w:spacing w:before="120"/>
        <w:ind w:firstLine="709"/>
        <w:jc w:val="both"/>
      </w:pPr>
      <w:r>
        <w:t xml:space="preserve">Cet accord a été </w:t>
      </w:r>
      <w:proofErr w:type="spellStart"/>
      <w:r>
        <w:t>co</w:t>
      </w:r>
      <w:proofErr w:type="spellEnd"/>
      <w:r>
        <w:t xml:space="preserve">-construit avec les délégués syndicaux et deux groupes de travail composés de salariés de l’entreprise : un groupe sur le thème du télétravail et un autre sur le thème de la QVT. </w:t>
      </w:r>
    </w:p>
    <w:p w:rsidP="00EA208D" w:rsidR="00EA208D" w:rsidRDefault="00EA208D">
      <w:pPr>
        <w:spacing w:before="120"/>
        <w:ind w:firstLine="709"/>
        <w:jc w:val="both"/>
      </w:pPr>
      <w:r>
        <w:t xml:space="preserve">Cet accord permet de cadrer de manière souple les différentes étapes de la démarche. Il a notamment pour vertu d’aider à concevoir et valider de manière concertée la démarche QVT, de préciser les modalités d’évaluation de la démarche dès l’amont, de favoriser la réflexion collective sur ce qu’est « la qualité de vie au travail » dans l’Office, ou encore d’ouvrir des pistes d’action ou des alternatives organisationnelles. </w:t>
      </w:r>
    </w:p>
    <w:p w:rsidP="00EA208D" w:rsidR="00EA208D" w:rsidRDefault="00EA208D" w:rsidRPr="001060F2">
      <w:pPr>
        <w:spacing w:before="120"/>
        <w:ind w:firstLine="709"/>
        <w:jc w:val="both"/>
      </w:pPr>
      <w:r>
        <w:t xml:space="preserve">Cet accord favorisera l’adaptation et la sécurisation du processus du calendrier prévu, il renforcera le dialogue social et l’anticipation de l’action et de ses effets. </w:t>
      </w:r>
    </w:p>
    <w:p w:rsidP="00EA208D" w:rsidR="00EA208D" w:rsidRDefault="00EA208D" w:rsidRPr="000177B6">
      <w:pPr>
        <w:spacing w:before="120"/>
        <w:ind w:firstLine="709"/>
        <w:jc w:val="both"/>
      </w:pPr>
      <w:r w:rsidRPr="000177B6">
        <w:t>La qualité de vie au travail désigne et regroupe sous un même intitulé les actions qui permettent de concilier à la fois l’amélioration des conditions de travail pour les salariés et la performance globale de</w:t>
      </w:r>
      <w:r>
        <w:t xml:space="preserve"> l’</w:t>
      </w:r>
      <w:r w:rsidRPr="000177B6">
        <w:t xml:space="preserve">entreprise, d’autant plus quand </w:t>
      </w:r>
      <w:r>
        <w:t>son</w:t>
      </w:r>
      <w:r w:rsidRPr="000177B6">
        <w:t xml:space="preserve"> </w:t>
      </w:r>
      <w:r>
        <w:t>organisation se transforme.</w:t>
      </w:r>
    </w:p>
    <w:p w:rsidP="00EA208D" w:rsidR="00EA208D" w:rsidRDefault="00EA208D" w:rsidRPr="000177B6">
      <w:pPr>
        <w:spacing w:before="120"/>
        <w:ind w:firstLine="709"/>
        <w:jc w:val="both"/>
      </w:pPr>
      <w:r w:rsidRPr="000177B6">
        <w:t>La qualité de vie au travail peut se concevoir comme un sentiment de bien-être au travail perçu collectivement et individuellement qui englobe l’ambiance, la culture de l’entreprise,</w:t>
      </w:r>
      <w:r>
        <w:t xml:space="preserve"> </w:t>
      </w:r>
      <w:r w:rsidRPr="000177B6">
        <w:t>l’intérêt du travail, les conditions de travail, le sentiment d’implication, le degré d’autonomie et de responsabilisation, l’égalité, un droit à l’erreur accordé à chacun, une reconnaissance et une valorisation du travail effect</w:t>
      </w:r>
      <w:r>
        <w:t>ué.</w:t>
      </w:r>
    </w:p>
    <w:p w:rsidP="00EA208D" w:rsidR="00EA208D" w:rsidRDefault="00EA208D">
      <w:pPr>
        <w:spacing w:before="120"/>
        <w:ind w:firstLine="709"/>
        <w:jc w:val="both"/>
      </w:pPr>
      <w:r w:rsidRPr="000177B6">
        <w:t>Les conditions dans lesquelles les salariés exercent leur travail et leur capacité à s’exprimer et à agir sur le contenu de celui-ci déterminent la perception de la qualité de</w:t>
      </w:r>
      <w:r>
        <w:t xml:space="preserve"> vie au travail qui en résulte.</w:t>
      </w:r>
    </w:p>
    <w:p w:rsidP="00EA208D" w:rsidR="00EA208D" w:rsidRDefault="00EA208D">
      <w:pPr>
        <w:spacing w:before="120"/>
        <w:ind w:firstLine="708"/>
        <w:jc w:val="both"/>
      </w:pPr>
      <w:r w:rsidRPr="00274C35">
        <w:t xml:space="preserve">Cette négociation a donné lieu à </w:t>
      </w:r>
      <w:r>
        <w:t>1 réunion</w:t>
      </w:r>
      <w:r w:rsidRPr="00274C35">
        <w:t xml:space="preserve"> qui </w:t>
      </w:r>
      <w:r>
        <w:t xml:space="preserve">s’est </w:t>
      </w:r>
      <w:r w:rsidRPr="00EA0DB4">
        <w:t xml:space="preserve">tenue le </w:t>
      </w:r>
      <w:r>
        <w:t>3 juin 2021.</w:t>
      </w:r>
    </w:p>
    <w:p w:rsidP="00EA208D" w:rsidR="00EA208D" w:rsidRDefault="00EA208D">
      <w:pPr>
        <w:spacing w:before="120"/>
        <w:ind w:firstLine="708"/>
        <w:jc w:val="both"/>
      </w:pPr>
      <w:r w:rsidRPr="00EA0DB4">
        <w:t>Le projet d’accord de méthode a recueilli l’avis unanime du CSE le 23 juin 2021.</w:t>
      </w:r>
    </w:p>
    <w:p w:rsidP="00EA208D" w:rsidR="00EA208D" w:rsidRDefault="00EA208D" w:rsidRPr="00EA0DB4">
      <w:pPr>
        <w:spacing w:before="120"/>
        <w:ind w:firstLine="708"/>
        <w:jc w:val="both"/>
      </w:pPr>
    </w:p>
    <w:p w:rsidP="00C75A94" w:rsidR="008C1121" w:rsidRDefault="008C1121" w:rsidRPr="00D512C1">
      <w:pPr>
        <w:spacing w:after="200" w:line="276" w:lineRule="auto"/>
      </w:pPr>
      <w:r w:rsidRPr="00D512C1">
        <w:rPr>
          <w:b/>
        </w:rPr>
        <w:t xml:space="preserve">ARTICLE </w:t>
      </w:r>
      <w:r w:rsidR="009C23F1" w:rsidRPr="00D512C1">
        <w:rPr>
          <w:b/>
        </w:rPr>
        <w:t>5</w:t>
      </w:r>
      <w:r w:rsidRPr="00D512C1">
        <w:t xml:space="preserve"> </w:t>
      </w:r>
      <w:r w:rsidR="00471B62" w:rsidRPr="00D512C1">
        <w:t>-</w:t>
      </w:r>
      <w:r w:rsidRPr="00D512C1">
        <w:rPr>
          <w:rFonts w:ascii="Century Gothic" w:hAnsi="Century Gothic"/>
          <w:b/>
        </w:rPr>
        <w:t xml:space="preserve"> </w:t>
      </w:r>
      <w:r w:rsidRPr="00D512C1">
        <w:rPr>
          <w:b/>
        </w:rPr>
        <w:t>EMPLOI DES SENIORS</w:t>
      </w:r>
    </w:p>
    <w:p w:rsidP="00C66433" w:rsidR="008C1121" w:rsidRDefault="008C1121" w:rsidRPr="00D512C1">
      <w:pPr>
        <w:tabs>
          <w:tab w:pos="540" w:val="left"/>
        </w:tabs>
        <w:spacing w:before="120"/>
        <w:ind w:right="-108"/>
        <w:jc w:val="both"/>
      </w:pPr>
      <w:r w:rsidRPr="00D512C1">
        <w:rPr>
          <w:b/>
        </w:rPr>
        <w:tab/>
      </w:r>
      <w:r w:rsidRPr="00D512C1">
        <w:t xml:space="preserve">Conformément à l’accord national conclu le 21 octobre 2009 entre la fédération des </w:t>
      </w:r>
      <w:r w:rsidR="00CC4461" w:rsidRPr="00D512C1">
        <w:t>O</w:t>
      </w:r>
      <w:r w:rsidRPr="00D512C1">
        <w:t xml:space="preserve">ffices publics de l’habitat et les organisations syndicales, </w:t>
      </w:r>
      <w:r w:rsidR="00731EBF" w:rsidRPr="00D512C1">
        <w:t>l</w:t>
      </w:r>
      <w:r w:rsidRPr="00D512C1">
        <w:t>es signataires s’engagent à :</w:t>
      </w:r>
    </w:p>
    <w:p w:rsidP="00C66433" w:rsidR="008C1121" w:rsidRDefault="004B66D1" w:rsidRPr="00D512C1">
      <w:pPr>
        <w:numPr>
          <w:ilvl w:val="0"/>
          <w:numId w:val="17"/>
        </w:numPr>
        <w:tabs>
          <w:tab w:pos="540" w:val="left"/>
        </w:tabs>
        <w:spacing w:before="120"/>
        <w:ind w:right="-108"/>
        <w:jc w:val="both"/>
      </w:pPr>
      <w:r w:rsidRPr="00D512C1">
        <w:t>D</w:t>
      </w:r>
      <w:r w:rsidR="008C1121" w:rsidRPr="00D512C1">
        <w:t>évelopper les compétences et l’accès à la formation :</w:t>
      </w:r>
    </w:p>
    <w:p w:rsidP="00C66433" w:rsidR="008C1121" w:rsidRDefault="004B66D1" w:rsidRPr="00D512C1">
      <w:pPr>
        <w:tabs>
          <w:tab w:pos="540" w:val="left"/>
        </w:tabs>
        <w:spacing w:before="120"/>
        <w:ind w:right="-108"/>
        <w:jc w:val="both"/>
      </w:pPr>
      <w:r w:rsidRPr="00D512C1">
        <w:tab/>
        <w:t>Les</w:t>
      </w:r>
      <w:r w:rsidR="008C1121" w:rsidRPr="00D512C1">
        <w:t xml:space="preserve"> personnels de plus de 55 ans volontaires pourront bénéficier d’actions de formation visant à maintenir leurs qualifications et développer de nouvelles compétences en fonction de l’évolution des métiers et technologies.</w:t>
      </w:r>
    </w:p>
    <w:p w:rsidP="00C66433" w:rsidR="00B6276C" w:rsidRDefault="00B6276C" w:rsidRPr="00D512C1">
      <w:pPr>
        <w:tabs>
          <w:tab w:pos="540" w:val="left"/>
        </w:tabs>
        <w:spacing w:before="120"/>
        <w:ind w:right="-108"/>
        <w:jc w:val="both"/>
      </w:pPr>
    </w:p>
    <w:p w:rsidP="007A5D0C" w:rsidR="004B66D1" w:rsidRDefault="004B66D1" w:rsidRPr="00D512C1">
      <w:pPr>
        <w:numPr>
          <w:ilvl w:val="0"/>
          <w:numId w:val="17"/>
        </w:numPr>
        <w:tabs>
          <w:tab w:pos="540" w:val="left"/>
        </w:tabs>
        <w:ind w:right="-108"/>
        <w:jc w:val="both"/>
      </w:pPr>
      <w:r w:rsidRPr="00D512C1">
        <w:t>Améliorer les conditions de travail et la prévention des situations de pénibilité :</w:t>
      </w:r>
    </w:p>
    <w:p w:rsidP="00C66433" w:rsidR="004B66D1" w:rsidRDefault="00EA05B9" w:rsidRPr="00D512C1">
      <w:pPr>
        <w:tabs>
          <w:tab w:pos="540" w:val="left"/>
        </w:tabs>
        <w:spacing w:before="120"/>
        <w:ind w:right="-108"/>
        <w:jc w:val="both"/>
      </w:pPr>
      <w:r w:rsidRPr="00D512C1">
        <w:tab/>
      </w:r>
      <w:r w:rsidR="004B66D1" w:rsidRPr="00D512C1">
        <w:t>Des actions prioritaires seront mises en place pour les salariés de plus de 55 ans affectés</w:t>
      </w:r>
      <w:r w:rsidRPr="00D512C1">
        <w:t xml:space="preserve"> à des postes pénibles</w:t>
      </w:r>
      <w:r w:rsidR="00731EBF" w:rsidRPr="00D512C1">
        <w:t>,</w:t>
      </w:r>
      <w:r w:rsidRPr="00D512C1">
        <w:t xml:space="preserve"> tels que les agents d’entretien et les gardiens, avec des aménagements de poste ou changement de secteur.</w:t>
      </w:r>
    </w:p>
    <w:p w:rsidP="00C66433" w:rsidR="00B6276C" w:rsidRDefault="00B6276C" w:rsidRPr="00D512C1">
      <w:pPr>
        <w:tabs>
          <w:tab w:pos="540" w:val="left"/>
        </w:tabs>
        <w:spacing w:before="120"/>
        <w:ind w:right="-108"/>
        <w:jc w:val="both"/>
      </w:pPr>
    </w:p>
    <w:p w:rsidP="007A5D0C" w:rsidR="00EA05B9" w:rsidRDefault="00EA05B9" w:rsidRPr="00D512C1">
      <w:pPr>
        <w:numPr>
          <w:ilvl w:val="0"/>
          <w:numId w:val="17"/>
        </w:numPr>
        <w:tabs>
          <w:tab w:pos="540" w:val="left"/>
        </w:tabs>
        <w:ind w:right="-108"/>
        <w:jc w:val="both"/>
      </w:pPr>
      <w:r w:rsidRPr="00D512C1">
        <w:t>Anticiper l’évolution des carrières professionnelles :</w:t>
      </w:r>
    </w:p>
    <w:p w:rsidP="00EA05B9" w:rsidR="00D85D70" w:rsidRDefault="00EA05B9" w:rsidRPr="00D512C1">
      <w:pPr>
        <w:tabs>
          <w:tab w:pos="540" w:val="left"/>
        </w:tabs>
        <w:spacing w:before="240"/>
        <w:ind w:right="-108"/>
        <w:jc w:val="both"/>
      </w:pPr>
      <w:r w:rsidRPr="00D512C1">
        <w:tab/>
        <w:t xml:space="preserve">Les entretiens </w:t>
      </w:r>
      <w:r w:rsidR="00541F35" w:rsidRPr="00D512C1">
        <w:t xml:space="preserve">professionnels </w:t>
      </w:r>
      <w:r w:rsidRPr="00D512C1">
        <w:t>s</w:t>
      </w:r>
      <w:r w:rsidR="00541F35" w:rsidRPr="00D512C1">
        <w:t>eront</w:t>
      </w:r>
      <w:r w:rsidRPr="00D512C1">
        <w:t xml:space="preserve"> utilisés pour détecter au plus tôt les souhaits d’évolution de carrièr</w:t>
      </w:r>
      <w:r w:rsidR="007A5D0C" w:rsidRPr="00D512C1">
        <w:t>e des salariés</w:t>
      </w:r>
      <w:r w:rsidRPr="00D512C1">
        <w:t>.</w:t>
      </w:r>
    </w:p>
    <w:p w:rsidP="00EA05B9" w:rsidR="003A2D8E" w:rsidRDefault="00C75A94" w:rsidRPr="00D512C1">
      <w:pPr>
        <w:tabs>
          <w:tab w:pos="540" w:val="left"/>
        </w:tabs>
        <w:spacing w:before="240"/>
        <w:ind w:right="-108"/>
        <w:jc w:val="both"/>
      </w:pPr>
      <w:r w:rsidRPr="00D512C1">
        <w:tab/>
      </w:r>
      <w:r w:rsidR="00EA05B9" w:rsidRPr="00D512C1">
        <w:t>Compte tenu de la pyramide des âges et des dép</w:t>
      </w:r>
      <w:r w:rsidR="00CF345C" w:rsidRPr="00D512C1">
        <w:t>arts à la retraite à prévoir dans</w:t>
      </w:r>
      <w:r w:rsidR="00EA05B9" w:rsidRPr="00D512C1">
        <w:t xml:space="preserve"> les années à venir, il est important de conserver les savoirs et compétences et d’organiser leur tr</w:t>
      </w:r>
      <w:r w:rsidR="00CF345C" w:rsidRPr="00D512C1">
        <w:t xml:space="preserve">ansmission par un système de </w:t>
      </w:r>
      <w:r w:rsidR="00D85D70" w:rsidRPr="00D512C1">
        <w:t>« </w:t>
      </w:r>
      <w:r w:rsidR="00B166A9" w:rsidRPr="00D512C1">
        <w:t>tuilage</w:t>
      </w:r>
      <w:r w:rsidR="00D85D70" w:rsidRPr="00D512C1">
        <w:t> »</w:t>
      </w:r>
      <w:r w:rsidR="00CF345C" w:rsidRPr="00D512C1">
        <w:t xml:space="preserve"> </w:t>
      </w:r>
      <w:r w:rsidR="00EA05B9" w:rsidRPr="00D512C1">
        <w:t>dont la durée varie en fonction du poste occupé.</w:t>
      </w:r>
    </w:p>
    <w:p w:rsidP="00C66433" w:rsidR="00E42135" w:rsidRDefault="00832A33" w:rsidRPr="00D512C1">
      <w:pPr>
        <w:tabs>
          <w:tab w:pos="540" w:val="left"/>
        </w:tabs>
        <w:spacing w:before="600"/>
        <w:ind w:right="-108"/>
        <w:jc w:val="both"/>
        <w:rPr>
          <w:b/>
        </w:rPr>
      </w:pPr>
      <w:r w:rsidRPr="00D512C1">
        <w:rPr>
          <w:b/>
        </w:rPr>
        <w:t xml:space="preserve">ARTICLE </w:t>
      </w:r>
      <w:r w:rsidR="009C23F1" w:rsidRPr="00D512C1">
        <w:rPr>
          <w:b/>
        </w:rPr>
        <w:t>6</w:t>
      </w:r>
      <w:r w:rsidRPr="00D512C1">
        <w:t xml:space="preserve"> </w:t>
      </w:r>
      <w:r w:rsidR="00C75A94" w:rsidRPr="00D512C1">
        <w:t>–</w:t>
      </w:r>
      <w:r w:rsidR="00E42135" w:rsidRPr="00D512C1">
        <w:rPr>
          <w:rFonts w:ascii="Century Gothic" w:hAnsi="Century Gothic"/>
          <w:b/>
        </w:rPr>
        <w:t xml:space="preserve"> </w:t>
      </w:r>
      <w:r w:rsidR="00EB555D" w:rsidRPr="00D512C1">
        <w:rPr>
          <w:b/>
        </w:rPr>
        <w:t>ACCORD</w:t>
      </w:r>
      <w:r w:rsidR="00C75A94" w:rsidRPr="00D512C1">
        <w:rPr>
          <w:b/>
        </w:rPr>
        <w:t xml:space="preserve"> DE PREVOYANCE ET COMPLEMENTAIRE SANTE</w:t>
      </w:r>
    </w:p>
    <w:p w:rsidP="00816720" w:rsidR="00816720" w:rsidRDefault="00816720" w:rsidRPr="00D512C1">
      <w:pPr>
        <w:tabs>
          <w:tab w:pos="540" w:val="left"/>
        </w:tabs>
        <w:spacing w:before="120"/>
        <w:ind w:firstLine="539" w:right="-108"/>
        <w:jc w:val="both"/>
        <w:rPr>
          <w:szCs w:val="22"/>
        </w:rPr>
      </w:pPr>
      <w:r w:rsidRPr="00D512C1">
        <w:rPr>
          <w:szCs w:val="22"/>
        </w:rPr>
        <w:t xml:space="preserve">Un nouvel appel d’offres a été lancé pour le renouvellement de nos contrats pour </w:t>
      </w:r>
      <w:r w:rsidRPr="00D512C1">
        <w:rPr>
          <w:szCs w:val="22"/>
        </w:rPr>
        <w:br/>
        <w:t>6 ans à compter du 1</w:t>
      </w:r>
      <w:r w:rsidRPr="00D512C1">
        <w:rPr>
          <w:szCs w:val="22"/>
          <w:vertAlign w:val="superscript"/>
        </w:rPr>
        <w:t>er</w:t>
      </w:r>
      <w:r w:rsidRPr="00D512C1">
        <w:rPr>
          <w:szCs w:val="22"/>
        </w:rPr>
        <w:t xml:space="preserve"> janvier 2020 et un nouvel accord collectif d’entreprise mutuelle et un nouvel accord collectif pour la prévoyance  pour les salariés de droit privé ont été signé le 25 novembre 2019. </w:t>
      </w:r>
    </w:p>
    <w:p w:rsidP="00816720" w:rsidR="00624728" w:rsidRDefault="00816720" w:rsidRPr="00D512C1">
      <w:pPr>
        <w:pStyle w:val="TEXTE0"/>
        <w:ind w:firstLine="539" w:left="0"/>
        <w:rPr>
          <w:sz w:val="24"/>
          <w:szCs w:val="24"/>
        </w:rPr>
      </w:pPr>
      <w:r w:rsidRPr="00D512C1">
        <w:rPr>
          <w:sz w:val="24"/>
          <w:szCs w:val="24"/>
        </w:rPr>
        <w:t>La proposition Mutuelle Santé de la Société COLLECTEAM (ALLIANZ) a été retenue pour le 1</w:t>
      </w:r>
      <w:r w:rsidRPr="00D512C1">
        <w:rPr>
          <w:sz w:val="24"/>
          <w:szCs w:val="24"/>
          <w:vertAlign w:val="superscript"/>
        </w:rPr>
        <w:t>er</w:t>
      </w:r>
      <w:r w:rsidRPr="00D512C1">
        <w:rPr>
          <w:sz w:val="24"/>
          <w:szCs w:val="24"/>
        </w:rPr>
        <w:t xml:space="preserve"> janvier 2020</w:t>
      </w:r>
      <w:r w:rsidR="00624728" w:rsidRPr="00D512C1">
        <w:rPr>
          <w:sz w:val="24"/>
          <w:szCs w:val="24"/>
        </w:rPr>
        <w:t>.</w:t>
      </w:r>
    </w:p>
    <w:p w:rsidP="007C7402" w:rsidR="00624728" w:rsidRDefault="00624728">
      <w:pPr>
        <w:pStyle w:val="TEXTE0"/>
        <w:ind w:firstLine="539" w:left="0"/>
      </w:pPr>
      <w:r w:rsidRPr="00D512C1">
        <w:t xml:space="preserve">Les taux de cotisations étaient initialement figés pour les deux premières années du contrat (2020 et 2021). Néanmoins au regard de la crise sanitaire et de la taxe imposée au organismes mutualistes, notre assureur </w:t>
      </w:r>
      <w:r w:rsidR="004418C4" w:rsidRPr="00D512C1">
        <w:t>a appliqué</w:t>
      </w:r>
      <w:r w:rsidR="00302365" w:rsidRPr="00D512C1">
        <w:t xml:space="preserve"> une augmentation de 2% au 1</w:t>
      </w:r>
      <w:r w:rsidR="00302365" w:rsidRPr="00D512C1">
        <w:rPr>
          <w:vertAlign w:val="superscript"/>
        </w:rPr>
        <w:t>er</w:t>
      </w:r>
      <w:r w:rsidR="00302365" w:rsidRPr="00D512C1">
        <w:t xml:space="preserve"> janvier 2021.</w:t>
      </w:r>
    </w:p>
    <w:p w:rsidP="00856B04" w:rsidR="00856B04" w:rsidRDefault="00856B04" w:rsidRPr="00D512C1">
      <w:pPr>
        <w:pStyle w:val="TEXTE0"/>
        <w:ind w:firstLine="539" w:left="0"/>
      </w:pPr>
      <w:r w:rsidRPr="00D512C1">
        <w:t xml:space="preserve">Suite à une consommation santé très élevée en 2020 et 2021 notre assureur </w:t>
      </w:r>
      <w:r>
        <w:t>a appliqué</w:t>
      </w:r>
      <w:r w:rsidRPr="00D512C1">
        <w:t>, au 1</w:t>
      </w:r>
      <w:r w:rsidRPr="00D512C1">
        <w:rPr>
          <w:vertAlign w:val="superscript"/>
        </w:rPr>
        <w:t>er</w:t>
      </w:r>
      <w:r w:rsidRPr="00D512C1">
        <w:t xml:space="preserve"> janvier 2022, une nouvelle augmentation négociée à 7 % afin d’équilibrer les comptes santé. </w:t>
      </w:r>
    </w:p>
    <w:p w:rsidP="004418C4" w:rsidR="004418C4" w:rsidRDefault="004418C4" w:rsidRPr="00D512C1">
      <w:pPr>
        <w:pStyle w:val="TEXTE0"/>
        <w:ind w:firstLine="539" w:left="0"/>
      </w:pPr>
      <w:r w:rsidRPr="00D512C1">
        <w:t xml:space="preserve">Suite à </w:t>
      </w:r>
      <w:r w:rsidR="0005752D">
        <w:t>l’</w:t>
      </w:r>
      <w:r w:rsidR="00447A74">
        <w:t>équilibre de nos dépenses de santé 2022</w:t>
      </w:r>
      <w:r w:rsidRPr="00D512C1">
        <w:t xml:space="preserve"> notre assureur </w:t>
      </w:r>
      <w:r w:rsidR="00447A74">
        <w:t xml:space="preserve">maintient au </w:t>
      </w:r>
      <w:r w:rsidR="0005752D">
        <w:br/>
      </w:r>
      <w:r w:rsidR="00447A74">
        <w:t>1</w:t>
      </w:r>
      <w:r w:rsidR="00447A74" w:rsidRPr="00447A74">
        <w:rPr>
          <w:vertAlign w:val="superscript"/>
        </w:rPr>
        <w:t>er</w:t>
      </w:r>
      <w:r w:rsidR="00447A74">
        <w:t xml:space="preserve"> janvier 2023 les taux suivants :</w:t>
      </w:r>
      <w:r w:rsidRPr="00D512C1">
        <w:t xml:space="preserve"> </w:t>
      </w:r>
    </w:p>
    <w:p w:rsidP="00816720" w:rsidR="00816720" w:rsidRDefault="00624728" w:rsidRPr="0005752D">
      <w:pPr>
        <w:pStyle w:val="TEXTE0"/>
        <w:ind w:firstLine="539" w:left="0"/>
        <w:rPr>
          <w:b/>
          <w:sz w:val="24"/>
          <w:szCs w:val="24"/>
        </w:rPr>
      </w:pPr>
      <w:r w:rsidRPr="0005752D">
        <w:rPr>
          <w:b/>
          <w:sz w:val="24"/>
          <w:szCs w:val="24"/>
        </w:rPr>
        <w:t>T</w:t>
      </w:r>
      <w:r w:rsidR="00816720" w:rsidRPr="0005752D">
        <w:rPr>
          <w:b/>
          <w:sz w:val="24"/>
          <w:szCs w:val="24"/>
        </w:rPr>
        <w:t xml:space="preserve">aux de cotisation </w:t>
      </w:r>
      <w:r w:rsidRPr="0005752D">
        <w:rPr>
          <w:b/>
          <w:sz w:val="24"/>
          <w:szCs w:val="24"/>
        </w:rPr>
        <w:t>202</w:t>
      </w:r>
      <w:r w:rsidR="00856B04" w:rsidRPr="0005752D">
        <w:rPr>
          <w:b/>
          <w:sz w:val="24"/>
          <w:szCs w:val="24"/>
        </w:rPr>
        <w:t>3</w:t>
      </w:r>
      <w:r w:rsidR="00816720" w:rsidRPr="0005752D">
        <w:rPr>
          <w:b/>
          <w:sz w:val="24"/>
          <w:szCs w:val="24"/>
        </w:rPr>
        <w:t> :</w:t>
      </w:r>
    </w:p>
    <w:p w:rsidP="00816720" w:rsidR="00816720" w:rsidRDefault="00816720" w:rsidRPr="00D512C1">
      <w:pPr>
        <w:tabs>
          <w:tab w:pos="570" w:val="left"/>
        </w:tabs>
        <w:ind w:firstLine="567"/>
        <w:jc w:val="both"/>
      </w:pPr>
    </w:p>
    <w:p w:rsidP="00816720" w:rsidR="00816720" w:rsidRDefault="00816720" w:rsidRPr="00D512C1">
      <w:pPr>
        <w:tabs>
          <w:tab w:pos="570" w:val="left"/>
        </w:tabs>
        <w:ind w:firstLine="567"/>
        <w:jc w:val="both"/>
      </w:pPr>
      <w:r w:rsidRPr="00D512C1">
        <w:t xml:space="preserve">Isolé : </w:t>
      </w:r>
      <w:r w:rsidRPr="00D512C1">
        <w:tab/>
      </w:r>
      <w:r w:rsidRPr="00D512C1">
        <w:tab/>
      </w:r>
      <w:r w:rsidR="00624728" w:rsidRPr="00D512C1">
        <w:t>2.</w:t>
      </w:r>
      <w:r w:rsidR="008F6DA8" w:rsidRPr="00D512C1">
        <w:t>62</w:t>
      </w:r>
      <w:r w:rsidRPr="00D512C1">
        <w:t xml:space="preserve"> % du PMSS  </w:t>
      </w:r>
    </w:p>
    <w:p w:rsidP="00816720" w:rsidR="00816720" w:rsidRDefault="00816720" w:rsidRPr="00D512C1">
      <w:pPr>
        <w:ind w:firstLine="567"/>
        <w:jc w:val="both"/>
      </w:pPr>
      <w:r w:rsidRPr="00D512C1">
        <w:t xml:space="preserve">Couple : </w:t>
      </w:r>
      <w:r w:rsidRPr="00D512C1">
        <w:tab/>
      </w:r>
      <w:r w:rsidR="008F6DA8" w:rsidRPr="00D512C1">
        <w:t>4.03</w:t>
      </w:r>
      <w:r w:rsidRPr="00D512C1">
        <w:t xml:space="preserve"> % du PMSS </w:t>
      </w:r>
    </w:p>
    <w:p w:rsidP="00816720" w:rsidR="00816720" w:rsidRDefault="008F6DA8" w:rsidRPr="00D512C1">
      <w:pPr>
        <w:ind w:firstLine="567"/>
        <w:jc w:val="both"/>
      </w:pPr>
      <w:r w:rsidRPr="00D512C1">
        <w:t xml:space="preserve">Famille : </w:t>
      </w:r>
      <w:r w:rsidRPr="00D512C1">
        <w:tab/>
        <w:t>5.24</w:t>
      </w:r>
      <w:r w:rsidR="00816720" w:rsidRPr="00D512C1">
        <w:t xml:space="preserve"> % du PMSS</w:t>
      </w:r>
    </w:p>
    <w:p w:rsidP="00816720" w:rsidR="00816720" w:rsidRDefault="00816720" w:rsidRPr="00D512C1">
      <w:pPr>
        <w:ind w:firstLine="567"/>
        <w:jc w:val="both"/>
      </w:pPr>
    </w:p>
    <w:p w:rsidP="00816720" w:rsidR="00816720" w:rsidRDefault="00816720" w:rsidRPr="00D512C1">
      <w:pPr>
        <w:ind w:firstLine="567"/>
        <w:jc w:val="both"/>
      </w:pPr>
      <w:r w:rsidRPr="00D512C1">
        <w:t xml:space="preserve">PMSS : </w:t>
      </w:r>
      <w:r w:rsidR="00624728" w:rsidRPr="00D512C1">
        <w:t xml:space="preserve">le </w:t>
      </w:r>
      <w:r w:rsidRPr="00D512C1">
        <w:t xml:space="preserve">plafond mensuel de sécurité sociale </w:t>
      </w:r>
      <w:r w:rsidR="0005752D">
        <w:t>augmente et passe à</w:t>
      </w:r>
      <w:r w:rsidRPr="00D512C1">
        <w:t xml:space="preserve"> </w:t>
      </w:r>
      <w:r w:rsidRPr="00D512C1">
        <w:rPr>
          <w:b/>
          <w:i/>
        </w:rPr>
        <w:t>3</w:t>
      </w:r>
      <w:r w:rsidR="00447A74">
        <w:rPr>
          <w:b/>
          <w:i/>
        </w:rPr>
        <w:t> 666.00</w:t>
      </w:r>
      <w:r w:rsidRPr="00D512C1">
        <w:t xml:space="preserve"> euros </w:t>
      </w:r>
      <w:r w:rsidR="00624728" w:rsidRPr="00D512C1">
        <w:t>p</w:t>
      </w:r>
      <w:r w:rsidRPr="00D512C1">
        <w:t>our l’année 202</w:t>
      </w:r>
      <w:r w:rsidR="00447A74">
        <w:t>3</w:t>
      </w:r>
      <w:r w:rsidR="00612477" w:rsidRPr="00D512C1">
        <w:t>.</w:t>
      </w:r>
      <w:r w:rsidRPr="00D512C1">
        <w:t xml:space="preserve"> </w:t>
      </w:r>
    </w:p>
    <w:p w:rsidP="004B3D05" w:rsidR="004B3D05" w:rsidRDefault="00856B04" w:rsidRPr="00D512C1">
      <w:pPr>
        <w:pStyle w:val="TEXTE0"/>
        <w:ind w:firstLine="539" w:left="0"/>
      </w:pPr>
      <w:r>
        <w:t>L</w:t>
      </w:r>
      <w:r w:rsidR="004B3D05" w:rsidRPr="00D512C1">
        <w:t>es parties signataires décident d</w:t>
      </w:r>
      <w:r>
        <w:t>e maintenir l</w:t>
      </w:r>
      <w:r w:rsidR="004B3D05" w:rsidRPr="00D512C1">
        <w:t xml:space="preserve">e montant de la participation employeur fixée à 58 % </w:t>
      </w:r>
      <w:r>
        <w:t>depuis le</w:t>
      </w:r>
      <w:r w:rsidR="004B3D05" w:rsidRPr="00D512C1">
        <w:t xml:space="preserve"> 1</w:t>
      </w:r>
      <w:r w:rsidR="004B3D05" w:rsidRPr="00D512C1">
        <w:rPr>
          <w:vertAlign w:val="superscript"/>
        </w:rPr>
        <w:t>er</w:t>
      </w:r>
      <w:r w:rsidR="004B3D05" w:rsidRPr="00D512C1">
        <w:t xml:space="preserve"> janvier 2022. </w:t>
      </w:r>
    </w:p>
    <w:p w:rsidP="00816720" w:rsidR="004B3D05" w:rsidRDefault="004B3D05" w:rsidRPr="00D512C1">
      <w:pPr>
        <w:ind w:firstLine="567"/>
        <w:jc w:val="both"/>
      </w:pPr>
    </w:p>
    <w:p w:rsidP="00816720" w:rsidR="00816720" w:rsidRDefault="00816720" w:rsidRPr="00D512C1">
      <w:pPr>
        <w:tabs>
          <w:tab w:pos="540" w:val="left"/>
        </w:tabs>
        <w:spacing w:before="120"/>
        <w:ind w:firstLine="539" w:right="-108"/>
        <w:jc w:val="both"/>
        <w:rPr>
          <w:szCs w:val="22"/>
        </w:rPr>
      </w:pPr>
      <w:r w:rsidRPr="00D512C1">
        <w:rPr>
          <w:szCs w:val="22"/>
        </w:rPr>
        <w:t xml:space="preserve">Le taux appliqué </w:t>
      </w:r>
      <w:r w:rsidR="00302365" w:rsidRPr="00D512C1">
        <w:rPr>
          <w:szCs w:val="22"/>
        </w:rPr>
        <w:t>pour la garantie prévoyance depuis le</w:t>
      </w:r>
      <w:r w:rsidRPr="00D512C1">
        <w:rPr>
          <w:szCs w:val="22"/>
        </w:rPr>
        <w:t xml:space="preserve"> 1</w:t>
      </w:r>
      <w:r w:rsidRPr="00D512C1">
        <w:rPr>
          <w:szCs w:val="22"/>
          <w:vertAlign w:val="superscript"/>
        </w:rPr>
        <w:t>er</w:t>
      </w:r>
      <w:r w:rsidR="00073462" w:rsidRPr="00D512C1">
        <w:rPr>
          <w:szCs w:val="22"/>
        </w:rPr>
        <w:t xml:space="preserve"> janvier 2020 </w:t>
      </w:r>
      <w:r w:rsidR="00302365" w:rsidRPr="00D512C1">
        <w:rPr>
          <w:szCs w:val="22"/>
        </w:rPr>
        <w:t xml:space="preserve">reste au taux de </w:t>
      </w:r>
      <w:r w:rsidRPr="00D512C1">
        <w:rPr>
          <w:b/>
          <w:i/>
          <w:szCs w:val="22"/>
        </w:rPr>
        <w:t>1.59</w:t>
      </w:r>
      <w:r w:rsidRPr="00D512C1">
        <w:rPr>
          <w:szCs w:val="22"/>
        </w:rPr>
        <w:t xml:space="preserve"> % avec une prise en charge maintenue à 100 % par l’employeur. </w:t>
      </w:r>
    </w:p>
    <w:p w:rsidP="009B0F43" w:rsidR="00624728" w:rsidRDefault="00624728" w:rsidRPr="00D512C1">
      <w:pPr>
        <w:tabs>
          <w:tab w:pos="540" w:val="left"/>
        </w:tabs>
        <w:spacing w:before="120"/>
        <w:ind w:right="-108"/>
        <w:jc w:val="both"/>
        <w:rPr>
          <w:b/>
        </w:rPr>
      </w:pPr>
    </w:p>
    <w:p w:rsidP="009B0F43" w:rsidR="00C42179" w:rsidRDefault="00C42179" w:rsidRPr="00D512C1">
      <w:pPr>
        <w:tabs>
          <w:tab w:pos="540" w:val="left"/>
        </w:tabs>
        <w:spacing w:before="120"/>
        <w:ind w:right="-108"/>
        <w:jc w:val="both"/>
        <w:rPr>
          <w:b/>
        </w:rPr>
      </w:pPr>
      <w:r w:rsidRPr="00D512C1">
        <w:rPr>
          <w:b/>
        </w:rPr>
        <w:t xml:space="preserve">ARTICLE </w:t>
      </w:r>
      <w:r w:rsidR="009C23F1" w:rsidRPr="00D512C1">
        <w:rPr>
          <w:b/>
        </w:rPr>
        <w:t>7</w:t>
      </w:r>
      <w:r w:rsidRPr="00D512C1">
        <w:rPr>
          <w:b/>
        </w:rPr>
        <w:t xml:space="preserve"> – INTERESSEMENT</w:t>
      </w:r>
    </w:p>
    <w:p w:rsidP="00C42179" w:rsidR="00C42179" w:rsidRDefault="00C42179" w:rsidRPr="00D512C1">
      <w:pPr>
        <w:tabs>
          <w:tab w:pos="540" w:val="left"/>
        </w:tabs>
        <w:spacing w:before="120"/>
        <w:ind w:right="-108"/>
        <w:jc w:val="both"/>
      </w:pPr>
      <w:r w:rsidRPr="00D512C1">
        <w:rPr>
          <w:b/>
        </w:rPr>
        <w:tab/>
      </w:r>
      <w:r w:rsidRPr="00D512C1">
        <w:t xml:space="preserve">Un accord collectif d’intéressement a été signé le </w:t>
      </w:r>
      <w:r w:rsidR="00B54443" w:rsidRPr="00D512C1">
        <w:t>12 mai</w:t>
      </w:r>
      <w:r w:rsidR="00205839" w:rsidRPr="00D512C1">
        <w:t xml:space="preserve"> 2020</w:t>
      </w:r>
      <w:r w:rsidR="00557440" w:rsidRPr="00D512C1">
        <w:t xml:space="preserve"> pour les 3 prochaines années (20</w:t>
      </w:r>
      <w:r w:rsidR="00205839" w:rsidRPr="00D512C1">
        <w:t>20</w:t>
      </w:r>
      <w:r w:rsidR="00557440" w:rsidRPr="00D512C1">
        <w:t>/20</w:t>
      </w:r>
      <w:r w:rsidR="00205839" w:rsidRPr="00D512C1">
        <w:t>21</w:t>
      </w:r>
      <w:r w:rsidR="00557440" w:rsidRPr="00D512C1">
        <w:t>/20</w:t>
      </w:r>
      <w:r w:rsidR="00205839" w:rsidRPr="00D512C1">
        <w:t>22</w:t>
      </w:r>
      <w:r w:rsidR="00557440" w:rsidRPr="00D512C1">
        <w:t>)</w:t>
      </w:r>
      <w:r w:rsidRPr="00D512C1">
        <w:t>, entre les organisations syndicales et la direction de l’Office, pour une durée de 3 ans.</w:t>
      </w:r>
      <w:r w:rsidR="002334A1" w:rsidRPr="00D512C1">
        <w:t xml:space="preserve"> </w:t>
      </w:r>
    </w:p>
    <w:p w:rsidP="00C42179" w:rsidR="00C42179" w:rsidRDefault="002334A1">
      <w:pPr>
        <w:tabs>
          <w:tab w:pos="540" w:val="left"/>
        </w:tabs>
        <w:spacing w:before="120"/>
        <w:ind w:right="-108"/>
        <w:jc w:val="both"/>
      </w:pPr>
      <w:r w:rsidRPr="00D512C1">
        <w:tab/>
      </w:r>
      <w:r w:rsidR="00C42179" w:rsidRPr="00D512C1">
        <w:t>Pour compléter c</w:t>
      </w:r>
      <w:r w:rsidR="00E419D2" w:rsidRPr="00D512C1">
        <w:t xml:space="preserve">e dispositif, </w:t>
      </w:r>
      <w:r w:rsidR="003F6491" w:rsidRPr="00D512C1">
        <w:t xml:space="preserve">deux accords collectifs portant </w:t>
      </w:r>
      <w:r w:rsidR="004E5313" w:rsidRPr="00D512C1">
        <w:t>sur la mise en place d’un Plan Epargne Entreprise et d’un Plan Epargne Retraite Collective</w:t>
      </w:r>
      <w:r w:rsidR="003F6491" w:rsidRPr="00D512C1">
        <w:t xml:space="preserve"> ont été signé le 30 avril 2015</w:t>
      </w:r>
      <w:r w:rsidR="004E5313" w:rsidRPr="00D512C1">
        <w:t>.</w:t>
      </w:r>
    </w:p>
    <w:p w:rsidP="00C42179" w:rsidR="00856B04" w:rsidRDefault="00856B04" w:rsidRPr="00D512C1">
      <w:pPr>
        <w:tabs>
          <w:tab w:pos="540" w:val="left"/>
        </w:tabs>
        <w:spacing w:before="120"/>
        <w:ind w:right="-108"/>
        <w:jc w:val="both"/>
      </w:pPr>
      <w:r>
        <w:tab/>
        <w:t xml:space="preserve">Nous entrons dans une nouvelle négociation pour les trois prochaines années (2023/2024/2025). </w:t>
      </w:r>
    </w:p>
    <w:p w:rsidP="009B0F43" w:rsidR="002334A1" w:rsidRDefault="002334A1" w:rsidRPr="00D512C1">
      <w:pPr>
        <w:tabs>
          <w:tab w:pos="540" w:val="left"/>
        </w:tabs>
        <w:spacing w:before="120"/>
        <w:ind w:right="-108"/>
        <w:jc w:val="both"/>
      </w:pPr>
    </w:p>
    <w:p w:rsidP="00E81924" w:rsidR="00002C0F" w:rsidRDefault="00C42179" w:rsidRPr="00D512C1">
      <w:pPr>
        <w:tabs>
          <w:tab w:pos="540" w:val="left"/>
        </w:tabs>
        <w:spacing w:before="120"/>
        <w:ind w:right="-108"/>
        <w:rPr>
          <w:b/>
        </w:rPr>
      </w:pPr>
      <w:r w:rsidRPr="00D512C1">
        <w:rPr>
          <w:b/>
        </w:rPr>
        <w:t xml:space="preserve">ARTICLE </w:t>
      </w:r>
      <w:r w:rsidR="009C23F1" w:rsidRPr="00D512C1">
        <w:rPr>
          <w:b/>
        </w:rPr>
        <w:t>8</w:t>
      </w:r>
      <w:r w:rsidR="00E81924" w:rsidRPr="00D512C1">
        <w:t>-</w:t>
      </w:r>
      <w:r w:rsidR="00E81924" w:rsidRPr="00D512C1">
        <w:rPr>
          <w:b/>
        </w:rPr>
        <w:t xml:space="preserve"> </w:t>
      </w:r>
      <w:r w:rsidR="003F6491" w:rsidRPr="00D512C1">
        <w:rPr>
          <w:b/>
        </w:rPr>
        <w:t>I</w:t>
      </w:r>
      <w:r w:rsidR="00EB555D" w:rsidRPr="00D512C1">
        <w:rPr>
          <w:b/>
        </w:rPr>
        <w:t>NSERTION</w:t>
      </w:r>
      <w:r w:rsidR="00002C0F" w:rsidRPr="00D512C1">
        <w:rPr>
          <w:b/>
        </w:rPr>
        <w:t xml:space="preserve"> </w:t>
      </w:r>
      <w:r w:rsidR="00C75A94" w:rsidRPr="00D512C1">
        <w:rPr>
          <w:b/>
        </w:rPr>
        <w:t>PROFESSIONNELLE ET MAINTIEN DANS L’EMPLOI DES TRAVAILLEURS HANDICAPES</w:t>
      </w:r>
    </w:p>
    <w:p w:rsidP="00C66433" w:rsidR="00B6276C" w:rsidRDefault="00002C0F" w:rsidRPr="00D512C1">
      <w:pPr>
        <w:tabs>
          <w:tab w:pos="540" w:val="left"/>
        </w:tabs>
        <w:spacing w:before="120"/>
        <w:ind w:right="-108"/>
        <w:jc w:val="both"/>
      </w:pPr>
      <w:r w:rsidRPr="00D512C1">
        <w:tab/>
      </w:r>
      <w:r w:rsidR="00EF4095" w:rsidRPr="00EA208D">
        <w:t>Sur l’année 202</w:t>
      </w:r>
      <w:r w:rsidR="00856B04" w:rsidRPr="00EA208D">
        <w:t>2</w:t>
      </w:r>
      <w:r w:rsidR="00EF4095" w:rsidRPr="00EA208D">
        <w:t xml:space="preserve">, </w:t>
      </w:r>
      <w:r w:rsidR="00EA208D" w:rsidRPr="00EA208D">
        <w:t>1</w:t>
      </w:r>
      <w:r w:rsidR="00A251FD">
        <w:t>8.30</w:t>
      </w:r>
      <w:r w:rsidR="00EF4095" w:rsidRPr="00EA208D">
        <w:t xml:space="preserve"> Bénéficiaires de l'Obligation d'Emploi des Travailleurs Handicapés</w:t>
      </w:r>
      <w:r w:rsidR="00E877E1" w:rsidRPr="00EA208D">
        <w:t xml:space="preserve"> </w:t>
      </w:r>
      <w:r w:rsidR="00EF4095" w:rsidRPr="00EA208D">
        <w:t xml:space="preserve">soit </w:t>
      </w:r>
      <w:r w:rsidR="00E877E1" w:rsidRPr="00EA208D">
        <w:t>1</w:t>
      </w:r>
      <w:r w:rsidR="00A251FD">
        <w:t>1.44</w:t>
      </w:r>
      <w:r w:rsidR="00F12AB5" w:rsidRPr="00EA208D">
        <w:t xml:space="preserve"> </w:t>
      </w:r>
      <w:r w:rsidR="004C3678" w:rsidRPr="00EA208D">
        <w:t>%</w:t>
      </w:r>
      <w:r w:rsidR="0094048D" w:rsidRPr="00EA208D">
        <w:t xml:space="preserve"> </w:t>
      </w:r>
      <w:r w:rsidR="00495D9C" w:rsidRPr="00EA208D">
        <w:t>de l’effectif</w:t>
      </w:r>
      <w:r w:rsidRPr="00EA208D">
        <w:t xml:space="preserve"> (</w:t>
      </w:r>
      <w:r w:rsidR="00E07EB6" w:rsidRPr="00EA208D">
        <w:t>hors marchés signés avec des</w:t>
      </w:r>
      <w:r w:rsidR="002005EB" w:rsidRPr="00EA208D">
        <w:t xml:space="preserve"> entreprises de travail protégé</w:t>
      </w:r>
      <w:r w:rsidR="008968B5" w:rsidRPr="00EA208D">
        <w:t>)</w:t>
      </w:r>
      <w:r w:rsidRPr="00EA208D">
        <w:t xml:space="preserve"> </w:t>
      </w:r>
      <w:r w:rsidR="002B3609" w:rsidRPr="00EA208D">
        <w:t xml:space="preserve">soit un taux très supérieur à </w:t>
      </w:r>
      <w:r w:rsidRPr="00EA208D">
        <w:t>l’obligation</w:t>
      </w:r>
      <w:r w:rsidR="004C3678" w:rsidRPr="00EA208D">
        <w:t xml:space="preserve"> légale (6%).</w:t>
      </w:r>
      <w:r w:rsidR="004C3678" w:rsidRPr="00D512C1">
        <w:t xml:space="preserve"> </w:t>
      </w:r>
    </w:p>
    <w:p w:rsidP="00C66433" w:rsidR="00C75A94" w:rsidRDefault="00C75A94" w:rsidRPr="00D512C1">
      <w:pPr>
        <w:tabs>
          <w:tab w:pos="540" w:val="left"/>
        </w:tabs>
        <w:spacing w:before="120"/>
        <w:ind w:right="-108"/>
        <w:jc w:val="both"/>
      </w:pPr>
    </w:p>
    <w:p w:rsidP="00810C22" w:rsidR="008C1EA6" w:rsidRDefault="00033EBD" w:rsidRPr="00D512C1">
      <w:pPr>
        <w:tabs>
          <w:tab w:pos="540" w:val="left"/>
        </w:tabs>
        <w:spacing w:before="120"/>
        <w:ind w:right="-108"/>
        <w:jc w:val="both"/>
        <w:rPr>
          <w:b/>
        </w:rPr>
      </w:pPr>
      <w:r w:rsidRPr="00D512C1">
        <w:rPr>
          <w:b/>
        </w:rPr>
        <w:t xml:space="preserve">ARTICLE </w:t>
      </w:r>
      <w:r w:rsidR="00C75A94" w:rsidRPr="00D512C1">
        <w:rPr>
          <w:b/>
        </w:rPr>
        <w:t>9</w:t>
      </w:r>
      <w:r w:rsidR="0094048D" w:rsidRPr="00D512C1">
        <w:rPr>
          <w:b/>
        </w:rPr>
        <w:t xml:space="preserve"> -</w:t>
      </w:r>
      <w:r w:rsidR="008C1EA6" w:rsidRPr="00D512C1">
        <w:rPr>
          <w:b/>
        </w:rPr>
        <w:t xml:space="preserve"> </w:t>
      </w:r>
      <w:r w:rsidR="00002C0F" w:rsidRPr="00D512C1">
        <w:rPr>
          <w:b/>
        </w:rPr>
        <w:t>DUREE DE L’ACCORD</w:t>
      </w:r>
      <w:r w:rsidR="00982611" w:rsidRPr="00D512C1">
        <w:rPr>
          <w:b/>
        </w:rPr>
        <w:t>.</w:t>
      </w:r>
    </w:p>
    <w:p w:rsidP="00810C22" w:rsidR="00810C22" w:rsidRDefault="00002C0F" w:rsidRPr="00D512C1">
      <w:pPr>
        <w:tabs>
          <w:tab w:pos="540" w:val="left"/>
        </w:tabs>
        <w:spacing w:before="120"/>
        <w:ind w:right="-108"/>
        <w:jc w:val="both"/>
      </w:pPr>
      <w:r w:rsidRPr="00D512C1">
        <w:rPr>
          <w:b/>
        </w:rPr>
        <w:tab/>
      </w:r>
      <w:r w:rsidRPr="00D512C1">
        <w:t xml:space="preserve">Le présent accord est conclu au </w:t>
      </w:r>
      <w:r w:rsidR="00F30660" w:rsidRPr="00D512C1">
        <w:t>titre de l’année 202</w:t>
      </w:r>
      <w:r w:rsidR="00856B04">
        <w:t>3</w:t>
      </w:r>
      <w:r w:rsidRPr="00D512C1">
        <w:t>.</w:t>
      </w:r>
    </w:p>
    <w:p w:rsidP="00810C22" w:rsidR="00C22E00" w:rsidRDefault="00C22E00" w:rsidRPr="00D512C1">
      <w:pPr>
        <w:tabs>
          <w:tab w:pos="540" w:val="left"/>
        </w:tabs>
        <w:spacing w:before="120"/>
        <w:ind w:right="-108"/>
        <w:jc w:val="both"/>
      </w:pPr>
    </w:p>
    <w:p w:rsidP="00810C22" w:rsidR="0035738C" w:rsidRDefault="0035738C" w:rsidRPr="00D512C1">
      <w:pPr>
        <w:tabs>
          <w:tab w:pos="540" w:val="left"/>
        </w:tabs>
        <w:spacing w:before="120"/>
        <w:ind w:right="-108"/>
        <w:jc w:val="both"/>
        <w:rPr>
          <w:b/>
        </w:rPr>
      </w:pPr>
      <w:r w:rsidRPr="00D512C1">
        <w:rPr>
          <w:b/>
        </w:rPr>
        <w:t xml:space="preserve">ARTICLE </w:t>
      </w:r>
      <w:r w:rsidR="005C34AE" w:rsidRPr="00D512C1">
        <w:rPr>
          <w:b/>
        </w:rPr>
        <w:t>1</w:t>
      </w:r>
      <w:r w:rsidR="00C75A94" w:rsidRPr="00D512C1">
        <w:rPr>
          <w:b/>
        </w:rPr>
        <w:t>0</w:t>
      </w:r>
      <w:r w:rsidR="005C34AE" w:rsidRPr="00D512C1">
        <w:rPr>
          <w:b/>
        </w:rPr>
        <w:t xml:space="preserve"> </w:t>
      </w:r>
      <w:r w:rsidRPr="00D512C1">
        <w:rPr>
          <w:b/>
        </w:rPr>
        <w:t xml:space="preserve">– </w:t>
      </w:r>
      <w:r w:rsidR="00002C0F" w:rsidRPr="00D512C1">
        <w:rPr>
          <w:b/>
        </w:rPr>
        <w:t>DEPOT DE L’ACCORD</w:t>
      </w:r>
      <w:r w:rsidR="00982611" w:rsidRPr="00D512C1">
        <w:rPr>
          <w:b/>
        </w:rPr>
        <w:t>.</w:t>
      </w:r>
    </w:p>
    <w:p w:rsidP="00C66433" w:rsidR="00002C0F" w:rsidRDefault="006B34C9" w:rsidRPr="00D512C1">
      <w:pPr>
        <w:tabs>
          <w:tab w:pos="540" w:val="left"/>
        </w:tabs>
        <w:spacing w:before="120"/>
        <w:ind w:right="-108"/>
        <w:jc w:val="both"/>
      </w:pPr>
      <w:r w:rsidRPr="00D512C1">
        <w:tab/>
      </w:r>
      <w:r w:rsidR="00981F8C" w:rsidRPr="00D512C1">
        <w:t xml:space="preserve">Un exemplaire de l’accord sera </w:t>
      </w:r>
      <w:r w:rsidR="00172BA4" w:rsidRPr="00D512C1">
        <w:t>notifié</w:t>
      </w:r>
      <w:r w:rsidR="00981F8C" w:rsidRPr="00D512C1">
        <w:t xml:space="preserve"> à chaque organisation syndicale représentative dans l’entreprise :</w:t>
      </w:r>
    </w:p>
    <w:p w:rsidP="00C66433" w:rsidR="00A31E82" w:rsidRDefault="00A31E82" w:rsidRPr="00D512C1">
      <w:pPr>
        <w:tabs>
          <w:tab w:pos="540" w:val="left"/>
        </w:tabs>
        <w:spacing w:before="120"/>
        <w:ind w:right="-108"/>
        <w:jc w:val="both"/>
      </w:pPr>
    </w:p>
    <w:p w:rsidP="00A31E82" w:rsidR="00A31E82" w:rsidRDefault="00A31E82" w:rsidRPr="00D512C1">
      <w:pPr>
        <w:pStyle w:val="Paragraphedeliste"/>
        <w:numPr>
          <w:ilvl w:val="0"/>
          <w:numId w:val="23"/>
        </w:numPr>
        <w:jc w:val="both"/>
      </w:pPr>
      <w:r w:rsidRPr="00D512C1">
        <w:t>2 exemplaires seront déposés à la DREETS,</w:t>
      </w:r>
    </w:p>
    <w:p w:rsidP="00A31E82" w:rsidR="00A31E82" w:rsidRDefault="00A31E82" w:rsidRPr="00D512C1">
      <w:pPr>
        <w:pStyle w:val="Paragraphedeliste"/>
        <w:jc w:val="both"/>
      </w:pPr>
    </w:p>
    <w:p w:rsidP="00A31E82" w:rsidR="00A31E82" w:rsidRDefault="00A31E82" w:rsidRPr="00D512C1">
      <w:pPr>
        <w:pStyle w:val="Paragraphedeliste"/>
        <w:numPr>
          <w:ilvl w:val="0"/>
          <w:numId w:val="23"/>
        </w:numPr>
        <w:jc w:val="both"/>
      </w:pPr>
      <w:r w:rsidRPr="00D512C1">
        <w:t>1 exemplaire sera déposé au secrétariat greffe du Conseil de Prudhommes,</w:t>
      </w:r>
    </w:p>
    <w:p w:rsidP="00A31E82" w:rsidR="00A31E82" w:rsidRDefault="00A31E82" w:rsidRPr="00D512C1">
      <w:pPr>
        <w:jc w:val="both"/>
      </w:pPr>
    </w:p>
    <w:p w:rsidP="00A31E82" w:rsidR="00A31E82" w:rsidRDefault="00A31E82" w:rsidRPr="00D512C1">
      <w:pPr>
        <w:pStyle w:val="Paragraphedeliste"/>
        <w:numPr>
          <w:ilvl w:val="0"/>
          <w:numId w:val="23"/>
        </w:numPr>
        <w:jc w:val="both"/>
      </w:pPr>
      <w:r w:rsidRPr="00D512C1">
        <w:t>1 exemplaire sera remis au Comité Social et Economique.</w:t>
      </w:r>
    </w:p>
    <w:p w:rsidP="00A31E82" w:rsidR="00A31E82" w:rsidRDefault="00A31E82" w:rsidRPr="00D512C1">
      <w:pPr>
        <w:jc w:val="both"/>
      </w:pPr>
    </w:p>
    <w:p w:rsidP="00C66433" w:rsidR="00981F8C" w:rsidRDefault="00981F8C" w:rsidRPr="00D512C1">
      <w:pPr>
        <w:tabs>
          <w:tab w:pos="540" w:val="left"/>
        </w:tabs>
        <w:spacing w:before="120"/>
        <w:ind w:right="-108"/>
        <w:jc w:val="both"/>
      </w:pPr>
      <w:r w:rsidRPr="00D512C1">
        <w:tab/>
        <w:t>A l’issue de ces formalités de dépôt, l’accord sera diffusé sur l’intranet pour l’information du personnel.</w:t>
      </w:r>
    </w:p>
    <w:p w:rsidP="00660EEC" w:rsidR="008968B5" w:rsidRDefault="008968B5" w:rsidRPr="00D512C1">
      <w:pPr>
        <w:tabs>
          <w:tab w:pos="4320" w:val="left"/>
          <w:tab w:pos="4680" w:val="left"/>
          <w:tab w:pos="5040" w:val="left"/>
        </w:tabs>
        <w:jc w:val="center"/>
      </w:pPr>
    </w:p>
    <w:p w:rsidP="00660EEC" w:rsidR="008968B5" w:rsidRDefault="008968B5">
      <w:pPr>
        <w:tabs>
          <w:tab w:pos="4320" w:val="left"/>
          <w:tab w:pos="4680" w:val="left"/>
          <w:tab w:pos="5040" w:val="left"/>
        </w:tabs>
        <w:jc w:val="center"/>
      </w:pPr>
    </w:p>
    <w:p w:rsidP="00660EEC" w:rsidR="00D02E1F" w:rsidRDefault="00D02E1F">
      <w:pPr>
        <w:tabs>
          <w:tab w:pos="4320" w:val="left"/>
          <w:tab w:pos="4680" w:val="left"/>
          <w:tab w:pos="5040" w:val="left"/>
        </w:tabs>
        <w:jc w:val="center"/>
      </w:pPr>
    </w:p>
    <w:p w:rsidP="00660EEC" w:rsidR="00D02E1F" w:rsidRDefault="00D02E1F">
      <w:pPr>
        <w:tabs>
          <w:tab w:pos="4320" w:val="left"/>
          <w:tab w:pos="4680" w:val="left"/>
          <w:tab w:pos="5040" w:val="left"/>
        </w:tabs>
        <w:jc w:val="center"/>
      </w:pPr>
    </w:p>
    <w:p w:rsidP="00660EEC" w:rsidR="00D02E1F" w:rsidRDefault="00D02E1F">
      <w:pPr>
        <w:tabs>
          <w:tab w:pos="4320" w:val="left"/>
          <w:tab w:pos="4680" w:val="left"/>
          <w:tab w:pos="5040" w:val="left"/>
        </w:tabs>
        <w:jc w:val="center"/>
      </w:pPr>
    </w:p>
    <w:p w:rsidP="00660EEC" w:rsidR="00D02E1F" w:rsidRDefault="00D02E1F">
      <w:pPr>
        <w:tabs>
          <w:tab w:pos="4320" w:val="left"/>
          <w:tab w:pos="4680" w:val="left"/>
          <w:tab w:pos="5040" w:val="left"/>
        </w:tabs>
        <w:jc w:val="center"/>
      </w:pPr>
    </w:p>
    <w:p w:rsidP="00660EEC" w:rsidR="00D02E1F" w:rsidRDefault="00D02E1F" w:rsidRPr="00D512C1">
      <w:pPr>
        <w:tabs>
          <w:tab w:pos="4320" w:val="left"/>
          <w:tab w:pos="4680" w:val="left"/>
          <w:tab w:pos="5040" w:val="left"/>
        </w:tabs>
        <w:jc w:val="center"/>
      </w:pPr>
    </w:p>
    <w:p w:rsidP="00660EEC" w:rsidR="008968B5" w:rsidRDefault="008968B5" w:rsidRPr="00D512C1">
      <w:pPr>
        <w:tabs>
          <w:tab w:pos="4320" w:val="left"/>
          <w:tab w:pos="4680" w:val="left"/>
          <w:tab w:pos="5040" w:val="left"/>
        </w:tabs>
        <w:jc w:val="center"/>
      </w:pPr>
    </w:p>
    <w:p w:rsidP="00CD5671" w:rsidR="009A33EB" w:rsidRDefault="0088556B" w:rsidRPr="00D512C1">
      <w:pPr>
        <w:tabs>
          <w:tab w:pos="4320" w:val="left"/>
          <w:tab w:pos="4680" w:val="left"/>
          <w:tab w:pos="5040" w:val="left"/>
        </w:tabs>
        <w:jc w:val="center"/>
      </w:pPr>
      <w:r w:rsidRPr="00D512C1">
        <w:t xml:space="preserve"> à </w:t>
      </w:r>
      <w:r w:rsidR="00470F37" w:rsidRPr="00D512C1">
        <w:t>A</w:t>
      </w:r>
      <w:r w:rsidRPr="00D512C1">
        <w:t xml:space="preserve">lençon, le </w:t>
      </w:r>
      <w:r w:rsidR="00686FFA" w:rsidRPr="00D512C1">
        <w:t xml:space="preserve"> </w:t>
      </w:r>
    </w:p>
    <w:p w:rsidP="00660EEC" w:rsidR="00F6366A" w:rsidRDefault="00F6366A" w:rsidRPr="00D512C1">
      <w:pPr>
        <w:tabs>
          <w:tab w:pos="5220" w:val="left"/>
        </w:tabs>
        <w:spacing w:before="120"/>
        <w:jc w:val="center"/>
      </w:pPr>
    </w:p>
    <w:p w:rsidP="00F6366A" w:rsidR="00F6366A" w:rsidRDefault="00F6366A" w:rsidRPr="00D512C1">
      <w:pPr>
        <w:tabs>
          <w:tab w:pos="5220" w:val="left"/>
        </w:tabs>
        <w:spacing w:before="120"/>
      </w:pPr>
      <w:r w:rsidRPr="00D512C1">
        <w:t>Pour les organisations syndicales</w:t>
      </w:r>
      <w:r w:rsidR="00AF721F" w:rsidRPr="00D512C1">
        <w:t> :</w:t>
      </w:r>
      <w:r w:rsidR="00C75A94" w:rsidRPr="00D512C1">
        <w:t xml:space="preserve"> </w:t>
      </w:r>
      <w:r w:rsidR="00C75A94" w:rsidRPr="00D512C1">
        <w:tab/>
      </w:r>
      <w:r w:rsidR="00C75A94" w:rsidRPr="00D512C1">
        <w:tab/>
      </w:r>
      <w:r w:rsidR="00D227BE" w:rsidRPr="00D512C1">
        <w:t xml:space="preserve">      </w:t>
      </w:r>
      <w:r w:rsidR="00C75A94" w:rsidRPr="00D512C1">
        <w:t>Pour :</w:t>
      </w:r>
    </w:p>
    <w:p w:rsidP="007B5071" w:rsidR="00E52040" w:rsidRDefault="00F6366A" w:rsidRPr="00D512C1">
      <w:pPr>
        <w:tabs>
          <w:tab w:pos="5529" w:val="left"/>
        </w:tabs>
        <w:jc w:val="both"/>
      </w:pPr>
      <w:r w:rsidRPr="00D512C1">
        <w:tab/>
      </w:r>
    </w:p>
    <w:p w:rsidP="00D227BE" w:rsidR="00D227BE" w:rsidRDefault="00E52040" w:rsidRPr="00D512C1">
      <w:pPr>
        <w:tabs>
          <w:tab w:pos="2340" w:val="left"/>
          <w:tab w:pos="5245" w:val="left"/>
        </w:tabs>
        <w:ind w:hanging="1830" w:left="1830" w:right="-306"/>
      </w:pPr>
      <w:r w:rsidRPr="00D512C1">
        <w:t xml:space="preserve">        </w:t>
      </w:r>
      <w:r w:rsidR="006B22A4" w:rsidRPr="00D512C1">
        <w:t>FO</w:t>
      </w:r>
      <w:r w:rsidR="00F6366A" w:rsidRPr="00D512C1">
        <w:tab/>
        <w:t xml:space="preserve">      </w:t>
      </w:r>
      <w:r w:rsidR="00D227BE" w:rsidRPr="00D512C1">
        <w:t xml:space="preserve">            </w:t>
      </w:r>
      <w:r w:rsidR="00F6366A" w:rsidRPr="00D512C1">
        <w:t xml:space="preserve"> </w:t>
      </w:r>
      <w:r w:rsidR="006B22A4" w:rsidRPr="00D512C1">
        <w:t>CFDT</w:t>
      </w:r>
      <w:r w:rsidR="00F6366A" w:rsidRPr="00D512C1">
        <w:t xml:space="preserve">                 </w:t>
      </w:r>
      <w:r w:rsidR="007B5071" w:rsidRPr="00D512C1">
        <w:t xml:space="preserve"> </w:t>
      </w:r>
      <w:r w:rsidR="00D227BE" w:rsidRPr="00D512C1">
        <w:t xml:space="preserve">   L</w:t>
      </w:r>
      <w:r w:rsidRPr="00D512C1">
        <w:t>’O</w:t>
      </w:r>
      <w:r w:rsidR="00D227BE" w:rsidRPr="00D512C1">
        <w:t xml:space="preserve">FFICE PUBLIC DE L’HABITAT </w:t>
      </w:r>
    </w:p>
    <w:p w:rsidP="00D227BE" w:rsidR="00660EEC" w:rsidRDefault="00D227BE" w:rsidRPr="00D512C1">
      <w:pPr>
        <w:tabs>
          <w:tab w:pos="2340" w:val="left"/>
          <w:tab w:pos="5245" w:val="left"/>
        </w:tabs>
        <w:ind w:hanging="1830" w:left="1830" w:right="-306"/>
      </w:pPr>
      <w:r w:rsidRPr="00D512C1">
        <w:t xml:space="preserve">                                                                                                 DE L’ORNE</w:t>
      </w:r>
      <w:r w:rsidRPr="00D512C1">
        <w:tab/>
      </w:r>
      <w:r w:rsidRPr="00D512C1">
        <w:tab/>
      </w:r>
    </w:p>
    <w:p w:rsidP="00CD5671" w:rsidR="00CD5671" w:rsidRDefault="00CD5671" w:rsidRPr="00D512C1">
      <w:pPr>
        <w:tabs>
          <w:tab w:pos="2340" w:val="left"/>
          <w:tab w:pos="5245" w:val="left"/>
        </w:tabs>
        <w:ind w:right="-306"/>
      </w:pPr>
    </w:p>
    <w:p w:rsidP="00660EEC" w:rsidR="007B5071" w:rsidRDefault="007B5071" w:rsidRPr="00D512C1">
      <w:pPr>
        <w:tabs>
          <w:tab w:pos="2340" w:val="left"/>
          <w:tab w:pos="5400" w:val="left"/>
        </w:tabs>
      </w:pPr>
    </w:p>
    <w:p w:rsidP="00660EEC" w:rsidR="0088556B" w:rsidRDefault="00593F77" w:rsidRPr="00D512C1">
      <w:pPr>
        <w:tabs>
          <w:tab w:pos="2340" w:val="left"/>
          <w:tab w:pos="5400" w:val="left"/>
        </w:tabs>
      </w:pPr>
      <w:r w:rsidRPr="00D512C1">
        <w:tab/>
      </w:r>
    </w:p>
    <w:p w:rsidP="00CD5671" w:rsidR="00CD5671" w:rsidRDefault="00593F77" w:rsidRPr="00D512C1">
      <w:pPr>
        <w:tabs>
          <w:tab w:pos="5387" w:val="left"/>
        </w:tabs>
        <w:spacing w:before="120"/>
        <w:jc w:val="both"/>
      </w:pPr>
      <w:r w:rsidRPr="00D512C1">
        <w:t xml:space="preserve">         </w:t>
      </w:r>
      <w:r w:rsidR="00F6366A" w:rsidRPr="00D512C1">
        <w:t xml:space="preserve">  </w:t>
      </w:r>
      <w:r w:rsidR="006B22A4" w:rsidRPr="00D512C1">
        <w:t xml:space="preserve">     </w:t>
      </w:r>
      <w:r w:rsidR="00F6366A" w:rsidRPr="00D512C1">
        <w:t xml:space="preserve"> </w:t>
      </w:r>
      <w:r w:rsidR="00BE096D" w:rsidRPr="00D512C1">
        <w:t xml:space="preserve"> </w:t>
      </w:r>
      <w:r w:rsidR="006B22A4" w:rsidRPr="00D512C1">
        <w:tab/>
      </w:r>
    </w:p>
    <w:p w:rsidP="00CD5671" w:rsidR="0088556B" w:rsidRDefault="006279DD" w:rsidRPr="00BA12E7">
      <w:pPr>
        <w:tabs>
          <w:tab w:pos="5387" w:val="left"/>
        </w:tabs>
        <w:spacing w:before="120"/>
        <w:jc w:val="both"/>
      </w:pPr>
      <w:r>
        <w:t xml:space="preserve">Délégué Syndical   </w:t>
      </w:r>
      <w:r w:rsidR="006C0484" w:rsidRPr="00D512C1">
        <w:t xml:space="preserve">      D</w:t>
      </w:r>
      <w:r w:rsidR="00593F77" w:rsidRPr="00D512C1">
        <w:t>élégué</w:t>
      </w:r>
      <w:r w:rsidR="006C0484" w:rsidRPr="00D512C1">
        <w:t xml:space="preserve"> S</w:t>
      </w:r>
      <w:r w:rsidR="00593F77" w:rsidRPr="00D512C1">
        <w:t>yndical</w:t>
      </w:r>
      <w:r w:rsidR="00593F77" w:rsidRPr="00D512C1">
        <w:tab/>
        <w:t>Le Directeur Géné</w:t>
      </w:r>
      <w:r w:rsidR="00593F77" w:rsidRPr="00BA12E7">
        <w:t>ra</w:t>
      </w:r>
      <w:bookmarkStart w:id="0" w:name="_GoBack"/>
      <w:bookmarkEnd w:id="0"/>
      <w:r w:rsidR="00593F77" w:rsidRPr="00BA12E7">
        <w:t>l</w:t>
      </w:r>
    </w:p>
    <w:sectPr w:rsidR="0088556B" w:rsidRPr="00BA12E7" w:rsidSect="00DE314F">
      <w:headerReference r:id="rId9" w:type="even"/>
      <w:headerReference r:id="rId10" w:type="default"/>
      <w:footerReference r:id="rId11" w:type="even"/>
      <w:footerReference r:id="rId12" w:type="default"/>
      <w:headerReference r:id="rId13" w:type="first"/>
      <w:pgSz w:h="16838" w:w="11906"/>
      <w:pgMar w:bottom="1258" w:footer="708" w:gutter="0" w:header="708" w:left="1417" w:right="2006" w:top="70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A94" w:rsidRDefault="00C75A94">
      <w:r>
        <w:separator/>
      </w:r>
    </w:p>
  </w:endnote>
  <w:endnote w:type="continuationSeparator" w:id="0">
    <w:p w:rsidR="00C75A94" w:rsidRDefault="00C75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9604DB" w:rsidR="00C75A94" w:rsidRDefault="00C75A94">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w:t>
    </w:r>
    <w:r>
      <w:rPr>
        <w:rStyle w:val="Numrodepage"/>
      </w:rPr>
      <w:fldChar w:fldCharType="end"/>
    </w:r>
  </w:p>
  <w:p w:rsidP="00661E85" w:rsidR="00C75A94" w:rsidRDefault="00C75A94">
    <w:pPr>
      <w:pStyle w:val="Pieddepage"/>
      <w:ind w:right="360"/>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9604DB" w:rsidR="00C75A94" w:rsidRDefault="00C75A94">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CA306A">
      <w:rPr>
        <w:rStyle w:val="Numrodepage"/>
        <w:noProof/>
      </w:rPr>
      <w:t>7</w:t>
    </w:r>
    <w:r>
      <w:rPr>
        <w:rStyle w:val="Numrodepage"/>
      </w:rPr>
      <w:fldChar w:fldCharType="end"/>
    </w:r>
  </w:p>
  <w:p w:rsidP="00661E85" w:rsidR="00C75A94" w:rsidRDefault="00C75A94" w:rsidRPr="00AB71B4">
    <w:pPr>
      <w:pStyle w:val="Pieddepage"/>
      <w:ind w:right="360"/>
      <w:rPr>
        <w:sz w:val="20"/>
        <w:szCs w:val="20"/>
      </w:rPr>
    </w:pPr>
    <w:r>
      <w:rPr>
        <w:sz w:val="20"/>
        <w:szCs w:val="20"/>
      </w:rPr>
      <w:t>Protocole d’accord négociation annuelle</w:t>
    </w:r>
    <w:r w:rsidR="002D795D">
      <w:rPr>
        <w:sz w:val="20"/>
        <w:szCs w:val="20"/>
      </w:rPr>
      <w:t xml:space="preserve"> </w:t>
    </w:r>
    <w:r w:rsidR="004D53F7">
      <w:rPr>
        <w:sz w:val="20"/>
        <w:szCs w:val="20"/>
      </w:rPr>
      <w:t>202</w:t>
    </w:r>
    <w:r w:rsidR="003917CA">
      <w:rPr>
        <w:sz w:val="20"/>
        <w:szCs w:val="20"/>
      </w:rPr>
      <w:t>3</w:t>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C75A94" w:rsidRDefault="00C75A94">
      <w:r>
        <w:separator/>
      </w:r>
    </w:p>
  </w:footnote>
  <w:footnote w:id="0" w:type="continuationSeparator">
    <w:p w:rsidR="00C75A94" w:rsidRDefault="00C75A94">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4D53F7" w:rsidRDefault="004D53F7">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4D53F7" w:rsidRDefault="004D53F7">
    <w:pPr>
      <w:pStyle w:val="En-tte"/>
    </w:pPr>
  </w:p>
</w:hdr>
</file>

<file path=word/header3.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4D53F7" w:rsidRDefault="004D53F7">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A3F55CC"/>
    <w:multiLevelType w:val="hybridMultilevel"/>
    <w:tmpl w:val="F258CD12"/>
    <w:lvl w:ilvl="0" w:tplc="CFDA9A04">
      <w:start w:val="3"/>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D133BBB"/>
    <w:multiLevelType w:val="hybridMultilevel"/>
    <w:tmpl w:val="6CBCCA2C"/>
    <w:lvl w:ilvl="0" w:tplc="440C06BC">
      <w:start w:val="3"/>
      <w:numFmt w:val="bullet"/>
      <w:lvlText w:val="-"/>
      <w:lvlJc w:val="left"/>
      <w:pPr>
        <w:tabs>
          <w:tab w:pos="3015" w:val="num"/>
        </w:tabs>
        <w:ind w:hanging="360" w:left="3015"/>
      </w:pPr>
      <w:rPr>
        <w:rFonts w:ascii="Times New Roman" w:cs="Times New Roman" w:eastAsia="Times New Roman" w:hAnsi="Times New Roman" w:hint="default"/>
      </w:rPr>
    </w:lvl>
    <w:lvl w:ilvl="1" w:tentative="1" w:tplc="040C0003">
      <w:start w:val="1"/>
      <w:numFmt w:val="bullet"/>
      <w:lvlText w:val="o"/>
      <w:lvlJc w:val="left"/>
      <w:pPr>
        <w:tabs>
          <w:tab w:pos="1980" w:val="num"/>
        </w:tabs>
        <w:ind w:hanging="360" w:left="1980"/>
      </w:pPr>
      <w:rPr>
        <w:rFonts w:ascii="Courier New" w:cs="Courier New" w:hAnsi="Courier New" w:hint="default"/>
      </w:rPr>
    </w:lvl>
    <w:lvl w:ilvl="2" w:tentative="1" w:tplc="040C0005">
      <w:start w:val="1"/>
      <w:numFmt w:val="bullet"/>
      <w:lvlText w:val=""/>
      <w:lvlJc w:val="left"/>
      <w:pPr>
        <w:tabs>
          <w:tab w:pos="2700" w:val="num"/>
        </w:tabs>
        <w:ind w:hanging="360" w:left="2700"/>
      </w:pPr>
      <w:rPr>
        <w:rFonts w:ascii="Wingdings" w:hAnsi="Wingdings" w:hint="default"/>
      </w:rPr>
    </w:lvl>
    <w:lvl w:ilvl="3" w:tentative="1" w:tplc="040C0001">
      <w:start w:val="1"/>
      <w:numFmt w:val="bullet"/>
      <w:lvlText w:val=""/>
      <w:lvlJc w:val="left"/>
      <w:pPr>
        <w:tabs>
          <w:tab w:pos="3420" w:val="num"/>
        </w:tabs>
        <w:ind w:hanging="360" w:left="3420"/>
      </w:pPr>
      <w:rPr>
        <w:rFonts w:ascii="Symbol" w:hAnsi="Symbol" w:hint="default"/>
      </w:rPr>
    </w:lvl>
    <w:lvl w:ilvl="4" w:tentative="1" w:tplc="040C0003">
      <w:start w:val="1"/>
      <w:numFmt w:val="bullet"/>
      <w:lvlText w:val="o"/>
      <w:lvlJc w:val="left"/>
      <w:pPr>
        <w:tabs>
          <w:tab w:pos="4140" w:val="num"/>
        </w:tabs>
        <w:ind w:hanging="360" w:left="4140"/>
      </w:pPr>
      <w:rPr>
        <w:rFonts w:ascii="Courier New" w:cs="Courier New" w:hAnsi="Courier New" w:hint="default"/>
      </w:rPr>
    </w:lvl>
    <w:lvl w:ilvl="5" w:tentative="1" w:tplc="040C0005">
      <w:start w:val="1"/>
      <w:numFmt w:val="bullet"/>
      <w:lvlText w:val=""/>
      <w:lvlJc w:val="left"/>
      <w:pPr>
        <w:tabs>
          <w:tab w:pos="4860" w:val="num"/>
        </w:tabs>
        <w:ind w:hanging="360" w:left="4860"/>
      </w:pPr>
      <w:rPr>
        <w:rFonts w:ascii="Wingdings" w:hAnsi="Wingdings" w:hint="default"/>
      </w:rPr>
    </w:lvl>
    <w:lvl w:ilvl="6" w:tentative="1" w:tplc="040C0001">
      <w:start w:val="1"/>
      <w:numFmt w:val="bullet"/>
      <w:lvlText w:val=""/>
      <w:lvlJc w:val="left"/>
      <w:pPr>
        <w:tabs>
          <w:tab w:pos="5580" w:val="num"/>
        </w:tabs>
        <w:ind w:hanging="360" w:left="5580"/>
      </w:pPr>
      <w:rPr>
        <w:rFonts w:ascii="Symbol" w:hAnsi="Symbol" w:hint="default"/>
      </w:rPr>
    </w:lvl>
    <w:lvl w:ilvl="7" w:tentative="1" w:tplc="040C0003">
      <w:start w:val="1"/>
      <w:numFmt w:val="bullet"/>
      <w:lvlText w:val="o"/>
      <w:lvlJc w:val="left"/>
      <w:pPr>
        <w:tabs>
          <w:tab w:pos="6300" w:val="num"/>
        </w:tabs>
        <w:ind w:hanging="360" w:left="6300"/>
      </w:pPr>
      <w:rPr>
        <w:rFonts w:ascii="Courier New" w:cs="Courier New" w:hAnsi="Courier New" w:hint="default"/>
      </w:rPr>
    </w:lvl>
    <w:lvl w:ilvl="8" w:tentative="1" w:tplc="040C0005">
      <w:start w:val="1"/>
      <w:numFmt w:val="bullet"/>
      <w:lvlText w:val=""/>
      <w:lvlJc w:val="left"/>
      <w:pPr>
        <w:tabs>
          <w:tab w:pos="7020" w:val="num"/>
        </w:tabs>
        <w:ind w:hanging="360" w:left="7020"/>
      </w:pPr>
      <w:rPr>
        <w:rFonts w:ascii="Wingdings" w:hAnsi="Wingdings" w:hint="default"/>
      </w:rPr>
    </w:lvl>
  </w:abstractNum>
  <w:abstractNum w15:restartNumberingAfterBreak="0" w:abstractNumId="2">
    <w:nsid w:val="0DCD12AF"/>
    <w:multiLevelType w:val="hybridMultilevel"/>
    <w:tmpl w:val="E1DE85F4"/>
    <w:lvl w:ilvl="0" w:tplc="040C000F">
      <w:start w:val="1"/>
      <w:numFmt w:val="decimal"/>
      <w:lvlText w:val="%1."/>
      <w:lvlJc w:val="left"/>
      <w:pPr>
        <w:tabs>
          <w:tab w:pos="720" w:val="num"/>
        </w:tabs>
        <w:ind w:hanging="360" w:left="720"/>
      </w:p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3">
    <w:nsid w:val="0FC35CBD"/>
    <w:multiLevelType w:val="hybridMultilevel"/>
    <w:tmpl w:val="FEF48368"/>
    <w:lvl w:ilvl="0" w:tplc="440C06BC">
      <w:start w:val="3"/>
      <w:numFmt w:val="bullet"/>
      <w:lvlText w:val="-"/>
      <w:lvlJc w:val="left"/>
      <w:pPr>
        <w:tabs>
          <w:tab w:pos="2475" w:val="num"/>
        </w:tabs>
        <w:ind w:hanging="360" w:left="2475"/>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116345E0"/>
    <w:multiLevelType w:val="hybridMultilevel"/>
    <w:tmpl w:val="9492528E"/>
    <w:lvl w:ilvl="0" w:tplc="2A7C5EFE">
      <w:start w:val="1"/>
      <w:numFmt w:val="bullet"/>
      <w:lvlText w:val="-"/>
      <w:lvlJc w:val="left"/>
      <w:pPr>
        <w:ind w:hanging="360" w:left="1065"/>
      </w:pPr>
      <w:rPr>
        <w:rFonts w:ascii="Times New Roman" w:cs="Times New Roman" w:eastAsia="Times New Roman" w:hAnsi="Times New Roman"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15:restartNumberingAfterBreak="0" w:abstractNumId="5">
    <w:nsid w:val="1D742FF7"/>
    <w:multiLevelType w:val="hybridMultilevel"/>
    <w:tmpl w:val="B5DEB5E8"/>
    <w:lvl w:ilvl="0" w:tplc="440C06BC">
      <w:start w:val="3"/>
      <w:numFmt w:val="bullet"/>
      <w:lvlText w:val="-"/>
      <w:lvlJc w:val="left"/>
      <w:pPr>
        <w:tabs>
          <w:tab w:pos="2475" w:val="num"/>
        </w:tabs>
        <w:ind w:hanging="360" w:left="2475"/>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6">
    <w:nsid w:val="1FD01C35"/>
    <w:multiLevelType w:val="hybridMultilevel"/>
    <w:tmpl w:val="89CCE800"/>
    <w:lvl w:ilvl="0" w:tplc="040C0005">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208C442D"/>
    <w:multiLevelType w:val="hybridMultilevel"/>
    <w:tmpl w:val="7E24C460"/>
    <w:lvl w:ilvl="0" w:tplc="040C0009">
      <w:start w:val="1"/>
      <w:numFmt w:val="bullet"/>
      <w:lvlText w:val=""/>
      <w:lvlJc w:val="left"/>
      <w:pPr>
        <w:tabs>
          <w:tab w:pos="900" w:val="num"/>
        </w:tabs>
        <w:ind w:hanging="360" w:left="90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8">
    <w:nsid w:val="21A7490B"/>
    <w:multiLevelType w:val="hybridMultilevel"/>
    <w:tmpl w:val="E91EDF2A"/>
    <w:lvl w:ilvl="0" w:tplc="040C0009">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9">
    <w:nsid w:val="24A5165F"/>
    <w:multiLevelType w:val="hybridMultilevel"/>
    <w:tmpl w:val="C1383C06"/>
    <w:lvl w:ilvl="0" w:tplc="040C0003">
      <w:start w:val="1"/>
      <w:numFmt w:val="bullet"/>
      <w:lvlText w:val="o"/>
      <w:lvlJc w:val="left"/>
      <w:pPr>
        <w:tabs>
          <w:tab w:pos="720" w:val="num"/>
        </w:tabs>
        <w:ind w:hanging="360" w:left="720"/>
      </w:pPr>
      <w:rPr>
        <w:rFonts w:ascii="Courier New" w:cs="Courier New" w:hAnsi="Courier New"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0">
    <w:nsid w:val="2E8A1AEF"/>
    <w:multiLevelType w:val="hybridMultilevel"/>
    <w:tmpl w:val="E850DC2C"/>
    <w:lvl w:ilvl="0" w:tplc="040C0003">
      <w:start w:val="1"/>
      <w:numFmt w:val="bullet"/>
      <w:lvlText w:val="o"/>
      <w:lvlJc w:val="left"/>
      <w:pPr>
        <w:tabs>
          <w:tab w:pos="1068" w:val="num"/>
        </w:tabs>
        <w:ind w:hanging="360" w:left="1068"/>
      </w:pPr>
      <w:rPr>
        <w:rFonts w:ascii="Courier New" w:cs="Courier New" w:hAnsi="Courier New" w:hint="default"/>
      </w:rPr>
    </w:lvl>
    <w:lvl w:ilvl="1" w:tentative="1" w:tplc="040C0003">
      <w:start w:val="1"/>
      <w:numFmt w:val="bullet"/>
      <w:lvlText w:val="o"/>
      <w:lvlJc w:val="left"/>
      <w:pPr>
        <w:tabs>
          <w:tab w:pos="1788" w:val="num"/>
        </w:tabs>
        <w:ind w:hanging="360" w:left="1788"/>
      </w:pPr>
      <w:rPr>
        <w:rFonts w:ascii="Courier New" w:cs="Courier New" w:hAnsi="Courier New" w:hint="default"/>
      </w:rPr>
    </w:lvl>
    <w:lvl w:ilvl="2" w:tentative="1" w:tplc="040C0005">
      <w:start w:val="1"/>
      <w:numFmt w:val="bullet"/>
      <w:lvlText w:val=""/>
      <w:lvlJc w:val="left"/>
      <w:pPr>
        <w:tabs>
          <w:tab w:pos="2508" w:val="num"/>
        </w:tabs>
        <w:ind w:hanging="360" w:left="2508"/>
      </w:pPr>
      <w:rPr>
        <w:rFonts w:ascii="Wingdings" w:hAnsi="Wingdings" w:hint="default"/>
      </w:rPr>
    </w:lvl>
    <w:lvl w:ilvl="3" w:tentative="1" w:tplc="040C0001">
      <w:start w:val="1"/>
      <w:numFmt w:val="bullet"/>
      <w:lvlText w:val=""/>
      <w:lvlJc w:val="left"/>
      <w:pPr>
        <w:tabs>
          <w:tab w:pos="3228" w:val="num"/>
        </w:tabs>
        <w:ind w:hanging="360" w:left="3228"/>
      </w:pPr>
      <w:rPr>
        <w:rFonts w:ascii="Symbol" w:hAnsi="Symbol" w:hint="default"/>
      </w:rPr>
    </w:lvl>
    <w:lvl w:ilvl="4" w:tentative="1" w:tplc="040C0003">
      <w:start w:val="1"/>
      <w:numFmt w:val="bullet"/>
      <w:lvlText w:val="o"/>
      <w:lvlJc w:val="left"/>
      <w:pPr>
        <w:tabs>
          <w:tab w:pos="3948" w:val="num"/>
        </w:tabs>
        <w:ind w:hanging="360" w:left="3948"/>
      </w:pPr>
      <w:rPr>
        <w:rFonts w:ascii="Courier New" w:cs="Courier New" w:hAnsi="Courier New" w:hint="default"/>
      </w:rPr>
    </w:lvl>
    <w:lvl w:ilvl="5" w:tentative="1" w:tplc="040C0005">
      <w:start w:val="1"/>
      <w:numFmt w:val="bullet"/>
      <w:lvlText w:val=""/>
      <w:lvlJc w:val="left"/>
      <w:pPr>
        <w:tabs>
          <w:tab w:pos="4668" w:val="num"/>
        </w:tabs>
        <w:ind w:hanging="360" w:left="4668"/>
      </w:pPr>
      <w:rPr>
        <w:rFonts w:ascii="Wingdings" w:hAnsi="Wingdings" w:hint="default"/>
      </w:rPr>
    </w:lvl>
    <w:lvl w:ilvl="6" w:tentative="1" w:tplc="040C0001">
      <w:start w:val="1"/>
      <w:numFmt w:val="bullet"/>
      <w:lvlText w:val=""/>
      <w:lvlJc w:val="left"/>
      <w:pPr>
        <w:tabs>
          <w:tab w:pos="5388" w:val="num"/>
        </w:tabs>
        <w:ind w:hanging="360" w:left="5388"/>
      </w:pPr>
      <w:rPr>
        <w:rFonts w:ascii="Symbol" w:hAnsi="Symbol" w:hint="default"/>
      </w:rPr>
    </w:lvl>
    <w:lvl w:ilvl="7" w:tentative="1" w:tplc="040C0003">
      <w:start w:val="1"/>
      <w:numFmt w:val="bullet"/>
      <w:lvlText w:val="o"/>
      <w:lvlJc w:val="left"/>
      <w:pPr>
        <w:tabs>
          <w:tab w:pos="6108" w:val="num"/>
        </w:tabs>
        <w:ind w:hanging="360" w:left="6108"/>
      </w:pPr>
      <w:rPr>
        <w:rFonts w:ascii="Courier New" w:cs="Courier New" w:hAnsi="Courier New" w:hint="default"/>
      </w:rPr>
    </w:lvl>
    <w:lvl w:ilvl="8" w:tentative="1" w:tplc="040C0005">
      <w:start w:val="1"/>
      <w:numFmt w:val="bullet"/>
      <w:lvlText w:val=""/>
      <w:lvlJc w:val="left"/>
      <w:pPr>
        <w:tabs>
          <w:tab w:pos="6828" w:val="num"/>
        </w:tabs>
        <w:ind w:hanging="360" w:left="6828"/>
      </w:pPr>
      <w:rPr>
        <w:rFonts w:ascii="Wingdings" w:hAnsi="Wingdings" w:hint="default"/>
      </w:rPr>
    </w:lvl>
  </w:abstractNum>
  <w:abstractNum w15:restartNumberingAfterBreak="0" w:abstractNumId="11">
    <w:nsid w:val="31223107"/>
    <w:multiLevelType w:val="hybridMultilevel"/>
    <w:tmpl w:val="3600ECA8"/>
    <w:lvl w:ilvl="0" w:tplc="440C06BC">
      <w:start w:val="3"/>
      <w:numFmt w:val="bullet"/>
      <w:lvlText w:val="-"/>
      <w:lvlJc w:val="left"/>
      <w:pPr>
        <w:tabs>
          <w:tab w:pos="2475" w:val="num"/>
        </w:tabs>
        <w:ind w:hanging="360" w:left="2475"/>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37E63623"/>
    <w:multiLevelType w:val="hybridMultilevel"/>
    <w:tmpl w:val="D25241CE"/>
    <w:lvl w:ilvl="0" w:tplc="8C0E7870">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3A2F4B36"/>
    <w:multiLevelType w:val="hybridMultilevel"/>
    <w:tmpl w:val="2BDCE562"/>
    <w:lvl w:ilvl="0" w:tplc="78641626">
      <w:start w:val="4"/>
      <w:numFmt w:val="bullet"/>
      <w:lvlText w:val="-"/>
      <w:lvlJc w:val="left"/>
      <w:pPr>
        <w:tabs>
          <w:tab w:pos="900" w:val="num"/>
        </w:tabs>
        <w:ind w:hanging="360" w:left="900"/>
      </w:pPr>
      <w:rPr>
        <w:rFonts w:ascii="Times New Roman" w:cs="Times New Roman" w:eastAsia="Times New Roman" w:hAnsi="Times New Roman" w:hint="default"/>
      </w:rPr>
    </w:lvl>
    <w:lvl w:ilvl="1" w:tentative="1" w:tplc="040C0003">
      <w:start w:val="1"/>
      <w:numFmt w:val="bullet"/>
      <w:lvlText w:val="o"/>
      <w:lvlJc w:val="left"/>
      <w:pPr>
        <w:tabs>
          <w:tab w:pos="1620" w:val="num"/>
        </w:tabs>
        <w:ind w:hanging="360" w:left="1620"/>
      </w:pPr>
      <w:rPr>
        <w:rFonts w:ascii="Courier New" w:cs="Courier New" w:hAnsi="Courier New" w:hint="default"/>
      </w:rPr>
    </w:lvl>
    <w:lvl w:ilvl="2" w:tentative="1" w:tplc="040C0005">
      <w:start w:val="1"/>
      <w:numFmt w:val="bullet"/>
      <w:lvlText w:val=""/>
      <w:lvlJc w:val="left"/>
      <w:pPr>
        <w:tabs>
          <w:tab w:pos="2340" w:val="num"/>
        </w:tabs>
        <w:ind w:hanging="360" w:left="2340"/>
      </w:pPr>
      <w:rPr>
        <w:rFonts w:ascii="Wingdings" w:hAnsi="Wingdings" w:hint="default"/>
      </w:rPr>
    </w:lvl>
    <w:lvl w:ilvl="3" w:tentative="1" w:tplc="040C0001">
      <w:start w:val="1"/>
      <w:numFmt w:val="bullet"/>
      <w:lvlText w:val=""/>
      <w:lvlJc w:val="left"/>
      <w:pPr>
        <w:tabs>
          <w:tab w:pos="3060" w:val="num"/>
        </w:tabs>
        <w:ind w:hanging="360" w:left="3060"/>
      </w:pPr>
      <w:rPr>
        <w:rFonts w:ascii="Symbol" w:hAnsi="Symbol" w:hint="default"/>
      </w:rPr>
    </w:lvl>
    <w:lvl w:ilvl="4" w:tentative="1" w:tplc="040C0003">
      <w:start w:val="1"/>
      <w:numFmt w:val="bullet"/>
      <w:lvlText w:val="o"/>
      <w:lvlJc w:val="left"/>
      <w:pPr>
        <w:tabs>
          <w:tab w:pos="3780" w:val="num"/>
        </w:tabs>
        <w:ind w:hanging="360" w:left="3780"/>
      </w:pPr>
      <w:rPr>
        <w:rFonts w:ascii="Courier New" w:cs="Courier New" w:hAnsi="Courier New" w:hint="default"/>
      </w:rPr>
    </w:lvl>
    <w:lvl w:ilvl="5" w:tentative="1" w:tplc="040C0005">
      <w:start w:val="1"/>
      <w:numFmt w:val="bullet"/>
      <w:lvlText w:val=""/>
      <w:lvlJc w:val="left"/>
      <w:pPr>
        <w:tabs>
          <w:tab w:pos="4500" w:val="num"/>
        </w:tabs>
        <w:ind w:hanging="360" w:left="4500"/>
      </w:pPr>
      <w:rPr>
        <w:rFonts w:ascii="Wingdings" w:hAnsi="Wingdings" w:hint="default"/>
      </w:rPr>
    </w:lvl>
    <w:lvl w:ilvl="6" w:tentative="1" w:tplc="040C0001">
      <w:start w:val="1"/>
      <w:numFmt w:val="bullet"/>
      <w:lvlText w:val=""/>
      <w:lvlJc w:val="left"/>
      <w:pPr>
        <w:tabs>
          <w:tab w:pos="5220" w:val="num"/>
        </w:tabs>
        <w:ind w:hanging="360" w:left="5220"/>
      </w:pPr>
      <w:rPr>
        <w:rFonts w:ascii="Symbol" w:hAnsi="Symbol" w:hint="default"/>
      </w:rPr>
    </w:lvl>
    <w:lvl w:ilvl="7" w:tentative="1" w:tplc="040C0003">
      <w:start w:val="1"/>
      <w:numFmt w:val="bullet"/>
      <w:lvlText w:val="o"/>
      <w:lvlJc w:val="left"/>
      <w:pPr>
        <w:tabs>
          <w:tab w:pos="5940" w:val="num"/>
        </w:tabs>
        <w:ind w:hanging="360" w:left="5940"/>
      </w:pPr>
      <w:rPr>
        <w:rFonts w:ascii="Courier New" w:cs="Courier New" w:hAnsi="Courier New" w:hint="default"/>
      </w:rPr>
    </w:lvl>
    <w:lvl w:ilvl="8" w:tentative="1" w:tplc="040C0005">
      <w:start w:val="1"/>
      <w:numFmt w:val="bullet"/>
      <w:lvlText w:val=""/>
      <w:lvlJc w:val="left"/>
      <w:pPr>
        <w:tabs>
          <w:tab w:pos="6660" w:val="num"/>
        </w:tabs>
        <w:ind w:hanging="360" w:left="6660"/>
      </w:pPr>
      <w:rPr>
        <w:rFonts w:ascii="Wingdings" w:hAnsi="Wingdings" w:hint="default"/>
      </w:rPr>
    </w:lvl>
  </w:abstractNum>
  <w:abstractNum w15:restartNumberingAfterBreak="0" w:abstractNumId="14">
    <w:nsid w:val="3DDC69DF"/>
    <w:multiLevelType w:val="hybridMultilevel"/>
    <w:tmpl w:val="D7929960"/>
    <w:lvl w:ilvl="0" w:tplc="440C06BC">
      <w:start w:val="3"/>
      <w:numFmt w:val="bullet"/>
      <w:lvlText w:val="-"/>
      <w:lvlJc w:val="left"/>
      <w:pPr>
        <w:tabs>
          <w:tab w:pos="2475" w:val="num"/>
        </w:tabs>
        <w:ind w:hanging="360" w:left="2475"/>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5">
    <w:nsid w:val="418E2541"/>
    <w:multiLevelType w:val="hybridMultilevel"/>
    <w:tmpl w:val="F19E0074"/>
    <w:lvl w:ilvl="0" w:tplc="3A845D9E">
      <w:start w:val="4991"/>
      <w:numFmt w:val="bullet"/>
      <w:lvlText w:val=""/>
      <w:lvlJc w:val="left"/>
      <w:pPr>
        <w:ind w:hanging="360" w:left="900"/>
      </w:pPr>
      <w:rPr>
        <w:rFonts w:ascii="Symbol" w:cs="Times New Roman" w:eastAsia="Times New Roman" w:hAnsi="Symbol" w:hint="default"/>
        <w:b w:val="0"/>
      </w:rPr>
    </w:lvl>
    <w:lvl w:ilvl="1" w:tentative="1" w:tplc="040C0003">
      <w:start w:val="1"/>
      <w:numFmt w:val="bullet"/>
      <w:lvlText w:val="o"/>
      <w:lvlJc w:val="left"/>
      <w:pPr>
        <w:ind w:hanging="360" w:left="1620"/>
      </w:pPr>
      <w:rPr>
        <w:rFonts w:ascii="Courier New" w:cs="Courier New" w:hAnsi="Courier New" w:hint="default"/>
      </w:rPr>
    </w:lvl>
    <w:lvl w:ilvl="2" w:tentative="1" w:tplc="040C0005">
      <w:start w:val="1"/>
      <w:numFmt w:val="bullet"/>
      <w:lvlText w:val=""/>
      <w:lvlJc w:val="left"/>
      <w:pPr>
        <w:ind w:hanging="360" w:left="2340"/>
      </w:pPr>
      <w:rPr>
        <w:rFonts w:ascii="Wingdings" w:hAnsi="Wingdings" w:hint="default"/>
      </w:rPr>
    </w:lvl>
    <w:lvl w:ilvl="3" w:tentative="1" w:tplc="040C0001">
      <w:start w:val="1"/>
      <w:numFmt w:val="bullet"/>
      <w:lvlText w:val=""/>
      <w:lvlJc w:val="left"/>
      <w:pPr>
        <w:ind w:hanging="360" w:left="3060"/>
      </w:pPr>
      <w:rPr>
        <w:rFonts w:ascii="Symbol" w:hAnsi="Symbol" w:hint="default"/>
      </w:rPr>
    </w:lvl>
    <w:lvl w:ilvl="4" w:tentative="1" w:tplc="040C0003">
      <w:start w:val="1"/>
      <w:numFmt w:val="bullet"/>
      <w:lvlText w:val="o"/>
      <w:lvlJc w:val="left"/>
      <w:pPr>
        <w:ind w:hanging="360" w:left="3780"/>
      </w:pPr>
      <w:rPr>
        <w:rFonts w:ascii="Courier New" w:cs="Courier New" w:hAnsi="Courier New" w:hint="default"/>
      </w:rPr>
    </w:lvl>
    <w:lvl w:ilvl="5" w:tentative="1" w:tplc="040C0005">
      <w:start w:val="1"/>
      <w:numFmt w:val="bullet"/>
      <w:lvlText w:val=""/>
      <w:lvlJc w:val="left"/>
      <w:pPr>
        <w:ind w:hanging="360" w:left="4500"/>
      </w:pPr>
      <w:rPr>
        <w:rFonts w:ascii="Wingdings" w:hAnsi="Wingdings" w:hint="default"/>
      </w:rPr>
    </w:lvl>
    <w:lvl w:ilvl="6" w:tentative="1" w:tplc="040C0001">
      <w:start w:val="1"/>
      <w:numFmt w:val="bullet"/>
      <w:lvlText w:val=""/>
      <w:lvlJc w:val="left"/>
      <w:pPr>
        <w:ind w:hanging="360" w:left="5220"/>
      </w:pPr>
      <w:rPr>
        <w:rFonts w:ascii="Symbol" w:hAnsi="Symbol" w:hint="default"/>
      </w:rPr>
    </w:lvl>
    <w:lvl w:ilvl="7" w:tentative="1" w:tplc="040C0003">
      <w:start w:val="1"/>
      <w:numFmt w:val="bullet"/>
      <w:lvlText w:val="o"/>
      <w:lvlJc w:val="left"/>
      <w:pPr>
        <w:ind w:hanging="360" w:left="5940"/>
      </w:pPr>
      <w:rPr>
        <w:rFonts w:ascii="Courier New" w:cs="Courier New" w:hAnsi="Courier New" w:hint="default"/>
      </w:rPr>
    </w:lvl>
    <w:lvl w:ilvl="8" w:tentative="1" w:tplc="040C0005">
      <w:start w:val="1"/>
      <w:numFmt w:val="bullet"/>
      <w:lvlText w:val=""/>
      <w:lvlJc w:val="left"/>
      <w:pPr>
        <w:ind w:hanging="360" w:left="6660"/>
      </w:pPr>
      <w:rPr>
        <w:rFonts w:ascii="Wingdings" w:hAnsi="Wingdings" w:hint="default"/>
      </w:rPr>
    </w:lvl>
  </w:abstractNum>
  <w:abstractNum w15:restartNumberingAfterBreak="0" w:abstractNumId="16">
    <w:nsid w:val="51725922"/>
    <w:multiLevelType w:val="hybridMultilevel"/>
    <w:tmpl w:val="7CD8FED8"/>
    <w:lvl w:ilvl="0" w:tplc="440C06BC">
      <w:start w:val="3"/>
      <w:numFmt w:val="bullet"/>
      <w:lvlText w:val="-"/>
      <w:lvlJc w:val="left"/>
      <w:pPr>
        <w:tabs>
          <w:tab w:pos="2475" w:val="num"/>
        </w:tabs>
        <w:ind w:hanging="360" w:left="2475"/>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7">
    <w:nsid w:val="5C347607"/>
    <w:multiLevelType w:val="hybridMultilevel"/>
    <w:tmpl w:val="CC6E25FA"/>
    <w:lvl w:ilvl="0" w:tplc="040C0003">
      <w:start w:val="1"/>
      <w:numFmt w:val="bullet"/>
      <w:lvlText w:val="o"/>
      <w:lvlJc w:val="left"/>
      <w:pPr>
        <w:tabs>
          <w:tab w:pos="1440" w:val="num"/>
        </w:tabs>
        <w:ind w:hanging="360" w:left="1440"/>
      </w:pPr>
      <w:rPr>
        <w:rFonts w:ascii="Courier New" w:cs="Courier New" w:hAnsi="Courier New" w:hint="default"/>
      </w:rPr>
    </w:lvl>
    <w:lvl w:ilvl="1" w:tplc="440C06BC">
      <w:start w:val="3"/>
      <w:numFmt w:val="bullet"/>
      <w:lvlText w:val="-"/>
      <w:lvlJc w:val="left"/>
      <w:pPr>
        <w:tabs>
          <w:tab w:pos="2148" w:val="num"/>
        </w:tabs>
        <w:ind w:hanging="360" w:left="2148"/>
      </w:pPr>
      <w:rPr>
        <w:rFonts w:ascii="Times New Roman" w:cs="Times New Roman" w:eastAsia="Times New Roman" w:hAnsi="Times New Roman" w:hint="default"/>
      </w:rPr>
    </w:lvl>
    <w:lvl w:ilvl="2" w:tentative="1" w:tplc="040C0005">
      <w:start w:val="1"/>
      <w:numFmt w:val="bullet"/>
      <w:lvlText w:val=""/>
      <w:lvlJc w:val="left"/>
      <w:pPr>
        <w:tabs>
          <w:tab w:pos="2868" w:val="num"/>
        </w:tabs>
        <w:ind w:hanging="360" w:left="2868"/>
      </w:pPr>
      <w:rPr>
        <w:rFonts w:ascii="Wingdings" w:hAnsi="Wingdings" w:hint="default"/>
      </w:rPr>
    </w:lvl>
    <w:lvl w:ilvl="3" w:tentative="1" w:tplc="040C0001">
      <w:start w:val="1"/>
      <w:numFmt w:val="bullet"/>
      <w:lvlText w:val=""/>
      <w:lvlJc w:val="left"/>
      <w:pPr>
        <w:tabs>
          <w:tab w:pos="3588" w:val="num"/>
        </w:tabs>
        <w:ind w:hanging="360" w:left="3588"/>
      </w:pPr>
      <w:rPr>
        <w:rFonts w:ascii="Symbol" w:hAnsi="Symbol" w:hint="default"/>
      </w:rPr>
    </w:lvl>
    <w:lvl w:ilvl="4" w:tentative="1" w:tplc="040C0003">
      <w:start w:val="1"/>
      <w:numFmt w:val="bullet"/>
      <w:lvlText w:val="o"/>
      <w:lvlJc w:val="left"/>
      <w:pPr>
        <w:tabs>
          <w:tab w:pos="4308" w:val="num"/>
        </w:tabs>
        <w:ind w:hanging="360" w:left="4308"/>
      </w:pPr>
      <w:rPr>
        <w:rFonts w:ascii="Courier New" w:cs="Courier New" w:hAnsi="Courier New" w:hint="default"/>
      </w:rPr>
    </w:lvl>
    <w:lvl w:ilvl="5" w:tentative="1" w:tplc="040C0005">
      <w:start w:val="1"/>
      <w:numFmt w:val="bullet"/>
      <w:lvlText w:val=""/>
      <w:lvlJc w:val="left"/>
      <w:pPr>
        <w:tabs>
          <w:tab w:pos="5028" w:val="num"/>
        </w:tabs>
        <w:ind w:hanging="360" w:left="5028"/>
      </w:pPr>
      <w:rPr>
        <w:rFonts w:ascii="Wingdings" w:hAnsi="Wingdings" w:hint="default"/>
      </w:rPr>
    </w:lvl>
    <w:lvl w:ilvl="6" w:tentative="1" w:tplc="040C0001">
      <w:start w:val="1"/>
      <w:numFmt w:val="bullet"/>
      <w:lvlText w:val=""/>
      <w:lvlJc w:val="left"/>
      <w:pPr>
        <w:tabs>
          <w:tab w:pos="5748" w:val="num"/>
        </w:tabs>
        <w:ind w:hanging="360" w:left="5748"/>
      </w:pPr>
      <w:rPr>
        <w:rFonts w:ascii="Symbol" w:hAnsi="Symbol" w:hint="default"/>
      </w:rPr>
    </w:lvl>
    <w:lvl w:ilvl="7" w:tentative="1" w:tplc="040C0003">
      <w:start w:val="1"/>
      <w:numFmt w:val="bullet"/>
      <w:lvlText w:val="o"/>
      <w:lvlJc w:val="left"/>
      <w:pPr>
        <w:tabs>
          <w:tab w:pos="6468" w:val="num"/>
        </w:tabs>
        <w:ind w:hanging="360" w:left="6468"/>
      </w:pPr>
      <w:rPr>
        <w:rFonts w:ascii="Courier New" w:cs="Courier New" w:hAnsi="Courier New" w:hint="default"/>
      </w:rPr>
    </w:lvl>
    <w:lvl w:ilvl="8" w:tentative="1" w:tplc="040C0005">
      <w:start w:val="1"/>
      <w:numFmt w:val="bullet"/>
      <w:lvlText w:val=""/>
      <w:lvlJc w:val="left"/>
      <w:pPr>
        <w:tabs>
          <w:tab w:pos="7188" w:val="num"/>
        </w:tabs>
        <w:ind w:hanging="360" w:left="7188"/>
      </w:pPr>
      <w:rPr>
        <w:rFonts w:ascii="Wingdings" w:hAnsi="Wingdings" w:hint="default"/>
      </w:rPr>
    </w:lvl>
  </w:abstractNum>
  <w:abstractNum w15:restartNumberingAfterBreak="0" w:abstractNumId="18">
    <w:nsid w:val="5CB7117B"/>
    <w:multiLevelType w:val="hybridMultilevel"/>
    <w:tmpl w:val="0F3E4132"/>
    <w:lvl w:ilvl="0" w:tplc="99EC63B2">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61E026A1"/>
    <w:multiLevelType w:val="multilevel"/>
    <w:tmpl w:val="76A29C7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0">
    <w:nsid w:val="63ED5A4C"/>
    <w:multiLevelType w:val="multilevel"/>
    <w:tmpl w:val="7E24C460"/>
    <w:lvl w:ilvl="0">
      <w:start w:val="1"/>
      <w:numFmt w:val="bullet"/>
      <w:lvlText w:val=""/>
      <w:lvlJc w:val="left"/>
      <w:pPr>
        <w:tabs>
          <w:tab w:pos="900" w:val="num"/>
        </w:tabs>
        <w:ind w:hanging="360" w:left="900"/>
      </w:pPr>
      <w:rPr>
        <w:rFonts w:ascii="Wingdings" w:hAnsi="Wingdings"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21">
    <w:nsid w:val="642F383D"/>
    <w:multiLevelType w:val="hybridMultilevel"/>
    <w:tmpl w:val="6C94C75E"/>
    <w:lvl w:ilvl="0" w:tplc="6D9C80BE">
      <w:numFmt w:val="bullet"/>
      <w:lvlText w:val="-"/>
      <w:lvlJc w:val="left"/>
      <w:pPr>
        <w:ind w:hanging="360" w:left="720"/>
      </w:pPr>
      <w:rPr>
        <w:rFonts w:ascii="Times New Roman" w:cs="Times New Roman" w:eastAsia="Times New Roman" w:hAnsi="Times New Roman"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73B35EB9"/>
    <w:multiLevelType w:val="hybridMultilevel"/>
    <w:tmpl w:val="6C707A68"/>
    <w:lvl w:ilvl="0" w:tplc="7136BD34">
      <w:start w:val="8"/>
      <w:numFmt w:val="bullet"/>
      <w:lvlText w:val="-"/>
      <w:lvlJc w:val="left"/>
      <w:pPr>
        <w:tabs>
          <w:tab w:pos="4996" w:val="num"/>
        </w:tabs>
        <w:ind w:hanging="360" w:left="4996"/>
      </w:pPr>
      <w:rPr>
        <w:rFonts w:ascii="Times New Roman" w:cs="Times New Roman" w:eastAsia="Times New Roman" w:hAnsi="Times New Roman" w:hint="default"/>
      </w:rPr>
    </w:lvl>
    <w:lvl w:ilvl="1" w:tentative="1" w:tplc="040C0003">
      <w:start w:val="1"/>
      <w:numFmt w:val="bullet"/>
      <w:lvlText w:val="o"/>
      <w:lvlJc w:val="left"/>
      <w:pPr>
        <w:tabs>
          <w:tab w:pos="1980" w:val="num"/>
        </w:tabs>
        <w:ind w:hanging="360" w:left="1980"/>
      </w:pPr>
      <w:rPr>
        <w:rFonts w:ascii="Courier New" w:cs="Courier New" w:hAnsi="Courier New" w:hint="default"/>
      </w:rPr>
    </w:lvl>
    <w:lvl w:ilvl="2" w:tentative="1" w:tplc="040C0005">
      <w:start w:val="1"/>
      <w:numFmt w:val="bullet"/>
      <w:lvlText w:val=""/>
      <w:lvlJc w:val="left"/>
      <w:pPr>
        <w:tabs>
          <w:tab w:pos="2700" w:val="num"/>
        </w:tabs>
        <w:ind w:hanging="360" w:left="2700"/>
      </w:pPr>
      <w:rPr>
        <w:rFonts w:ascii="Wingdings" w:hAnsi="Wingdings" w:hint="default"/>
      </w:rPr>
    </w:lvl>
    <w:lvl w:ilvl="3" w:tentative="1" w:tplc="040C0001">
      <w:start w:val="1"/>
      <w:numFmt w:val="bullet"/>
      <w:lvlText w:val=""/>
      <w:lvlJc w:val="left"/>
      <w:pPr>
        <w:tabs>
          <w:tab w:pos="3420" w:val="num"/>
        </w:tabs>
        <w:ind w:hanging="360" w:left="3420"/>
      </w:pPr>
      <w:rPr>
        <w:rFonts w:ascii="Symbol" w:hAnsi="Symbol" w:hint="default"/>
      </w:rPr>
    </w:lvl>
    <w:lvl w:ilvl="4" w:tentative="1" w:tplc="040C0003">
      <w:start w:val="1"/>
      <w:numFmt w:val="bullet"/>
      <w:lvlText w:val="o"/>
      <w:lvlJc w:val="left"/>
      <w:pPr>
        <w:tabs>
          <w:tab w:pos="4140" w:val="num"/>
        </w:tabs>
        <w:ind w:hanging="360" w:left="4140"/>
      </w:pPr>
      <w:rPr>
        <w:rFonts w:ascii="Courier New" w:cs="Courier New" w:hAnsi="Courier New" w:hint="default"/>
      </w:rPr>
    </w:lvl>
    <w:lvl w:ilvl="5" w:tentative="1" w:tplc="040C0005">
      <w:start w:val="1"/>
      <w:numFmt w:val="bullet"/>
      <w:lvlText w:val=""/>
      <w:lvlJc w:val="left"/>
      <w:pPr>
        <w:tabs>
          <w:tab w:pos="4860" w:val="num"/>
        </w:tabs>
        <w:ind w:hanging="360" w:left="4860"/>
      </w:pPr>
      <w:rPr>
        <w:rFonts w:ascii="Wingdings" w:hAnsi="Wingdings" w:hint="default"/>
      </w:rPr>
    </w:lvl>
    <w:lvl w:ilvl="6" w:tentative="1" w:tplc="040C0001">
      <w:start w:val="1"/>
      <w:numFmt w:val="bullet"/>
      <w:lvlText w:val=""/>
      <w:lvlJc w:val="left"/>
      <w:pPr>
        <w:tabs>
          <w:tab w:pos="5580" w:val="num"/>
        </w:tabs>
        <w:ind w:hanging="360" w:left="5580"/>
      </w:pPr>
      <w:rPr>
        <w:rFonts w:ascii="Symbol" w:hAnsi="Symbol" w:hint="default"/>
      </w:rPr>
    </w:lvl>
    <w:lvl w:ilvl="7" w:tentative="1" w:tplc="040C0003">
      <w:start w:val="1"/>
      <w:numFmt w:val="bullet"/>
      <w:lvlText w:val="o"/>
      <w:lvlJc w:val="left"/>
      <w:pPr>
        <w:tabs>
          <w:tab w:pos="6300" w:val="num"/>
        </w:tabs>
        <w:ind w:hanging="360" w:left="6300"/>
      </w:pPr>
      <w:rPr>
        <w:rFonts w:ascii="Courier New" w:cs="Courier New" w:hAnsi="Courier New" w:hint="default"/>
      </w:rPr>
    </w:lvl>
    <w:lvl w:ilvl="8" w:tentative="1" w:tplc="040C0005">
      <w:start w:val="1"/>
      <w:numFmt w:val="bullet"/>
      <w:lvlText w:val=""/>
      <w:lvlJc w:val="left"/>
      <w:pPr>
        <w:tabs>
          <w:tab w:pos="7020" w:val="num"/>
        </w:tabs>
        <w:ind w:hanging="360" w:left="7020"/>
      </w:pPr>
      <w:rPr>
        <w:rFonts w:ascii="Wingdings" w:hAnsi="Wingdings" w:hint="default"/>
      </w:rPr>
    </w:lvl>
  </w:abstractNum>
  <w:abstractNum w15:restartNumberingAfterBreak="0" w:abstractNumId="23">
    <w:nsid w:val="744837EF"/>
    <w:multiLevelType w:val="hybridMultilevel"/>
    <w:tmpl w:val="0652E63C"/>
    <w:lvl w:ilvl="0" w:tplc="7136BD34">
      <w:start w:val="8"/>
      <w:numFmt w:val="bullet"/>
      <w:lvlText w:val="-"/>
      <w:lvlJc w:val="left"/>
      <w:pPr>
        <w:tabs>
          <w:tab w:pos="4456" w:val="num"/>
        </w:tabs>
        <w:ind w:hanging="360" w:left="4456"/>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4">
    <w:nsid w:val="7D404E0A"/>
    <w:multiLevelType w:val="hybridMultilevel"/>
    <w:tmpl w:val="9DC627FE"/>
    <w:lvl w:ilvl="0" w:tplc="215086C4">
      <w:start w:val="6"/>
      <w:numFmt w:val="bullet"/>
      <w:lvlText w:val="-"/>
      <w:lvlJc w:val="left"/>
      <w:pPr>
        <w:tabs>
          <w:tab w:pos="900" w:val="num"/>
        </w:tabs>
        <w:ind w:hanging="360" w:left="900"/>
      </w:pPr>
      <w:rPr>
        <w:rFonts w:ascii="Times New Roman" w:cs="Times New Roman" w:eastAsia="Times New Roman" w:hAnsi="Times New Roman" w:hint="default"/>
      </w:rPr>
    </w:lvl>
    <w:lvl w:ilvl="1" w:tentative="1" w:tplc="040C0003">
      <w:start w:val="1"/>
      <w:numFmt w:val="bullet"/>
      <w:lvlText w:val="o"/>
      <w:lvlJc w:val="left"/>
      <w:pPr>
        <w:tabs>
          <w:tab w:pos="1620" w:val="num"/>
        </w:tabs>
        <w:ind w:hanging="360" w:left="1620"/>
      </w:pPr>
      <w:rPr>
        <w:rFonts w:ascii="Courier New" w:cs="Courier New" w:hAnsi="Courier New" w:hint="default"/>
      </w:rPr>
    </w:lvl>
    <w:lvl w:ilvl="2" w:tentative="1" w:tplc="040C0005">
      <w:start w:val="1"/>
      <w:numFmt w:val="bullet"/>
      <w:lvlText w:val=""/>
      <w:lvlJc w:val="left"/>
      <w:pPr>
        <w:tabs>
          <w:tab w:pos="2340" w:val="num"/>
        </w:tabs>
        <w:ind w:hanging="360" w:left="2340"/>
      </w:pPr>
      <w:rPr>
        <w:rFonts w:ascii="Wingdings" w:hAnsi="Wingdings" w:hint="default"/>
      </w:rPr>
    </w:lvl>
    <w:lvl w:ilvl="3" w:tentative="1" w:tplc="040C0001">
      <w:start w:val="1"/>
      <w:numFmt w:val="bullet"/>
      <w:lvlText w:val=""/>
      <w:lvlJc w:val="left"/>
      <w:pPr>
        <w:tabs>
          <w:tab w:pos="3060" w:val="num"/>
        </w:tabs>
        <w:ind w:hanging="360" w:left="3060"/>
      </w:pPr>
      <w:rPr>
        <w:rFonts w:ascii="Symbol" w:hAnsi="Symbol" w:hint="default"/>
      </w:rPr>
    </w:lvl>
    <w:lvl w:ilvl="4" w:tentative="1" w:tplc="040C0003">
      <w:start w:val="1"/>
      <w:numFmt w:val="bullet"/>
      <w:lvlText w:val="o"/>
      <w:lvlJc w:val="left"/>
      <w:pPr>
        <w:tabs>
          <w:tab w:pos="3780" w:val="num"/>
        </w:tabs>
        <w:ind w:hanging="360" w:left="3780"/>
      </w:pPr>
      <w:rPr>
        <w:rFonts w:ascii="Courier New" w:cs="Courier New" w:hAnsi="Courier New" w:hint="default"/>
      </w:rPr>
    </w:lvl>
    <w:lvl w:ilvl="5" w:tentative="1" w:tplc="040C0005">
      <w:start w:val="1"/>
      <w:numFmt w:val="bullet"/>
      <w:lvlText w:val=""/>
      <w:lvlJc w:val="left"/>
      <w:pPr>
        <w:tabs>
          <w:tab w:pos="4500" w:val="num"/>
        </w:tabs>
        <w:ind w:hanging="360" w:left="4500"/>
      </w:pPr>
      <w:rPr>
        <w:rFonts w:ascii="Wingdings" w:hAnsi="Wingdings" w:hint="default"/>
      </w:rPr>
    </w:lvl>
    <w:lvl w:ilvl="6" w:tentative="1" w:tplc="040C0001">
      <w:start w:val="1"/>
      <w:numFmt w:val="bullet"/>
      <w:lvlText w:val=""/>
      <w:lvlJc w:val="left"/>
      <w:pPr>
        <w:tabs>
          <w:tab w:pos="5220" w:val="num"/>
        </w:tabs>
        <w:ind w:hanging="360" w:left="5220"/>
      </w:pPr>
      <w:rPr>
        <w:rFonts w:ascii="Symbol" w:hAnsi="Symbol" w:hint="default"/>
      </w:rPr>
    </w:lvl>
    <w:lvl w:ilvl="7" w:tentative="1" w:tplc="040C0003">
      <w:start w:val="1"/>
      <w:numFmt w:val="bullet"/>
      <w:lvlText w:val="o"/>
      <w:lvlJc w:val="left"/>
      <w:pPr>
        <w:tabs>
          <w:tab w:pos="5940" w:val="num"/>
        </w:tabs>
        <w:ind w:hanging="360" w:left="5940"/>
      </w:pPr>
      <w:rPr>
        <w:rFonts w:ascii="Courier New" w:cs="Courier New" w:hAnsi="Courier New" w:hint="default"/>
      </w:rPr>
    </w:lvl>
    <w:lvl w:ilvl="8" w:tentative="1" w:tplc="040C0005">
      <w:start w:val="1"/>
      <w:numFmt w:val="bullet"/>
      <w:lvlText w:val=""/>
      <w:lvlJc w:val="left"/>
      <w:pPr>
        <w:tabs>
          <w:tab w:pos="6660" w:val="num"/>
        </w:tabs>
        <w:ind w:hanging="360" w:left="6660"/>
      </w:pPr>
      <w:rPr>
        <w:rFonts w:ascii="Wingdings" w:hAnsi="Wingdings" w:hint="default"/>
      </w:rPr>
    </w:lvl>
  </w:abstractNum>
  <w:num w:numId="1">
    <w:abstractNumId w:val="14"/>
  </w:num>
  <w:num w:numId="2">
    <w:abstractNumId w:val="16"/>
  </w:num>
  <w:num w:numId="3">
    <w:abstractNumId w:val="23"/>
  </w:num>
  <w:num w:numId="4">
    <w:abstractNumId w:val="22"/>
  </w:num>
  <w:num w:numId="5">
    <w:abstractNumId w:val="10"/>
  </w:num>
  <w:num w:numId="6">
    <w:abstractNumId w:val="17"/>
  </w:num>
  <w:num w:numId="7">
    <w:abstractNumId w:val="9"/>
  </w:num>
  <w:num w:numId="8">
    <w:abstractNumId w:val="11"/>
  </w:num>
  <w:num w:numId="9">
    <w:abstractNumId w:val="1"/>
  </w:num>
  <w:num w:numId="10">
    <w:abstractNumId w:val="5"/>
  </w:num>
  <w:num w:numId="11">
    <w:abstractNumId w:val="2"/>
  </w:num>
  <w:num w:numId="12">
    <w:abstractNumId w:val="3"/>
  </w:num>
  <w:num w:numId="13">
    <w:abstractNumId w:val="24"/>
  </w:num>
  <w:num w:numId="14">
    <w:abstractNumId w:val="7"/>
  </w:num>
  <w:num w:numId="15">
    <w:abstractNumId w:val="20"/>
  </w:num>
  <w:num w:numId="16">
    <w:abstractNumId w:val="8"/>
  </w:num>
  <w:num w:numId="17">
    <w:abstractNumId w:val="13"/>
  </w:num>
  <w:num w:numId="18">
    <w:abstractNumId w:val="6"/>
  </w:num>
  <w:num w:numId="19">
    <w:abstractNumId w:val="0"/>
  </w:num>
  <w:num w:numId="20">
    <w:abstractNumId w:val="18"/>
  </w:num>
  <w:num w:numId="21">
    <w:abstractNumId w:val="15"/>
  </w:num>
  <w:num w:numId="22">
    <w:abstractNumId w:val="4"/>
  </w:num>
  <w:num w:numId="23">
    <w:abstractNumId w:val="12"/>
  </w:num>
  <w:num w:numId="24">
    <w:abstractNumId w:val="21"/>
  </w:num>
  <w:num w:numId="25">
    <w:abstractNumId w:val="19"/>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characterSpacingControl w:val="doNotCompress"/>
  <w:hdrShapeDefaults>
    <o:shapedefaults spidmax="20481"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219"/>
    <w:rsid w:val="00001B9E"/>
    <w:rsid w:val="000021C2"/>
    <w:rsid w:val="00002C0F"/>
    <w:rsid w:val="00003DAD"/>
    <w:rsid w:val="000041AC"/>
    <w:rsid w:val="00006025"/>
    <w:rsid w:val="00016E7A"/>
    <w:rsid w:val="00020226"/>
    <w:rsid w:val="00026068"/>
    <w:rsid w:val="00033EBD"/>
    <w:rsid w:val="00044ADC"/>
    <w:rsid w:val="00054587"/>
    <w:rsid w:val="0005458D"/>
    <w:rsid w:val="0005672E"/>
    <w:rsid w:val="00056AE1"/>
    <w:rsid w:val="0005752D"/>
    <w:rsid w:val="0007272B"/>
    <w:rsid w:val="00073462"/>
    <w:rsid w:val="00075438"/>
    <w:rsid w:val="000759D8"/>
    <w:rsid w:val="00075EF5"/>
    <w:rsid w:val="0007726C"/>
    <w:rsid w:val="00082DDC"/>
    <w:rsid w:val="00085393"/>
    <w:rsid w:val="00087956"/>
    <w:rsid w:val="000921C9"/>
    <w:rsid w:val="00093570"/>
    <w:rsid w:val="000A108A"/>
    <w:rsid w:val="000A433A"/>
    <w:rsid w:val="000A570D"/>
    <w:rsid w:val="000A68B5"/>
    <w:rsid w:val="000B467F"/>
    <w:rsid w:val="000C67E1"/>
    <w:rsid w:val="000D09CF"/>
    <w:rsid w:val="000E1EEE"/>
    <w:rsid w:val="000F27C4"/>
    <w:rsid w:val="000F2A99"/>
    <w:rsid w:val="00123788"/>
    <w:rsid w:val="001240D0"/>
    <w:rsid w:val="0012662D"/>
    <w:rsid w:val="001269A6"/>
    <w:rsid w:val="0013416F"/>
    <w:rsid w:val="00145520"/>
    <w:rsid w:val="00147975"/>
    <w:rsid w:val="001534FD"/>
    <w:rsid w:val="0016236C"/>
    <w:rsid w:val="001703E2"/>
    <w:rsid w:val="00172BA4"/>
    <w:rsid w:val="00173433"/>
    <w:rsid w:val="00192D33"/>
    <w:rsid w:val="001934DC"/>
    <w:rsid w:val="00193ED8"/>
    <w:rsid w:val="00194C7F"/>
    <w:rsid w:val="00196B18"/>
    <w:rsid w:val="00196CF6"/>
    <w:rsid w:val="001A4BF5"/>
    <w:rsid w:val="001A5740"/>
    <w:rsid w:val="001A6653"/>
    <w:rsid w:val="001B42F5"/>
    <w:rsid w:val="001B4B29"/>
    <w:rsid w:val="001B6375"/>
    <w:rsid w:val="001C6719"/>
    <w:rsid w:val="001C6A71"/>
    <w:rsid w:val="001D3A7A"/>
    <w:rsid w:val="001D5729"/>
    <w:rsid w:val="001E18D6"/>
    <w:rsid w:val="001E3747"/>
    <w:rsid w:val="001E6089"/>
    <w:rsid w:val="001E633F"/>
    <w:rsid w:val="001E77FC"/>
    <w:rsid w:val="001F2CBD"/>
    <w:rsid w:val="002005EB"/>
    <w:rsid w:val="00201141"/>
    <w:rsid w:val="00202E1A"/>
    <w:rsid w:val="00205839"/>
    <w:rsid w:val="00222039"/>
    <w:rsid w:val="00222566"/>
    <w:rsid w:val="002302EA"/>
    <w:rsid w:val="00231476"/>
    <w:rsid w:val="002334A1"/>
    <w:rsid w:val="002352E8"/>
    <w:rsid w:val="0024189E"/>
    <w:rsid w:val="00247A4D"/>
    <w:rsid w:val="00252491"/>
    <w:rsid w:val="00253764"/>
    <w:rsid w:val="0025643C"/>
    <w:rsid w:val="00256851"/>
    <w:rsid w:val="0025772D"/>
    <w:rsid w:val="00262AB2"/>
    <w:rsid w:val="00266959"/>
    <w:rsid w:val="00282C3F"/>
    <w:rsid w:val="00283CBB"/>
    <w:rsid w:val="002858A1"/>
    <w:rsid w:val="00287782"/>
    <w:rsid w:val="00292D47"/>
    <w:rsid w:val="00297D41"/>
    <w:rsid w:val="002A3F0C"/>
    <w:rsid w:val="002A42F1"/>
    <w:rsid w:val="002B3609"/>
    <w:rsid w:val="002B38D6"/>
    <w:rsid w:val="002B7F0F"/>
    <w:rsid w:val="002C1663"/>
    <w:rsid w:val="002D44A4"/>
    <w:rsid w:val="002D795D"/>
    <w:rsid w:val="002F7416"/>
    <w:rsid w:val="00302365"/>
    <w:rsid w:val="00303236"/>
    <w:rsid w:val="00303662"/>
    <w:rsid w:val="00305104"/>
    <w:rsid w:val="00305B2D"/>
    <w:rsid w:val="0031683F"/>
    <w:rsid w:val="00320777"/>
    <w:rsid w:val="003350EC"/>
    <w:rsid w:val="003408C1"/>
    <w:rsid w:val="00345133"/>
    <w:rsid w:val="00350C95"/>
    <w:rsid w:val="00354DD0"/>
    <w:rsid w:val="0035738C"/>
    <w:rsid w:val="00363579"/>
    <w:rsid w:val="00364227"/>
    <w:rsid w:val="00377AC3"/>
    <w:rsid w:val="00380C24"/>
    <w:rsid w:val="00380E75"/>
    <w:rsid w:val="003814BD"/>
    <w:rsid w:val="003917CA"/>
    <w:rsid w:val="00394751"/>
    <w:rsid w:val="0039580C"/>
    <w:rsid w:val="003A0375"/>
    <w:rsid w:val="003A2D8E"/>
    <w:rsid w:val="003A3FB4"/>
    <w:rsid w:val="003A6902"/>
    <w:rsid w:val="003B3538"/>
    <w:rsid w:val="003B7E80"/>
    <w:rsid w:val="003C59C3"/>
    <w:rsid w:val="003D2676"/>
    <w:rsid w:val="003D3252"/>
    <w:rsid w:val="003D4262"/>
    <w:rsid w:val="003D427E"/>
    <w:rsid w:val="003D5AEC"/>
    <w:rsid w:val="003D7FE0"/>
    <w:rsid w:val="003E3519"/>
    <w:rsid w:val="003E5275"/>
    <w:rsid w:val="003F03D0"/>
    <w:rsid w:val="003F6491"/>
    <w:rsid w:val="004024FE"/>
    <w:rsid w:val="00406BD7"/>
    <w:rsid w:val="00421C6E"/>
    <w:rsid w:val="00421D7E"/>
    <w:rsid w:val="00422643"/>
    <w:rsid w:val="004277D5"/>
    <w:rsid w:val="0043059A"/>
    <w:rsid w:val="00430F73"/>
    <w:rsid w:val="0043543C"/>
    <w:rsid w:val="00440EEA"/>
    <w:rsid w:val="004418C4"/>
    <w:rsid w:val="00441F57"/>
    <w:rsid w:val="00447A74"/>
    <w:rsid w:val="004533DA"/>
    <w:rsid w:val="00456A29"/>
    <w:rsid w:val="004602DD"/>
    <w:rsid w:val="0046556E"/>
    <w:rsid w:val="00465C83"/>
    <w:rsid w:val="00470D91"/>
    <w:rsid w:val="00470F37"/>
    <w:rsid w:val="00471B62"/>
    <w:rsid w:val="00472976"/>
    <w:rsid w:val="004730E5"/>
    <w:rsid w:val="004756B2"/>
    <w:rsid w:val="0047610C"/>
    <w:rsid w:val="00476530"/>
    <w:rsid w:val="00493F39"/>
    <w:rsid w:val="00495376"/>
    <w:rsid w:val="00495D9C"/>
    <w:rsid w:val="004A3219"/>
    <w:rsid w:val="004A3FFE"/>
    <w:rsid w:val="004B3D05"/>
    <w:rsid w:val="004B50C8"/>
    <w:rsid w:val="004B66D1"/>
    <w:rsid w:val="004B7780"/>
    <w:rsid w:val="004C2DC0"/>
    <w:rsid w:val="004C3678"/>
    <w:rsid w:val="004C7542"/>
    <w:rsid w:val="004D4782"/>
    <w:rsid w:val="004D53F7"/>
    <w:rsid w:val="004D7E6D"/>
    <w:rsid w:val="004E5313"/>
    <w:rsid w:val="004F06D7"/>
    <w:rsid w:val="004F0AF3"/>
    <w:rsid w:val="004F156E"/>
    <w:rsid w:val="004F1D90"/>
    <w:rsid w:val="004F3B48"/>
    <w:rsid w:val="005031CB"/>
    <w:rsid w:val="00506B43"/>
    <w:rsid w:val="00541114"/>
    <w:rsid w:val="00541F35"/>
    <w:rsid w:val="0054452B"/>
    <w:rsid w:val="00557440"/>
    <w:rsid w:val="00557B64"/>
    <w:rsid w:val="00560AC8"/>
    <w:rsid w:val="00561353"/>
    <w:rsid w:val="00567765"/>
    <w:rsid w:val="00571B47"/>
    <w:rsid w:val="00572309"/>
    <w:rsid w:val="00593BFE"/>
    <w:rsid w:val="00593F77"/>
    <w:rsid w:val="00594F5E"/>
    <w:rsid w:val="005956ED"/>
    <w:rsid w:val="0059745E"/>
    <w:rsid w:val="005A09AE"/>
    <w:rsid w:val="005A4A92"/>
    <w:rsid w:val="005B3C32"/>
    <w:rsid w:val="005B6263"/>
    <w:rsid w:val="005C0FC8"/>
    <w:rsid w:val="005C2BD9"/>
    <w:rsid w:val="005C34AE"/>
    <w:rsid w:val="005C5418"/>
    <w:rsid w:val="005D04D0"/>
    <w:rsid w:val="005D332F"/>
    <w:rsid w:val="005E3527"/>
    <w:rsid w:val="005E688F"/>
    <w:rsid w:val="005F1020"/>
    <w:rsid w:val="00601A48"/>
    <w:rsid w:val="00606F5E"/>
    <w:rsid w:val="00607A9C"/>
    <w:rsid w:val="00607FE5"/>
    <w:rsid w:val="00612477"/>
    <w:rsid w:val="00612ED8"/>
    <w:rsid w:val="0061553D"/>
    <w:rsid w:val="00620933"/>
    <w:rsid w:val="00622027"/>
    <w:rsid w:val="00623AF5"/>
    <w:rsid w:val="00624728"/>
    <w:rsid w:val="00624FA6"/>
    <w:rsid w:val="00627674"/>
    <w:rsid w:val="006279DD"/>
    <w:rsid w:val="00632E17"/>
    <w:rsid w:val="00640700"/>
    <w:rsid w:val="00644251"/>
    <w:rsid w:val="00650DD1"/>
    <w:rsid w:val="00655E2C"/>
    <w:rsid w:val="00660EEC"/>
    <w:rsid w:val="00661E85"/>
    <w:rsid w:val="0066538C"/>
    <w:rsid w:val="0067316C"/>
    <w:rsid w:val="00673B92"/>
    <w:rsid w:val="00675B7D"/>
    <w:rsid w:val="00677373"/>
    <w:rsid w:val="00686FFA"/>
    <w:rsid w:val="00692E18"/>
    <w:rsid w:val="00692E93"/>
    <w:rsid w:val="006932A1"/>
    <w:rsid w:val="0069458B"/>
    <w:rsid w:val="006A0E90"/>
    <w:rsid w:val="006A70DA"/>
    <w:rsid w:val="006A7F29"/>
    <w:rsid w:val="006B22A4"/>
    <w:rsid w:val="006B34C9"/>
    <w:rsid w:val="006B3E00"/>
    <w:rsid w:val="006B455F"/>
    <w:rsid w:val="006B6408"/>
    <w:rsid w:val="006C0484"/>
    <w:rsid w:val="006C2BED"/>
    <w:rsid w:val="006C5115"/>
    <w:rsid w:val="006D04C8"/>
    <w:rsid w:val="006D0795"/>
    <w:rsid w:val="006E08CD"/>
    <w:rsid w:val="006E0B59"/>
    <w:rsid w:val="006E1E8E"/>
    <w:rsid w:val="006E3562"/>
    <w:rsid w:val="006E4855"/>
    <w:rsid w:val="006F3B0F"/>
    <w:rsid w:val="006F3E6D"/>
    <w:rsid w:val="0070532C"/>
    <w:rsid w:val="00710B15"/>
    <w:rsid w:val="00711A52"/>
    <w:rsid w:val="00713E24"/>
    <w:rsid w:val="007224B9"/>
    <w:rsid w:val="00724AE9"/>
    <w:rsid w:val="007277D7"/>
    <w:rsid w:val="00731EBF"/>
    <w:rsid w:val="00734294"/>
    <w:rsid w:val="00737C68"/>
    <w:rsid w:val="00740A6F"/>
    <w:rsid w:val="007411AC"/>
    <w:rsid w:val="00743509"/>
    <w:rsid w:val="00750B89"/>
    <w:rsid w:val="00750F5D"/>
    <w:rsid w:val="00752CFD"/>
    <w:rsid w:val="007574CC"/>
    <w:rsid w:val="00763421"/>
    <w:rsid w:val="007641B2"/>
    <w:rsid w:val="00767CF4"/>
    <w:rsid w:val="0077217E"/>
    <w:rsid w:val="007742C5"/>
    <w:rsid w:val="007758F0"/>
    <w:rsid w:val="00780CEA"/>
    <w:rsid w:val="00783E1C"/>
    <w:rsid w:val="00786028"/>
    <w:rsid w:val="007869B8"/>
    <w:rsid w:val="007A5781"/>
    <w:rsid w:val="007A5D0C"/>
    <w:rsid w:val="007B5071"/>
    <w:rsid w:val="007C7402"/>
    <w:rsid w:val="007D25DB"/>
    <w:rsid w:val="007D4369"/>
    <w:rsid w:val="007E05B1"/>
    <w:rsid w:val="007F7143"/>
    <w:rsid w:val="0080235A"/>
    <w:rsid w:val="008057D4"/>
    <w:rsid w:val="008063A0"/>
    <w:rsid w:val="00810C22"/>
    <w:rsid w:val="00816720"/>
    <w:rsid w:val="00816D2E"/>
    <w:rsid w:val="008171F1"/>
    <w:rsid w:val="008203AD"/>
    <w:rsid w:val="00826E53"/>
    <w:rsid w:val="00830AFA"/>
    <w:rsid w:val="00832A33"/>
    <w:rsid w:val="008360BC"/>
    <w:rsid w:val="00841271"/>
    <w:rsid w:val="0084588B"/>
    <w:rsid w:val="0084716D"/>
    <w:rsid w:val="00847299"/>
    <w:rsid w:val="00856B04"/>
    <w:rsid w:val="00857B27"/>
    <w:rsid w:val="00866BBE"/>
    <w:rsid w:val="0087466C"/>
    <w:rsid w:val="00876D14"/>
    <w:rsid w:val="0088556B"/>
    <w:rsid w:val="00893501"/>
    <w:rsid w:val="00893C4C"/>
    <w:rsid w:val="008968B5"/>
    <w:rsid w:val="00896B7B"/>
    <w:rsid w:val="008B01C4"/>
    <w:rsid w:val="008B3801"/>
    <w:rsid w:val="008B64CD"/>
    <w:rsid w:val="008B6F50"/>
    <w:rsid w:val="008C1121"/>
    <w:rsid w:val="008C1EA6"/>
    <w:rsid w:val="008C45E9"/>
    <w:rsid w:val="008D5CAC"/>
    <w:rsid w:val="008E1542"/>
    <w:rsid w:val="008E1DEB"/>
    <w:rsid w:val="008E4976"/>
    <w:rsid w:val="008F1C62"/>
    <w:rsid w:val="008F6DA8"/>
    <w:rsid w:val="00903424"/>
    <w:rsid w:val="00904A1D"/>
    <w:rsid w:val="0090706D"/>
    <w:rsid w:val="00916795"/>
    <w:rsid w:val="00925945"/>
    <w:rsid w:val="00926F01"/>
    <w:rsid w:val="009327BA"/>
    <w:rsid w:val="009369E0"/>
    <w:rsid w:val="0094048D"/>
    <w:rsid w:val="00940E5B"/>
    <w:rsid w:val="00943035"/>
    <w:rsid w:val="009463E8"/>
    <w:rsid w:val="00953AB9"/>
    <w:rsid w:val="00953CE6"/>
    <w:rsid w:val="00956282"/>
    <w:rsid w:val="0095684F"/>
    <w:rsid w:val="009604DB"/>
    <w:rsid w:val="00961411"/>
    <w:rsid w:val="00961F53"/>
    <w:rsid w:val="0096225B"/>
    <w:rsid w:val="0096230C"/>
    <w:rsid w:val="00963C00"/>
    <w:rsid w:val="00981F8C"/>
    <w:rsid w:val="00982611"/>
    <w:rsid w:val="00982710"/>
    <w:rsid w:val="009841F1"/>
    <w:rsid w:val="00984FF8"/>
    <w:rsid w:val="009A1F7C"/>
    <w:rsid w:val="009A33EB"/>
    <w:rsid w:val="009A4755"/>
    <w:rsid w:val="009B0F43"/>
    <w:rsid w:val="009B12A7"/>
    <w:rsid w:val="009B1359"/>
    <w:rsid w:val="009B2152"/>
    <w:rsid w:val="009B232A"/>
    <w:rsid w:val="009B64BE"/>
    <w:rsid w:val="009C23F1"/>
    <w:rsid w:val="009C5E9B"/>
    <w:rsid w:val="009D4F76"/>
    <w:rsid w:val="009D5BE1"/>
    <w:rsid w:val="009D5D96"/>
    <w:rsid w:val="009E420A"/>
    <w:rsid w:val="009F13D1"/>
    <w:rsid w:val="00A0505C"/>
    <w:rsid w:val="00A055AA"/>
    <w:rsid w:val="00A10F2C"/>
    <w:rsid w:val="00A12642"/>
    <w:rsid w:val="00A1300C"/>
    <w:rsid w:val="00A15340"/>
    <w:rsid w:val="00A21559"/>
    <w:rsid w:val="00A2237B"/>
    <w:rsid w:val="00A22823"/>
    <w:rsid w:val="00A23CB9"/>
    <w:rsid w:val="00A251FD"/>
    <w:rsid w:val="00A27990"/>
    <w:rsid w:val="00A31761"/>
    <w:rsid w:val="00A31E82"/>
    <w:rsid w:val="00A3216E"/>
    <w:rsid w:val="00A40AF6"/>
    <w:rsid w:val="00A67940"/>
    <w:rsid w:val="00A72724"/>
    <w:rsid w:val="00A75B97"/>
    <w:rsid w:val="00A8487B"/>
    <w:rsid w:val="00A93B62"/>
    <w:rsid w:val="00A941DB"/>
    <w:rsid w:val="00A945FE"/>
    <w:rsid w:val="00AA6192"/>
    <w:rsid w:val="00AB25A6"/>
    <w:rsid w:val="00AB494C"/>
    <w:rsid w:val="00AB71B4"/>
    <w:rsid w:val="00AB7A0C"/>
    <w:rsid w:val="00AC5D6D"/>
    <w:rsid w:val="00AC609E"/>
    <w:rsid w:val="00AD1669"/>
    <w:rsid w:val="00AD2BCB"/>
    <w:rsid w:val="00AD302F"/>
    <w:rsid w:val="00AD506B"/>
    <w:rsid w:val="00AE1853"/>
    <w:rsid w:val="00AE7F38"/>
    <w:rsid w:val="00AF1581"/>
    <w:rsid w:val="00AF721F"/>
    <w:rsid w:val="00B001B6"/>
    <w:rsid w:val="00B12BF8"/>
    <w:rsid w:val="00B12C40"/>
    <w:rsid w:val="00B166A9"/>
    <w:rsid w:val="00B3100D"/>
    <w:rsid w:val="00B44E24"/>
    <w:rsid w:val="00B53382"/>
    <w:rsid w:val="00B54443"/>
    <w:rsid w:val="00B626BD"/>
    <w:rsid w:val="00B6276C"/>
    <w:rsid w:val="00B663F8"/>
    <w:rsid w:val="00B667A1"/>
    <w:rsid w:val="00B73B9E"/>
    <w:rsid w:val="00B77B2F"/>
    <w:rsid w:val="00B8075E"/>
    <w:rsid w:val="00B807F0"/>
    <w:rsid w:val="00B84D56"/>
    <w:rsid w:val="00B86EBD"/>
    <w:rsid w:val="00BA12E7"/>
    <w:rsid w:val="00BB6A7D"/>
    <w:rsid w:val="00BC331D"/>
    <w:rsid w:val="00BC4B7D"/>
    <w:rsid w:val="00BD35C2"/>
    <w:rsid w:val="00BE06E0"/>
    <w:rsid w:val="00BE096D"/>
    <w:rsid w:val="00BE3E3D"/>
    <w:rsid w:val="00BE410C"/>
    <w:rsid w:val="00BE77C9"/>
    <w:rsid w:val="00BF192C"/>
    <w:rsid w:val="00C0413A"/>
    <w:rsid w:val="00C10EB4"/>
    <w:rsid w:val="00C14B67"/>
    <w:rsid w:val="00C2176D"/>
    <w:rsid w:val="00C22E00"/>
    <w:rsid w:val="00C26A2D"/>
    <w:rsid w:val="00C31F97"/>
    <w:rsid w:val="00C339F4"/>
    <w:rsid w:val="00C34CCF"/>
    <w:rsid w:val="00C36793"/>
    <w:rsid w:val="00C42179"/>
    <w:rsid w:val="00C563B7"/>
    <w:rsid w:val="00C66433"/>
    <w:rsid w:val="00C749D4"/>
    <w:rsid w:val="00C752AA"/>
    <w:rsid w:val="00C75A94"/>
    <w:rsid w:val="00C87F79"/>
    <w:rsid w:val="00C90466"/>
    <w:rsid w:val="00CA306A"/>
    <w:rsid w:val="00CA3C9C"/>
    <w:rsid w:val="00CA47C0"/>
    <w:rsid w:val="00CA5604"/>
    <w:rsid w:val="00CA7238"/>
    <w:rsid w:val="00CB3844"/>
    <w:rsid w:val="00CC16ED"/>
    <w:rsid w:val="00CC2702"/>
    <w:rsid w:val="00CC4461"/>
    <w:rsid w:val="00CC4733"/>
    <w:rsid w:val="00CC7579"/>
    <w:rsid w:val="00CD1CD9"/>
    <w:rsid w:val="00CD2E5C"/>
    <w:rsid w:val="00CD351A"/>
    <w:rsid w:val="00CD38CD"/>
    <w:rsid w:val="00CD5671"/>
    <w:rsid w:val="00CE0937"/>
    <w:rsid w:val="00CE56AC"/>
    <w:rsid w:val="00CE66E6"/>
    <w:rsid w:val="00CF02AA"/>
    <w:rsid w:val="00CF0A4E"/>
    <w:rsid w:val="00CF31EA"/>
    <w:rsid w:val="00CF345C"/>
    <w:rsid w:val="00CF4254"/>
    <w:rsid w:val="00CF60DC"/>
    <w:rsid w:val="00D00B1D"/>
    <w:rsid w:val="00D02E1F"/>
    <w:rsid w:val="00D04B31"/>
    <w:rsid w:val="00D15458"/>
    <w:rsid w:val="00D16562"/>
    <w:rsid w:val="00D16C05"/>
    <w:rsid w:val="00D16EE4"/>
    <w:rsid w:val="00D16FA6"/>
    <w:rsid w:val="00D177FA"/>
    <w:rsid w:val="00D2023A"/>
    <w:rsid w:val="00D218C7"/>
    <w:rsid w:val="00D227BE"/>
    <w:rsid w:val="00D23C08"/>
    <w:rsid w:val="00D24A90"/>
    <w:rsid w:val="00D3629B"/>
    <w:rsid w:val="00D41606"/>
    <w:rsid w:val="00D441C8"/>
    <w:rsid w:val="00D50363"/>
    <w:rsid w:val="00D51297"/>
    <w:rsid w:val="00D512C1"/>
    <w:rsid w:val="00D516BC"/>
    <w:rsid w:val="00D54B4E"/>
    <w:rsid w:val="00D60020"/>
    <w:rsid w:val="00D628FB"/>
    <w:rsid w:val="00D62E34"/>
    <w:rsid w:val="00D84F4E"/>
    <w:rsid w:val="00D85D70"/>
    <w:rsid w:val="00D87840"/>
    <w:rsid w:val="00D87A81"/>
    <w:rsid w:val="00DA25C5"/>
    <w:rsid w:val="00DB416B"/>
    <w:rsid w:val="00DB7813"/>
    <w:rsid w:val="00DD0FD3"/>
    <w:rsid w:val="00DE314F"/>
    <w:rsid w:val="00DE3A34"/>
    <w:rsid w:val="00DF5E7E"/>
    <w:rsid w:val="00E00357"/>
    <w:rsid w:val="00E00B97"/>
    <w:rsid w:val="00E00C4F"/>
    <w:rsid w:val="00E01240"/>
    <w:rsid w:val="00E07EB6"/>
    <w:rsid w:val="00E11A3A"/>
    <w:rsid w:val="00E12BDF"/>
    <w:rsid w:val="00E13BE2"/>
    <w:rsid w:val="00E1665F"/>
    <w:rsid w:val="00E175F5"/>
    <w:rsid w:val="00E24C17"/>
    <w:rsid w:val="00E26322"/>
    <w:rsid w:val="00E26C15"/>
    <w:rsid w:val="00E357E5"/>
    <w:rsid w:val="00E419D2"/>
    <w:rsid w:val="00E42135"/>
    <w:rsid w:val="00E449E2"/>
    <w:rsid w:val="00E4757E"/>
    <w:rsid w:val="00E52040"/>
    <w:rsid w:val="00E561DF"/>
    <w:rsid w:val="00E62387"/>
    <w:rsid w:val="00E66FC0"/>
    <w:rsid w:val="00E67419"/>
    <w:rsid w:val="00E77632"/>
    <w:rsid w:val="00E809D1"/>
    <w:rsid w:val="00E80B8C"/>
    <w:rsid w:val="00E81924"/>
    <w:rsid w:val="00E839E7"/>
    <w:rsid w:val="00E876F7"/>
    <w:rsid w:val="00E877E1"/>
    <w:rsid w:val="00E87C29"/>
    <w:rsid w:val="00E9365F"/>
    <w:rsid w:val="00E95F16"/>
    <w:rsid w:val="00EA05B9"/>
    <w:rsid w:val="00EA208D"/>
    <w:rsid w:val="00EA3285"/>
    <w:rsid w:val="00EA3870"/>
    <w:rsid w:val="00EB1E05"/>
    <w:rsid w:val="00EB33C0"/>
    <w:rsid w:val="00EB555D"/>
    <w:rsid w:val="00EB6F9D"/>
    <w:rsid w:val="00EB7373"/>
    <w:rsid w:val="00EC1DA7"/>
    <w:rsid w:val="00EC2DE7"/>
    <w:rsid w:val="00EC4D05"/>
    <w:rsid w:val="00EC4E55"/>
    <w:rsid w:val="00ED18FE"/>
    <w:rsid w:val="00ED5478"/>
    <w:rsid w:val="00ED57C9"/>
    <w:rsid w:val="00ED735F"/>
    <w:rsid w:val="00EE38EA"/>
    <w:rsid w:val="00EF0219"/>
    <w:rsid w:val="00EF4095"/>
    <w:rsid w:val="00F01E43"/>
    <w:rsid w:val="00F05E8B"/>
    <w:rsid w:val="00F070F6"/>
    <w:rsid w:val="00F12AB5"/>
    <w:rsid w:val="00F245C9"/>
    <w:rsid w:val="00F26D95"/>
    <w:rsid w:val="00F30660"/>
    <w:rsid w:val="00F30883"/>
    <w:rsid w:val="00F3171A"/>
    <w:rsid w:val="00F325E6"/>
    <w:rsid w:val="00F358FC"/>
    <w:rsid w:val="00F36D64"/>
    <w:rsid w:val="00F473F0"/>
    <w:rsid w:val="00F47F0C"/>
    <w:rsid w:val="00F6366A"/>
    <w:rsid w:val="00F70535"/>
    <w:rsid w:val="00F72BBB"/>
    <w:rsid w:val="00F87754"/>
    <w:rsid w:val="00F87858"/>
    <w:rsid w:val="00F9015A"/>
    <w:rsid w:val="00F926C3"/>
    <w:rsid w:val="00F92CA3"/>
    <w:rsid w:val="00F95576"/>
    <w:rsid w:val="00F95775"/>
    <w:rsid w:val="00F95C8C"/>
    <w:rsid w:val="00F979EA"/>
    <w:rsid w:val="00FA248C"/>
    <w:rsid w:val="00FA40AA"/>
    <w:rsid w:val="00FA44DE"/>
    <w:rsid w:val="00FA4F85"/>
    <w:rsid w:val="00FA5841"/>
    <w:rsid w:val="00FA755A"/>
    <w:rsid w:val="00FB44B4"/>
    <w:rsid w:val="00FC652E"/>
    <w:rsid w:val="00FE25E0"/>
    <w:rsid w:val="00FE2FE1"/>
    <w:rsid w:val="00FF3E51"/>
    <w:rsid w:val="00FF605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martTagType w:name="PersonName" w:namespaceuri="urn:schemas-microsoft-com:office:smarttags"/>
  <w:shapeDefaults>
    <o:shapedefaults spidmax="20481" v:ext="edit"/>
    <o:shapelayout v:ext="edit">
      <o:idmap data="1" v:ext="edit"/>
    </o:shapelayout>
  </w:shapeDefaults>
  <w:decimalSymbol w:val=","/>
  <w:listSeparator w:val=";"/>
  <w14:docId w14:val="0AA918AA"/>
  <w15:docId w15:val="{DD5BF3C4-0371-4BE4-B54D-4137207C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sz w:val="2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rsid w:val="00661E85"/>
    <w:pPr>
      <w:tabs>
        <w:tab w:pos="4536" w:val="center"/>
        <w:tab w:pos="9072" w:val="right"/>
      </w:tabs>
    </w:pPr>
  </w:style>
  <w:style w:styleId="Pieddepage" w:type="paragraph">
    <w:name w:val="footer"/>
    <w:basedOn w:val="Normal"/>
    <w:rsid w:val="00661E85"/>
    <w:pPr>
      <w:tabs>
        <w:tab w:pos="4536" w:val="center"/>
        <w:tab w:pos="9072" w:val="right"/>
      </w:tabs>
    </w:pPr>
  </w:style>
  <w:style w:styleId="Numrodepage" w:type="character">
    <w:name w:val="page number"/>
    <w:basedOn w:val="Policepardfaut"/>
    <w:rsid w:val="00661E85"/>
  </w:style>
  <w:style w:styleId="Textedebulles" w:type="paragraph">
    <w:name w:val="Balloon Text"/>
    <w:basedOn w:val="Normal"/>
    <w:semiHidden/>
    <w:rsid w:val="00C87F79"/>
    <w:rPr>
      <w:rFonts w:ascii="Tahoma" w:cs="Tahoma" w:hAnsi="Tahoma"/>
      <w:sz w:val="16"/>
      <w:szCs w:val="16"/>
    </w:rPr>
  </w:style>
  <w:style w:styleId="Grilledutableau" w:type="table">
    <w:name w:val="Table Grid"/>
    <w:basedOn w:val="TableauNormal"/>
    <w:rsid w:val="009A1F7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itre" w:type="paragraph">
    <w:name w:val="Title"/>
    <w:basedOn w:val="Normal"/>
    <w:next w:val="Normal"/>
    <w:link w:val="TitreCar"/>
    <w:qFormat/>
    <w:rsid w:val="00201141"/>
    <w:pPr>
      <w:spacing w:after="60" w:before="240"/>
      <w:jc w:val="center"/>
      <w:outlineLvl w:val="0"/>
    </w:pPr>
    <w:rPr>
      <w:rFonts w:ascii="Cambria" w:hAnsi="Cambria"/>
      <w:b/>
      <w:bCs/>
      <w:kern w:val="28"/>
      <w:sz w:val="32"/>
      <w:szCs w:val="32"/>
    </w:rPr>
  </w:style>
  <w:style w:customStyle="1" w:styleId="TitreCar" w:type="character">
    <w:name w:val="Titre Car"/>
    <w:link w:val="Titre"/>
    <w:rsid w:val="00201141"/>
    <w:rPr>
      <w:rFonts w:ascii="Cambria" w:cs="Times New Roman" w:eastAsia="Times New Roman" w:hAnsi="Cambria"/>
      <w:b/>
      <w:bCs/>
      <w:kern w:val="28"/>
      <w:sz w:val="32"/>
      <w:szCs w:val="32"/>
    </w:rPr>
  </w:style>
  <w:style w:styleId="Paragraphedeliste" w:type="paragraph">
    <w:name w:val="List Paragraph"/>
    <w:basedOn w:val="Normal"/>
    <w:uiPriority w:val="34"/>
    <w:qFormat/>
    <w:rsid w:val="0005458D"/>
    <w:pPr>
      <w:ind w:left="720"/>
      <w:contextualSpacing/>
    </w:pPr>
  </w:style>
  <w:style w:customStyle="1" w:styleId="texte" w:type="paragraph">
    <w:name w:val="texte"/>
    <w:basedOn w:val="Normal"/>
    <w:rsid w:val="001E77FC"/>
    <w:pPr>
      <w:spacing w:after="120" w:before="120"/>
      <w:ind w:firstLine="1134"/>
      <w:jc w:val="both"/>
    </w:pPr>
  </w:style>
  <w:style w:customStyle="1" w:styleId="TEXTE0" w:type="paragraph">
    <w:name w:val="TEXTE"/>
    <w:basedOn w:val="Normal"/>
    <w:rsid w:val="00D84F4E"/>
    <w:pPr>
      <w:keepLines/>
      <w:spacing w:before="120"/>
      <w:ind w:firstLine="567" w:left="567"/>
      <w:jc w:val="both"/>
    </w:pPr>
    <w:rPr>
      <w:sz w:val="22"/>
      <w:szCs w:val="20"/>
    </w:rPr>
  </w:style>
  <w:style w:customStyle="1" w:styleId="xxmsonormal" w:type="paragraph">
    <w:name w:val="x_x_msonormal"/>
    <w:basedOn w:val="Normal"/>
    <w:rsid w:val="004418C4"/>
    <w:pPr>
      <w:spacing w:after="100" w:afterAutospacing="1" w:before="100" w:beforeAutospacing="1"/>
    </w:pPr>
  </w:style>
  <w:style w:styleId="Corpsdetexte3" w:type="paragraph">
    <w:name w:val="Body Text 3"/>
    <w:basedOn w:val="Normal"/>
    <w:link w:val="Corpsdetexte3Car"/>
    <w:rsid w:val="00961411"/>
    <w:rPr>
      <w:i/>
      <w:color w:val="008000"/>
      <w:sz w:val="28"/>
      <w:szCs w:val="20"/>
    </w:rPr>
  </w:style>
  <w:style w:customStyle="1" w:styleId="Corpsdetexte3Car" w:type="character">
    <w:name w:val="Corps de texte 3 Car"/>
    <w:basedOn w:val="Policepardfaut"/>
    <w:link w:val="Corpsdetexte3"/>
    <w:rsid w:val="00961411"/>
    <w:rPr>
      <w:i/>
      <w:color w:val="008000"/>
      <w:sz w:val="28"/>
    </w:rPr>
  </w:style>
  <w:style w:customStyle="1" w:styleId="xmsonormal" w:type="paragraph">
    <w:name w:val="x_msonormal"/>
    <w:basedOn w:val="Normal"/>
    <w:rsid w:val="001C6A71"/>
    <w:pPr>
      <w:spacing w:after="100" w:afterAutospacing="1" w:before="100" w:beforeAutospacing="1"/>
    </w:pPr>
  </w:style>
  <w:style w:customStyle="1" w:styleId="xcontentpasted0" w:type="character">
    <w:name w:val="x_contentpasted0"/>
    <w:basedOn w:val="Policepardfaut"/>
    <w:rsid w:val="001C6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16868">
      <w:bodyDiv w:val="1"/>
      <w:marLeft w:val="0"/>
      <w:marRight w:val="0"/>
      <w:marTop w:val="0"/>
      <w:marBottom w:val="0"/>
      <w:divBdr>
        <w:top w:val="none" w:sz="0" w:space="0" w:color="auto"/>
        <w:left w:val="none" w:sz="0" w:space="0" w:color="auto"/>
        <w:bottom w:val="none" w:sz="0" w:space="0" w:color="auto"/>
        <w:right w:val="none" w:sz="0" w:space="0" w:color="auto"/>
      </w:divBdr>
    </w:div>
    <w:div w:id="861089261">
      <w:bodyDiv w:val="1"/>
      <w:marLeft w:val="0"/>
      <w:marRight w:val="0"/>
      <w:marTop w:val="0"/>
      <w:marBottom w:val="0"/>
      <w:divBdr>
        <w:top w:val="none" w:sz="0" w:space="0" w:color="auto"/>
        <w:left w:val="none" w:sz="0" w:space="0" w:color="auto"/>
        <w:bottom w:val="none" w:sz="0" w:space="0" w:color="auto"/>
        <w:right w:val="none" w:sz="0" w:space="0" w:color="auto"/>
      </w:divBdr>
      <w:divsChild>
        <w:div w:id="1001468930">
          <w:marLeft w:val="0"/>
          <w:marRight w:val="0"/>
          <w:marTop w:val="0"/>
          <w:marBottom w:val="0"/>
          <w:divBdr>
            <w:top w:val="none" w:sz="0" w:space="0" w:color="auto"/>
            <w:left w:val="none" w:sz="0" w:space="0" w:color="auto"/>
            <w:bottom w:val="none" w:sz="0" w:space="0" w:color="auto"/>
            <w:right w:val="none" w:sz="0" w:space="0" w:color="auto"/>
          </w:divBdr>
        </w:div>
        <w:div w:id="1269892608">
          <w:marLeft w:val="0"/>
          <w:marRight w:val="0"/>
          <w:marTop w:val="0"/>
          <w:marBottom w:val="0"/>
          <w:divBdr>
            <w:top w:val="none" w:sz="0" w:space="0" w:color="auto"/>
            <w:left w:val="none" w:sz="0" w:space="0" w:color="auto"/>
            <w:bottom w:val="none" w:sz="0" w:space="0" w:color="auto"/>
            <w:right w:val="none" w:sz="0" w:space="0" w:color="auto"/>
          </w:divBdr>
        </w:div>
        <w:div w:id="1074933534">
          <w:marLeft w:val="0"/>
          <w:marRight w:val="0"/>
          <w:marTop w:val="0"/>
          <w:marBottom w:val="0"/>
          <w:divBdr>
            <w:top w:val="none" w:sz="0" w:space="0" w:color="auto"/>
            <w:left w:val="none" w:sz="0" w:space="0" w:color="auto"/>
            <w:bottom w:val="none" w:sz="0" w:space="0" w:color="auto"/>
            <w:right w:val="none" w:sz="0" w:space="0" w:color="auto"/>
          </w:divBdr>
        </w:div>
        <w:div w:id="620722426">
          <w:marLeft w:val="0"/>
          <w:marRight w:val="0"/>
          <w:marTop w:val="0"/>
          <w:marBottom w:val="0"/>
          <w:divBdr>
            <w:top w:val="none" w:sz="0" w:space="0" w:color="auto"/>
            <w:left w:val="none" w:sz="0" w:space="0" w:color="auto"/>
            <w:bottom w:val="none" w:sz="0" w:space="0" w:color="auto"/>
            <w:right w:val="none" w:sz="0" w:space="0" w:color="auto"/>
          </w:divBdr>
        </w:div>
      </w:divsChild>
    </w:div>
    <w:div w:id="931280827">
      <w:bodyDiv w:val="1"/>
      <w:marLeft w:val="0"/>
      <w:marRight w:val="0"/>
      <w:marTop w:val="0"/>
      <w:marBottom w:val="0"/>
      <w:divBdr>
        <w:top w:val="none" w:sz="0" w:space="0" w:color="auto"/>
        <w:left w:val="none" w:sz="0" w:space="0" w:color="auto"/>
        <w:bottom w:val="none" w:sz="0" w:space="0" w:color="auto"/>
        <w:right w:val="none" w:sz="0" w:space="0" w:color="auto"/>
      </w:divBdr>
    </w:div>
    <w:div w:id="100030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footer2.xml" Type="http://schemas.openxmlformats.org/officeDocument/2006/relationships/footer"/><Relationship Id="rId13" Target="header3.xml" Type="http://schemas.openxmlformats.org/officeDocument/2006/relationships/head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jpeg" Type="http://schemas.openxmlformats.org/officeDocument/2006/relationships/image"/><Relationship Id="rId9" Target="header1.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8A414-8FE6-4278-AD57-F1DFE79E0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2471</Words>
  <Characters>13097</Characters>
  <Application>Microsoft Office Word</Application>
  <DocSecurity>0</DocSecurity>
  <Lines>109</Lines>
  <Paragraphs>31</Paragraphs>
  <ScaleCrop>false</ScaleCrop>
  <HeadingPairs>
    <vt:vector baseType="variant" size="2">
      <vt:variant>
        <vt:lpstr>Titre</vt:lpstr>
      </vt:variant>
      <vt:variant>
        <vt:i4>1</vt:i4>
      </vt:variant>
    </vt:vector>
  </HeadingPairs>
  <TitlesOfParts>
    <vt:vector baseType="lpstr" size="1">
      <vt:lpstr>OPH DE L’ORNE</vt:lpstr>
    </vt:vector>
  </TitlesOfParts>
  <Company>ORNE HABITAT</Company>
  <LinksUpToDate>false</LinksUpToDate>
  <CharactersWithSpaces>15537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2023-01-16T15:43:00Z</dcterms:created>
  <cp:lastPrinted>2020-09-28T08:50:00Z</cp:lastPrinted>
  <dcterms:modified xsi:type="dcterms:W3CDTF">2023-01-16T15:44:00Z</dcterms:modified>
  <cp:revision>3</cp:revision>
  <dc:title>OPH DE L’ORNE</dc:title>
</cp:coreProperties>
</file>