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rPr>
      </w:pPr>
      <w:r>
        <w:rPr>
          <w:sz w:val="24"/>
        </w:rPr>
      </w:r>
    </w:p>
    <w:p>
      <w:pPr>
        <w:pStyle w:val="Normal"/>
        <w:jc w:val="center"/>
        <w:rPr>
          <w:sz w:val="24"/>
        </w:rPr>
      </w:pPr>
      <w:r>
        <w:rPr>
          <w:sz w:val="24"/>
        </w:rPr>
      </w:r>
    </w:p>
    <w:p>
      <w:pPr>
        <w:pStyle w:val="Normal"/>
        <w:rPr>
          <w:sz w:val="24"/>
        </w:rPr>
      </w:pPr>
      <w:r>
        <w:rPr>
          <w:sz w:val="24"/>
        </w:rPr>
      </w:r>
    </w:p>
    <w:p>
      <w:pPr>
        <w:pStyle w:val="Normal"/>
        <w:ind w:right="567" w:hanging="0"/>
        <w:rPr>
          <w:sz w:val="24"/>
        </w:rPr>
      </w:pPr>
      <w:r>
        <w:rPr>
          <w:sz w:val="24"/>
        </w:rPr>
      </w:r>
    </w:p>
    <w:p>
      <w:pPr>
        <w:pStyle w:val="Heading"/>
        <w:pBdr>
          <w:top w:val="single" w:sz="12" w:space="1" w:color="000000"/>
          <w:left w:val="single" w:sz="12" w:space="4" w:color="000000"/>
          <w:bottom w:val="single" w:sz="12" w:space="1" w:color="000000"/>
          <w:right w:val="single" w:sz="12" w:space="4" w:color="000000"/>
        </w:pBdr>
        <w:shd w:fill="FFFFFF" w:val="clear"/>
        <w:rPr>
          <w:sz w:val="24"/>
        </w:rPr>
      </w:pPr>
      <w:r>
        <w:rPr>
          <w:sz w:val="24"/>
        </w:rPr>
      </w:r>
    </w:p>
    <w:p>
      <w:pPr>
        <w:pStyle w:val="Heading"/>
        <w:pBdr>
          <w:top w:val="single" w:sz="12" w:space="1" w:color="000000"/>
          <w:left w:val="single" w:sz="12" w:space="4" w:color="000000"/>
          <w:bottom w:val="single" w:sz="12" w:space="1" w:color="000000"/>
          <w:right w:val="single" w:sz="12" w:space="4" w:color="000000"/>
        </w:pBdr>
        <w:shd w:fill="FFFFFF" w:val="clear"/>
        <w:rPr/>
      </w:pPr>
      <w:r>
        <w:rPr/>
        <w:t>NEGOCIATION OBLIGATOIRE SUR LES SALAIRES, LA DUREE EFFECTIVE, L’ORGANISATION DU TEMPS DE TRAVAIL, L’EGALITE PROFESSIONNELLE, L’INSERTION PROFESSIONNELLE ET LE MAINTIEN DANS L’EMPLOI DES TRAVAILLEURS HANDICAPES POUR L’EXERCICE 2022</w:t>
      </w:r>
    </w:p>
    <w:p>
      <w:pPr>
        <w:pStyle w:val="Heading"/>
        <w:pBdr>
          <w:top w:val="single" w:sz="12" w:space="1" w:color="000000"/>
          <w:left w:val="single" w:sz="12" w:space="4" w:color="000000"/>
          <w:bottom w:val="single" w:sz="12" w:space="1" w:color="000000"/>
          <w:right w:val="single" w:sz="12" w:space="4" w:color="000000"/>
        </w:pBdr>
        <w:shd w:fill="FFFFFF" w:val="clear"/>
        <w:rPr/>
      </w:pPr>
      <w:r>
        <w:rPr/>
      </w:r>
    </w:p>
    <w:p>
      <w:pPr>
        <w:pStyle w:val="Normal"/>
        <w:jc w:val="center"/>
        <w:rPr>
          <w:sz w:val="28"/>
        </w:rPr>
      </w:pPr>
      <w:r>
        <w:rPr>
          <w:sz w:val="28"/>
        </w:rPr>
      </w:r>
    </w:p>
    <w:p>
      <w:pPr>
        <w:pStyle w:val="Normal"/>
        <w:rPr>
          <w:sz w:val="24"/>
        </w:rPr>
      </w:pPr>
      <w:r>
        <w:rPr>
          <w:sz w:val="24"/>
        </w:rPr>
      </w:r>
    </w:p>
    <w:p>
      <w:pPr>
        <w:pStyle w:val="Heading3"/>
        <w:numPr>
          <w:ilvl w:val="2"/>
          <w:numId w:val="1"/>
        </w:numPr>
        <w:rPr>
          <w:b/>
          <w:b/>
          <w:sz w:val="28"/>
          <w:szCs w:val="28"/>
        </w:rPr>
      </w:pPr>
      <w:r>
        <w:rPr>
          <w:b/>
          <w:sz w:val="28"/>
          <w:szCs w:val="28"/>
        </w:rPr>
        <w:t>PROTOCOLE D’ACCORD</w:t>
      </w:r>
    </w:p>
    <w:p>
      <w:pPr>
        <w:pStyle w:val="Normal"/>
        <w:rPr>
          <w:b/>
          <w:b/>
          <w:sz w:val="28"/>
          <w:szCs w:val="28"/>
        </w:rPr>
      </w:pPr>
      <w:r>
        <w:rPr>
          <w:b/>
          <w:sz w:val="28"/>
          <w:szCs w:val="28"/>
        </w:rPr>
      </w:r>
    </w:p>
    <w:p>
      <w:pPr>
        <w:pStyle w:val="Normal"/>
        <w:rPr>
          <w:sz w:val="28"/>
          <w:szCs w:val="28"/>
        </w:rPr>
      </w:pPr>
      <w:r>
        <w:rPr>
          <w:sz w:val="28"/>
          <w:szCs w:val="28"/>
        </w:rPr>
      </w:r>
    </w:p>
    <w:p>
      <w:pPr>
        <w:pStyle w:val="Normal"/>
        <w:tabs>
          <w:tab w:val="left" w:pos="284" w:leader="none"/>
          <w:tab w:val="left" w:pos="567" w:leader="none"/>
        </w:tabs>
        <w:jc w:val="both"/>
        <w:rPr>
          <w:sz w:val="24"/>
        </w:rPr>
      </w:pPr>
      <w:r>
        <w:rPr>
          <w:sz w:val="24"/>
        </w:rPr>
      </w:r>
    </w:p>
    <w:p>
      <w:pPr>
        <w:pStyle w:val="TextBody"/>
        <w:tabs>
          <w:tab w:val="left" w:pos="284" w:leader="none"/>
          <w:tab w:val="left" w:pos="567" w:leader="none"/>
        </w:tabs>
        <w:jc w:val="both"/>
        <w:rPr/>
      </w:pPr>
      <w:r>
        <w:rPr/>
        <w:t>La société LESOT, située 19 rue René Cassin à 62054 Saint Laurent Blangy immatriculée au registre de commerce sous le numéro 681 920 211 00098 représentée par :</w:t>
      </w:r>
    </w:p>
    <w:p>
      <w:pPr>
        <w:pStyle w:val="TextBody"/>
        <w:tabs>
          <w:tab w:val="left" w:pos="284" w:leader="none"/>
          <w:tab w:val="left" w:pos="567" w:leader="none"/>
        </w:tabs>
        <w:rPr/>
      </w:pPr>
      <w:r>
        <w:rPr/>
      </w:r>
    </w:p>
    <w:p>
      <w:pPr>
        <w:pStyle w:val="TextBody"/>
        <w:numPr>
          <w:ilvl w:val="0"/>
          <w:numId w:val="2"/>
        </w:numPr>
        <w:tabs>
          <w:tab w:val="left" w:pos="284" w:leader="none"/>
          <w:tab w:val="left" w:pos="567" w:leader="none"/>
        </w:tabs>
        <w:ind w:left="0" w:hanging="0"/>
        <w:jc w:val="both"/>
        <w:rPr/>
      </w:pPr>
      <w:r>
        <w:rPr/>
        <w:t xml:space="preserve"> </w:t>
      </w:r>
      <w:r>
        <w:rPr/>
        <w:t>Monsieur Xxxxx XXXX, Chef d’Entreprise,</w:t>
      </w:r>
    </w:p>
    <w:p>
      <w:pPr>
        <w:pStyle w:val="Normal"/>
        <w:tabs>
          <w:tab w:val="left" w:pos="284" w:leader="none"/>
          <w:tab w:val="left" w:pos="567" w:leader="none"/>
        </w:tabs>
        <w:jc w:val="both"/>
        <w:rPr>
          <w:sz w:val="24"/>
        </w:rPr>
      </w:pPr>
      <w:r>
        <w:rPr>
          <w:sz w:val="24"/>
        </w:rPr>
      </w:r>
    </w:p>
    <w:p>
      <w:pPr>
        <w:pStyle w:val="Normal"/>
        <w:tabs>
          <w:tab w:val="left" w:pos="284" w:leader="none"/>
          <w:tab w:val="left" w:pos="567" w:leader="none"/>
        </w:tabs>
        <w:jc w:val="both"/>
        <w:rPr>
          <w:sz w:val="24"/>
        </w:rPr>
      </w:pPr>
      <w:r>
        <w:rPr>
          <w:sz w:val="24"/>
        </w:rPr>
        <w:t>Et,</w:t>
      </w:r>
    </w:p>
    <w:p>
      <w:pPr>
        <w:pStyle w:val="Normal"/>
        <w:tabs>
          <w:tab w:val="left" w:pos="284" w:leader="none"/>
          <w:tab w:val="left" w:pos="567" w:leader="none"/>
        </w:tabs>
        <w:jc w:val="both"/>
        <w:rPr>
          <w:sz w:val="24"/>
        </w:rPr>
      </w:pPr>
      <w:r>
        <w:rPr>
          <w:sz w:val="24"/>
        </w:rPr>
      </w:r>
    </w:p>
    <w:p>
      <w:pPr>
        <w:pStyle w:val="Normal"/>
        <w:tabs>
          <w:tab w:val="left" w:pos="284" w:leader="none"/>
          <w:tab w:val="left" w:pos="567" w:leader="none"/>
        </w:tabs>
        <w:jc w:val="both"/>
        <w:rPr/>
      </w:pPr>
      <w:r>
        <w:rPr>
          <w:sz w:val="24"/>
        </w:rPr>
        <w:t>Les organisations syndicales suivantes :</w:t>
      </w:r>
    </w:p>
    <w:p>
      <w:pPr>
        <w:pStyle w:val="Normal"/>
        <w:jc w:val="both"/>
        <w:rPr>
          <w:sz w:val="24"/>
        </w:rPr>
      </w:pPr>
      <w:r>
        <w:rPr>
          <w:sz w:val="24"/>
        </w:rPr>
      </w:r>
    </w:p>
    <w:p>
      <w:pPr>
        <w:pStyle w:val="Normal"/>
        <w:numPr>
          <w:ilvl w:val="0"/>
          <w:numId w:val="2"/>
        </w:numPr>
        <w:jc w:val="both"/>
        <w:rPr/>
      </w:pPr>
      <w:r>
        <w:rPr>
          <w:sz w:val="24"/>
        </w:rPr>
        <w:t>CFDT, représentée par Monsieur Xxxxx XXXX, dûment mandaté</w:t>
      </w:r>
    </w:p>
    <w:p>
      <w:pPr>
        <w:pStyle w:val="Normal"/>
        <w:ind w:left="360" w:hanging="0"/>
        <w:jc w:val="both"/>
        <w:rPr>
          <w:sz w:val="24"/>
        </w:rPr>
      </w:pPr>
      <w:r>
        <w:rPr>
          <w:sz w:val="24"/>
        </w:rPr>
      </w:r>
    </w:p>
    <w:p>
      <w:pPr>
        <w:pStyle w:val="Normal"/>
        <w:jc w:val="both"/>
        <w:rPr>
          <w:sz w:val="24"/>
        </w:rPr>
      </w:pPr>
      <w:r>
        <w:rPr>
          <w:sz w:val="24"/>
        </w:rPr>
        <w:t>Ont, conformément à l’article L. 2242-8 du Code du travail, engagé la négociation annuelle obligatoire</w:t>
      </w:r>
    </w:p>
    <w:p>
      <w:pPr>
        <w:pStyle w:val="Normal"/>
        <w:jc w:val="both"/>
        <w:rPr>
          <w:sz w:val="24"/>
        </w:rPr>
      </w:pPr>
      <w:r>
        <w:rPr>
          <w:sz w:val="24"/>
        </w:rPr>
        <w:t>lors des réunions des 11/11/2021 et 29/11/2021 et 17/12/2021 à partir des documents d’information remis lors de la 1</w:t>
      </w:r>
      <w:r>
        <w:rPr>
          <w:sz w:val="24"/>
          <w:vertAlign w:val="superscript"/>
        </w:rPr>
        <w:t>ère</w:t>
      </w:r>
      <w:r>
        <w:rPr>
          <w:sz w:val="24"/>
        </w:rPr>
        <w:t xml:space="preserve"> réunion et des propositions de la CFDT lors de la 2</w:t>
      </w:r>
      <w:r>
        <w:rPr>
          <w:sz w:val="24"/>
          <w:vertAlign w:val="superscript"/>
        </w:rPr>
        <w:t>ème</w:t>
      </w:r>
      <w:r>
        <w:rPr>
          <w:sz w:val="24"/>
        </w:rPr>
        <w:t xml:space="preserve"> réunion (pièces jointes en annexe).</w:t>
      </w:r>
    </w:p>
    <w:p>
      <w:pPr>
        <w:pStyle w:val="Normal"/>
        <w:jc w:val="both"/>
        <w:rPr>
          <w:sz w:val="24"/>
        </w:rPr>
      </w:pPr>
      <w:r>
        <w:rPr>
          <w:sz w:val="24"/>
        </w:rPr>
      </w:r>
    </w:p>
    <w:p>
      <w:pPr>
        <w:pStyle w:val="Normal"/>
        <w:rPr>
          <w:sz w:val="24"/>
        </w:rPr>
      </w:pPr>
      <w:r>
        <w:rPr>
          <w:sz w:val="24"/>
        </w:rPr>
      </w:r>
    </w:p>
    <w:p>
      <w:pPr>
        <w:pStyle w:val="Normal"/>
        <w:tabs>
          <w:tab w:val="left" w:pos="851" w:leader="none"/>
        </w:tabs>
        <w:ind w:left="426" w:hanging="0"/>
        <w:rPr/>
      </w:pPr>
      <w:r>
        <w:rPr>
          <w:b/>
          <w:sz w:val="24"/>
        </w:rPr>
        <w:t>1  -</w:t>
        <w:tab/>
        <w:t>Augmentation de salaire :</w:t>
      </w:r>
    </w:p>
    <w:p>
      <w:pPr>
        <w:pStyle w:val="Normal"/>
        <w:tabs>
          <w:tab w:val="left" w:pos="851" w:leader="none"/>
        </w:tabs>
        <w:ind w:left="426" w:hanging="0"/>
        <w:rPr>
          <w:b/>
          <w:b/>
          <w:sz w:val="24"/>
        </w:rPr>
      </w:pPr>
      <w:r>
        <w:rPr>
          <w:b/>
          <w:sz w:val="24"/>
        </w:rPr>
      </w:r>
    </w:p>
    <w:p>
      <w:pPr>
        <w:pStyle w:val="Normal"/>
        <w:jc w:val="both"/>
        <w:rPr>
          <w:sz w:val="24"/>
        </w:rPr>
      </w:pPr>
      <w:r>
        <w:rPr>
          <w:sz w:val="24"/>
        </w:rPr>
        <w:t>Les salaires seront révisés de manière individuelle sur la paye du mois de janvier. L’augmentation des salaires au 01/01/2022 hors promotion sera de 3,2 % en moyenne par C.S.P.</w:t>
      </w:r>
    </w:p>
    <w:p>
      <w:pPr>
        <w:pStyle w:val="Normal"/>
        <w:rPr>
          <w:sz w:val="24"/>
        </w:rPr>
      </w:pPr>
      <w:r>
        <w:rPr>
          <w:sz w:val="24"/>
        </w:rPr>
      </w:r>
    </w:p>
    <w:p>
      <w:pPr>
        <w:pStyle w:val="Normal"/>
        <w:rPr>
          <w:sz w:val="24"/>
        </w:rPr>
      </w:pPr>
      <w:r>
        <w:rPr>
          <w:sz w:val="24"/>
        </w:rPr>
      </w:r>
    </w:p>
    <w:p>
      <w:pPr>
        <w:pStyle w:val="Normal"/>
        <w:tabs>
          <w:tab w:val="left" w:pos="851" w:leader="none"/>
        </w:tabs>
        <w:ind w:left="426" w:hanging="0"/>
        <w:rPr/>
      </w:pPr>
      <w:r>
        <w:rPr>
          <w:b/>
          <w:sz w:val="24"/>
        </w:rPr>
        <w:t>2  -</w:t>
        <w:tab/>
        <w:t>Jours de carence du personnel ouvrier en cas d’absence pour maladie :</w:t>
      </w:r>
    </w:p>
    <w:p>
      <w:pPr>
        <w:pStyle w:val="Normal"/>
        <w:tabs>
          <w:tab w:val="left" w:pos="851" w:leader="none"/>
        </w:tabs>
        <w:ind w:left="426" w:hanging="0"/>
        <w:rPr>
          <w:b/>
          <w:b/>
          <w:sz w:val="24"/>
        </w:rPr>
      </w:pPr>
      <w:r>
        <w:rPr>
          <w:b/>
          <w:sz w:val="24"/>
        </w:rPr>
      </w:r>
    </w:p>
    <w:p>
      <w:pPr>
        <w:pStyle w:val="Normal"/>
        <w:rPr>
          <w:color w:val="00B050"/>
          <w:sz w:val="24"/>
        </w:rPr>
      </w:pPr>
      <w:r>
        <w:rPr>
          <w:sz w:val="24"/>
        </w:rPr>
        <w:t>Maintien des 3 jours de carence accordés en 2021. Pour chaque collaborateur ouvrier qui serait absent pour maladie, l’entreprise assurera le maintien de salaire pendant la période dite de « carence » dans la limite de 3 jours par an.</w:t>
      </w:r>
    </w:p>
    <w:p>
      <w:pPr>
        <w:pStyle w:val="Normal"/>
        <w:rPr/>
      </w:pPr>
      <w:r>
        <w:rPr>
          <w:sz w:val="24"/>
        </w:rPr>
        <w:t>Les éventuels jours de carence dont le salarié ouvrier</w:t>
      </w:r>
      <w:r>
        <w:rPr>
          <w:color w:val="00B050"/>
          <w:sz w:val="24"/>
        </w:rPr>
        <w:t xml:space="preserve"> </w:t>
      </w:r>
      <w:r>
        <w:rPr>
          <w:sz w:val="24"/>
        </w:rPr>
        <w:t>n’aurait pas bénéficié au titre d’une année ne seront pas reportés sur l’année suivante.</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tabs>
          <w:tab w:val="left" w:pos="851" w:leader="none"/>
        </w:tabs>
        <w:ind w:left="426" w:hanging="0"/>
        <w:rPr/>
      </w:pPr>
      <w:r>
        <w:rPr>
          <w:b/>
          <w:sz w:val="24"/>
        </w:rPr>
        <w:t>3  -</w:t>
        <w:tab/>
        <w:t>Œuvres sociales :</w:t>
      </w:r>
    </w:p>
    <w:p>
      <w:pPr>
        <w:pStyle w:val="Normal"/>
        <w:tabs>
          <w:tab w:val="left" w:pos="851" w:leader="none"/>
        </w:tabs>
        <w:ind w:left="426" w:hanging="0"/>
        <w:rPr>
          <w:b/>
          <w:b/>
          <w:sz w:val="24"/>
        </w:rPr>
      </w:pPr>
      <w:r>
        <w:rPr>
          <w:b/>
          <w:sz w:val="24"/>
        </w:rPr>
      </w:r>
    </w:p>
    <w:p>
      <w:pPr>
        <w:pStyle w:val="Normal"/>
        <w:jc w:val="both"/>
        <w:rPr>
          <w:sz w:val="24"/>
        </w:rPr>
      </w:pPr>
      <w:r>
        <w:rPr>
          <w:sz w:val="24"/>
        </w:rPr>
        <w:t>Maintien du versement exceptionnel en 2022 de 10 Euros par salarié pour les œuvres sociales du Comité Social Economique.</w:t>
      </w:r>
    </w:p>
    <w:p>
      <w:pPr>
        <w:pStyle w:val="Normal"/>
        <w:jc w:val="both"/>
        <w:rPr>
          <w:sz w:val="24"/>
        </w:rPr>
      </w:pPr>
      <w:r>
        <w:rPr>
          <w:sz w:val="24"/>
        </w:rPr>
      </w:r>
    </w:p>
    <w:p>
      <w:pPr>
        <w:pStyle w:val="Normal"/>
        <w:jc w:val="both"/>
        <w:rPr>
          <w:sz w:val="24"/>
        </w:rPr>
      </w:pPr>
      <w:r>
        <w:rPr>
          <w:sz w:val="24"/>
        </w:rPr>
      </w:r>
    </w:p>
    <w:p>
      <w:pPr>
        <w:pStyle w:val="Normal"/>
        <w:tabs>
          <w:tab w:val="left" w:pos="851" w:leader="none"/>
        </w:tabs>
        <w:ind w:left="426" w:hanging="0"/>
        <w:rPr/>
      </w:pPr>
      <w:r>
        <w:rPr>
          <w:b/>
          <w:sz w:val="24"/>
        </w:rPr>
        <w:t>4  -</w:t>
        <w:tab/>
        <w:t>Enfant malade :</w:t>
      </w:r>
    </w:p>
    <w:p>
      <w:pPr>
        <w:pStyle w:val="Normal"/>
        <w:tabs>
          <w:tab w:val="left" w:pos="851" w:leader="none"/>
        </w:tabs>
        <w:ind w:left="426" w:hanging="0"/>
        <w:rPr>
          <w:b/>
          <w:b/>
          <w:sz w:val="24"/>
        </w:rPr>
      </w:pPr>
      <w:r>
        <w:rPr>
          <w:b/>
          <w:sz w:val="24"/>
        </w:rPr>
      </w:r>
    </w:p>
    <w:p>
      <w:pPr>
        <w:pStyle w:val="Normal"/>
        <w:rPr/>
      </w:pPr>
      <w:r>
        <w:rPr>
          <w:sz w:val="24"/>
        </w:rPr>
        <w:t>Reconduction d’une journée d’absence par an et par salarié sans perte de salaire en cas de maladie d’un enfant de moins de 15 ans avec présentation d’un certificat médical.</w:t>
      </w:r>
    </w:p>
    <w:p>
      <w:pPr>
        <w:pStyle w:val="Normal"/>
        <w:jc w:val="both"/>
        <w:rPr>
          <w:sz w:val="24"/>
        </w:rPr>
      </w:pPr>
      <w:r>
        <w:rPr>
          <w:sz w:val="24"/>
        </w:rPr>
      </w:r>
    </w:p>
    <w:p>
      <w:pPr>
        <w:pStyle w:val="Normal"/>
        <w:rPr>
          <w:sz w:val="24"/>
        </w:rPr>
      </w:pPr>
      <w:r>
        <w:rPr>
          <w:sz w:val="24"/>
        </w:rPr>
      </w:r>
    </w:p>
    <w:p>
      <w:pPr>
        <w:pStyle w:val="Normal"/>
        <w:tabs>
          <w:tab w:val="left" w:pos="851" w:leader="none"/>
        </w:tabs>
        <w:ind w:left="426" w:hanging="0"/>
        <w:rPr/>
      </w:pPr>
      <w:bookmarkStart w:id="0" w:name="_Hlk29286200"/>
      <w:bookmarkEnd w:id="0"/>
      <w:r>
        <w:rPr>
          <w:b/>
          <w:sz w:val="24"/>
        </w:rPr>
        <w:t>5  -</w:t>
        <w:tab/>
        <w:t>Travailleur Handicapé :</w:t>
      </w:r>
    </w:p>
    <w:p>
      <w:pPr>
        <w:pStyle w:val="Normal"/>
        <w:tabs>
          <w:tab w:val="left" w:pos="851" w:leader="none"/>
        </w:tabs>
        <w:ind w:left="426" w:hanging="0"/>
        <w:rPr>
          <w:b/>
          <w:b/>
          <w:sz w:val="24"/>
        </w:rPr>
      </w:pPr>
      <w:r>
        <w:rPr>
          <w:b/>
          <w:sz w:val="24"/>
        </w:rPr>
      </w:r>
    </w:p>
    <w:p>
      <w:pPr>
        <w:pStyle w:val="Normal"/>
        <w:rPr>
          <w:sz w:val="24"/>
        </w:rPr>
      </w:pPr>
      <w:r>
        <w:rPr>
          <w:sz w:val="24"/>
        </w:rPr>
        <w:t>L’entreprise compte à ce jour 2 travailleurs handicapés pour un quota réglementaire de 2. L’entreprise continuera à être sensible aux actions concernant le handicap.</w:t>
      </w:r>
    </w:p>
    <w:p>
      <w:pPr>
        <w:pStyle w:val="Normal"/>
        <w:rPr>
          <w:sz w:val="24"/>
        </w:rPr>
      </w:pPr>
      <w:r>
        <w:rPr>
          <w:sz w:val="24"/>
        </w:rPr>
      </w:r>
    </w:p>
    <w:p>
      <w:pPr>
        <w:pStyle w:val="Normal"/>
        <w:rPr>
          <w:sz w:val="24"/>
        </w:rPr>
      </w:pPr>
      <w:r>
        <w:rPr>
          <w:sz w:val="24"/>
        </w:rPr>
      </w:r>
    </w:p>
    <w:p>
      <w:pPr>
        <w:pStyle w:val="Normal"/>
        <w:tabs>
          <w:tab w:val="left" w:pos="851" w:leader="none"/>
        </w:tabs>
        <w:ind w:left="426" w:hanging="0"/>
        <w:rPr>
          <w:b/>
          <w:b/>
          <w:sz w:val="24"/>
        </w:rPr>
      </w:pPr>
      <w:bookmarkStart w:id="1" w:name="_Hlk29286200"/>
      <w:bookmarkEnd w:id="1"/>
      <w:r>
        <w:rPr>
          <w:b/>
          <w:sz w:val="24"/>
        </w:rPr>
        <w:t>6  -  Ecarts de rémunération et Egalité professionnelle Hommes / Femmes :</w:t>
      </w:r>
    </w:p>
    <w:p>
      <w:pPr>
        <w:pStyle w:val="Normal"/>
        <w:tabs>
          <w:tab w:val="left" w:pos="851" w:leader="none"/>
        </w:tabs>
        <w:ind w:left="426" w:hanging="0"/>
        <w:rPr>
          <w:b/>
          <w:b/>
          <w:sz w:val="24"/>
        </w:rPr>
      </w:pPr>
      <w:r>
        <w:rPr>
          <w:b/>
          <w:sz w:val="24"/>
        </w:rPr>
      </w:r>
    </w:p>
    <w:p>
      <w:pPr>
        <w:pStyle w:val="Normal"/>
        <w:jc w:val="both"/>
        <w:rPr>
          <w:sz w:val="24"/>
        </w:rPr>
      </w:pPr>
      <w:r>
        <w:rPr>
          <w:sz w:val="24"/>
        </w:rPr>
        <w:t>Au regard des documents fournis par la direction, les parties constatent que les femmes et les hommes n’exercent pas les mêmes emplois dans la société. Par conséquent, il n’est pas matériellement possible de comparer, à poste équivalent, leurs rémunérations.</w:t>
      </w:r>
    </w:p>
    <w:p>
      <w:pPr>
        <w:pStyle w:val="Normal"/>
        <w:jc w:val="both"/>
        <w:rPr>
          <w:sz w:val="24"/>
        </w:rPr>
      </w:pPr>
      <w:r>
        <w:rPr>
          <w:sz w:val="24"/>
        </w:rPr>
      </w:r>
    </w:p>
    <w:p>
      <w:pPr>
        <w:pStyle w:val="Normal"/>
        <w:jc w:val="both"/>
        <w:rPr>
          <w:sz w:val="24"/>
        </w:rPr>
      </w:pPr>
      <w:r>
        <w:rPr>
          <w:sz w:val="24"/>
        </w:rPr>
        <w:t>Les parties se sont également référés à l’accord sur l’égalité professionnelle conclu le 28/06/2021 et comportant les engagements en termes de formation, de rémunération et d’articulation entre l’activité professionnelle et l’exercice de la responsabilité familiale. Un bilan sur l’état des indicateurs afférents aux engagements souscrits sera effectué à l’échéance de la première année d’application.</w:t>
      </w:r>
    </w:p>
    <w:p>
      <w:pPr>
        <w:pStyle w:val="Normal"/>
        <w:jc w:val="both"/>
        <w:rPr>
          <w:sz w:val="24"/>
        </w:rPr>
      </w:pPr>
      <w:r>
        <w:rPr>
          <w:sz w:val="24"/>
        </w:rPr>
        <w:t>La direction veille toutefois à promouvoir l’égalité entre Hommes et Femmes. Elle s’engage à renégocier un accord portant sur l’égalité professionnelle entre les Hommes et Femmes à la fin du 1ier semestre 2022.</w:t>
      </w:r>
    </w:p>
    <w:p>
      <w:pPr>
        <w:pStyle w:val="Normal"/>
        <w:rPr>
          <w:b/>
          <w:b/>
          <w:sz w:val="24"/>
        </w:rPr>
      </w:pPr>
      <w:r>
        <w:rPr>
          <w:b/>
          <w:sz w:val="24"/>
        </w:rPr>
      </w:r>
    </w:p>
    <w:p>
      <w:pPr>
        <w:pStyle w:val="Normal"/>
        <w:jc w:val="both"/>
        <w:rPr/>
      </w:pPr>
      <w:r>
        <w:rPr>
          <w:sz w:val="24"/>
        </w:rPr>
        <w:t>Conformément à l’article D2231-4 CT, le présent accord ainsi que ses avenants éventuels seront déposés à l’initiative de la Direction sur la plateforme de téléprocédure du ministère du travail.</w:t>
      </w:r>
    </w:p>
    <w:p>
      <w:pPr>
        <w:pStyle w:val="Normal"/>
        <w:jc w:val="both"/>
        <w:rPr/>
      </w:pPr>
      <w:r>
        <w:rPr>
          <w:sz w:val="24"/>
        </w:rPr>
        <w:t>Il sera également déposé en un exemplaire auprès du secrétariat greffe du Conseil de Prud’hommes d’Arras.</w:t>
      </w:r>
    </w:p>
    <w:p>
      <w:pPr>
        <w:pStyle w:val="Normal"/>
        <w:rPr>
          <w:bCs/>
          <w:sz w:val="24"/>
        </w:rPr>
      </w:pPr>
      <w:r>
        <w:rPr>
          <w:bCs/>
          <w:sz w:val="24"/>
        </w:rPr>
      </w:r>
    </w:p>
    <w:p>
      <w:pPr>
        <w:pStyle w:val="Normal"/>
        <w:rPr>
          <w:bCs/>
          <w:sz w:val="24"/>
        </w:rPr>
      </w:pPr>
      <w:r>
        <w:rPr>
          <w:bCs/>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Fait à St Laurent Blangy, le 14 janvier 2022</w:t>
      </w:r>
    </w:p>
    <w:p>
      <w:pPr>
        <w:pStyle w:val="Normal"/>
        <w:rPr>
          <w:sz w:val="24"/>
        </w:rPr>
      </w:pPr>
      <w:r>
        <w:rPr>
          <w:sz w:val="24"/>
        </w:rPr>
      </w:r>
    </w:p>
    <w:p>
      <w:pPr>
        <w:pStyle w:val="Normal"/>
        <w:rPr>
          <w:sz w:val="22"/>
          <w:szCs w:val="22"/>
        </w:rPr>
      </w:pPr>
      <w:r>
        <w:rPr>
          <w:sz w:val="22"/>
          <w:szCs w:val="22"/>
        </w:rPr>
        <w:t xml:space="preserve">Monsieur Xxxxx XXXX         </w:t>
        <w:tab/>
        <w:tab/>
        <w:tab/>
        <w:t xml:space="preserve">   </w:t>
        <w:tab/>
        <w:t>Monsieur Xxxxx XXXX</w:t>
      </w:r>
      <w:r>
        <w:rPr/>
        <w:t xml:space="preserve">   </w:t>
      </w:r>
    </w:p>
    <w:p>
      <w:pPr>
        <w:pStyle w:val="Normal"/>
        <w:rPr>
          <w:sz w:val="22"/>
          <w:szCs w:val="22"/>
        </w:rPr>
      </w:pPr>
      <w:r>
        <w:rPr>
          <w:sz w:val="22"/>
          <w:szCs w:val="22"/>
        </w:rPr>
        <w:t>Représentant syndical C.F.D.T.</w:t>
        <w:tab/>
        <w:tab/>
        <w:tab/>
        <w:tab/>
        <w:t>Le Chef d’Entreprise</w:t>
      </w:r>
    </w:p>
    <w:p>
      <w:pPr>
        <w:pStyle w:val="TextBody"/>
        <w:tabs>
          <w:tab w:val="left" w:pos="2552" w:leader="none"/>
          <w:tab w:val="left" w:pos="3828" w:leader="none"/>
          <w:tab w:val="left" w:pos="5954" w:leader="none"/>
        </w:tabs>
        <w:ind w:left="426" w:hanging="0"/>
        <w:rPr>
          <w:b/>
          <w:b/>
          <w:sz w:val="22"/>
          <w:szCs w:val="22"/>
        </w:rPr>
      </w:pPr>
      <w:r>
        <w:rPr>
          <w:b/>
          <w:sz w:val="22"/>
          <w:szCs w:val="22"/>
        </w:rPr>
      </w:r>
    </w:p>
    <w:sectPr>
      <w:footerReference w:type="default" r:id="rId2"/>
      <w:footerReference w:type="first" r:id="rId3"/>
      <w:type w:val="nextPage"/>
      <w:pgSz w:w="11906" w:h="16838"/>
      <w:pgMar w:left="1134" w:right="851" w:header="0" w:top="1418" w:footer="34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Liberation Serif" w:hAnsi="Liberation Serif" w:cs="Liberation Serif" w:hint="default"/>
        <w:sz w:val="24"/>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pBdr>
        <w:top w:val="single" w:sz="4" w:space="22" w:color="000000"/>
        <w:left w:val="single" w:sz="4" w:space="0" w:color="000000"/>
        <w:bottom w:val="single" w:sz="4" w:space="29" w:color="000000"/>
        <w:right w:val="single" w:sz="4" w:space="0" w:color="000000"/>
      </w:pBdr>
      <w:shd w:fill="CCCCCC" w:val="clear"/>
      <w:outlineLvl w:val="0"/>
    </w:pPr>
    <w:rPr>
      <w:b/>
      <w:sz w:val="24"/>
    </w:rPr>
  </w:style>
  <w:style w:type="paragraph" w:styleId="Heading2">
    <w:name w:val="Heading 2"/>
    <w:basedOn w:val="Normal"/>
    <w:next w:val="Normal"/>
    <w:qFormat/>
    <w:pPr>
      <w:keepNext w:val="true"/>
      <w:numPr>
        <w:ilvl w:val="1"/>
        <w:numId w:val="1"/>
      </w:numPr>
      <w:pBdr>
        <w:top w:val="single" w:sz="4" w:space="22" w:color="000000"/>
        <w:left w:val="single" w:sz="4" w:space="0" w:color="000000"/>
        <w:bottom w:val="single" w:sz="4" w:space="29" w:color="000000"/>
        <w:right w:val="single" w:sz="4" w:space="0" w:color="000000"/>
      </w:pBdr>
      <w:shd w:fill="CCCCCC" w:val="clear"/>
      <w:ind w:firstLine="993"/>
      <w:outlineLvl w:val="1"/>
    </w:pPr>
    <w:rPr>
      <w:b/>
      <w:sz w:val="24"/>
    </w:rPr>
  </w:style>
  <w:style w:type="paragraph" w:styleId="Heading3">
    <w:name w:val="Heading 3"/>
    <w:basedOn w:val="Normal"/>
    <w:next w:val="Normal"/>
    <w:qFormat/>
    <w:pPr>
      <w:keepNext w:val="true"/>
      <w:numPr>
        <w:ilvl w:val="2"/>
        <w:numId w:val="1"/>
      </w:numPr>
      <w:jc w:val="center"/>
      <w:outlineLvl w:val="2"/>
    </w:pPr>
    <w:rPr>
      <w:sz w:val="24"/>
    </w:rPr>
  </w:style>
  <w:style w:type="paragraph" w:styleId="Heading4">
    <w:name w:val="Heading 4"/>
    <w:basedOn w:val="Normal"/>
    <w:next w:val="Normal"/>
    <w:qFormat/>
    <w:pPr>
      <w:keepNext w:val="true"/>
      <w:numPr>
        <w:ilvl w:val="3"/>
        <w:numId w:val="1"/>
      </w:numPr>
      <w:outlineLvl w:val="3"/>
    </w:pPr>
    <w:rPr>
      <w:b/>
      <w:sz w:val="24"/>
    </w:rPr>
  </w:style>
  <w:style w:type="paragraph" w:styleId="Heading5">
    <w:name w:val="Heading 5"/>
    <w:basedOn w:val="Normal"/>
    <w:next w:val="Normal"/>
    <w:qFormat/>
    <w:pPr>
      <w:keepNext w:val="true"/>
      <w:numPr>
        <w:ilvl w:val="4"/>
        <w:numId w:val="1"/>
      </w:numPr>
      <w:ind w:left="720" w:hanging="0"/>
      <w:outlineLvl w:val="4"/>
    </w:pPr>
    <w:rPr>
      <w:sz w:val="24"/>
    </w:rPr>
  </w:style>
  <w:style w:type="paragraph" w:styleId="Heading6">
    <w:name w:val="Heading 6"/>
    <w:basedOn w:val="Normal"/>
    <w:next w:val="Normal"/>
    <w:qFormat/>
    <w:pPr>
      <w:keepNext w:val="true"/>
      <w:numPr>
        <w:ilvl w:val="5"/>
        <w:numId w:val="1"/>
      </w:numPr>
      <w:ind w:left="720" w:right="-567" w:hanging="0"/>
      <w:outlineLvl w:val="5"/>
    </w:pPr>
    <w:rPr>
      <w:sz w:val="24"/>
    </w:rPr>
  </w:style>
  <w:style w:type="paragraph" w:styleId="Heading7">
    <w:name w:val="Heading 7"/>
    <w:basedOn w:val="Normal"/>
    <w:next w:val="Normal"/>
    <w:qFormat/>
    <w:pPr>
      <w:keepNext w:val="true"/>
      <w:numPr>
        <w:ilvl w:val="6"/>
        <w:numId w:val="1"/>
      </w:numPr>
      <w:ind w:left="720" w:right="-993" w:hanging="0"/>
      <w:outlineLvl w:val="6"/>
    </w:pPr>
    <w:rPr>
      <w:sz w:val="24"/>
    </w:rPr>
  </w:style>
  <w:style w:type="paragraph" w:styleId="Heading8">
    <w:name w:val="Heading 8"/>
    <w:basedOn w:val="Normal"/>
    <w:next w:val="Normal"/>
    <w:qFormat/>
    <w:pPr>
      <w:keepNext w:val="true"/>
      <w:numPr>
        <w:ilvl w:val="7"/>
        <w:numId w:val="1"/>
      </w:numPr>
      <w:ind w:left="720" w:right="-851" w:hanging="0"/>
      <w:outlineLvl w:val="7"/>
    </w:pPr>
    <w:rPr>
      <w:b/>
      <w:sz w:val="24"/>
    </w:rPr>
  </w:style>
  <w:style w:type="paragraph" w:styleId="Heading9">
    <w:name w:val="Heading 9"/>
    <w:basedOn w:val="Normal"/>
    <w:next w:val="Normal"/>
    <w:qFormat/>
    <w:pPr>
      <w:keepNext w:val="true"/>
      <w:numPr>
        <w:ilvl w:val="8"/>
        <w:numId w:val="1"/>
      </w:numPr>
      <w:tabs>
        <w:tab w:val="left" w:pos="3402" w:leader="none"/>
        <w:tab w:val="left" w:pos="6946" w:leader="none"/>
        <w:tab w:val="left" w:pos="8505" w:leader="none"/>
      </w:tabs>
      <w:ind w:left="5675" w:right="-993" w:hanging="4966"/>
      <w:outlineLvl w:val="8"/>
    </w:pPr>
    <w:rPr>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z w:val="24"/>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Policepardfaut">
    <w:name w:val="Police par défaut"/>
    <w:qFormat/>
    <w:rPr/>
  </w:style>
  <w:style w:type="character" w:styleId="PageNumber">
    <w:name w:val="Page Number"/>
    <w:basedOn w:val="Policepardfaut"/>
    <w:rPr/>
  </w:style>
  <w:style w:type="character" w:styleId="TitreCar">
    <w:name w:val="Titre Car"/>
    <w:qFormat/>
    <w:rPr>
      <w:b/>
      <w:bCs/>
      <w:sz w:val="28"/>
      <w:szCs w:val="28"/>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basedOn w:val="Policepardfaut"/>
    <w:qFormat/>
    <w:rPr/>
  </w:style>
  <w:style w:type="paragraph" w:styleId="Heading">
    <w:name w:val="Heading"/>
    <w:basedOn w:val="Normal"/>
    <w:next w:val="TextBody"/>
    <w:qFormat/>
    <w:pPr>
      <w:jc w:val="center"/>
    </w:pPr>
    <w:rPr>
      <w:b/>
      <w:bCs/>
      <w:sz w:val="28"/>
      <w:szCs w:val="28"/>
    </w:rPr>
  </w:style>
  <w:style w:type="paragraph" w:styleId="TextBody">
    <w:name w:val="Body Text"/>
    <w:basedOn w:val="Normal"/>
    <w:pPr/>
    <w:rPr>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centr">
    <w:name w:val="Normal centré"/>
    <w:basedOn w:val="Normal"/>
    <w:qFormat/>
    <w:pPr>
      <w:tabs>
        <w:tab w:val="left" w:pos="6946" w:leader="none"/>
      </w:tabs>
      <w:ind w:left="720" w:right="-993" w:hanging="0"/>
    </w:pPr>
    <w:rPr>
      <w:b/>
      <w:sz w:val="24"/>
    </w:rPr>
  </w:style>
  <w:style w:type="paragraph" w:styleId="TextBodyIndent">
    <w:name w:val="Body Text Indent"/>
    <w:basedOn w:val="Normal"/>
    <w:pPr>
      <w:ind w:left="600" w:hanging="0"/>
    </w:pPr>
    <w:rPr>
      <w:sz w:val="24"/>
    </w:rPr>
  </w:style>
  <w:style w:type="paragraph" w:styleId="Retraitcorpsdetexte2">
    <w:name w:val="Retrait corps de texte 2"/>
    <w:basedOn w:val="Normal"/>
    <w:qFormat/>
    <w:pPr>
      <w:tabs>
        <w:tab w:val="left" w:pos="284" w:leader="none"/>
      </w:tabs>
      <w:ind w:left="284" w:hanging="0"/>
      <w:jc w:val="both"/>
    </w:pPr>
    <w:rPr>
      <w:sz w:val="24"/>
    </w:rPr>
  </w:style>
  <w:style w:type="paragraph" w:styleId="Corpsdetexte2">
    <w:name w:val="Corps de texte 2"/>
    <w:basedOn w:val="Normal"/>
    <w:qFormat/>
    <w:pPr>
      <w:ind w:right="-142" w:hanging="0"/>
      <w:jc w:val="both"/>
    </w:pPr>
    <w:rPr>
      <w:sz w:val="24"/>
    </w:rPr>
  </w:style>
  <w:style w:type="paragraph" w:styleId="Retraitcorpsdetexte3">
    <w:name w:val="Retrait corps de texte 3"/>
    <w:basedOn w:val="Normal"/>
    <w:qFormat/>
    <w:pPr>
      <w:ind w:left="142" w:hanging="0"/>
    </w:pPr>
    <w:rPr>
      <w:sz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orpsdetexte3">
    <w:name w:val="Corps de texte 3"/>
    <w:basedOn w:val="Normal"/>
    <w:qFormat/>
    <w:pPr>
      <w:jc w:val="both"/>
    </w:pPr>
    <w:rPr>
      <w:sz w:val="24"/>
    </w:rPr>
  </w:style>
  <w:style w:type="paragraph" w:styleId="Paragraphedeliste">
    <w:name w:val="Paragraphe de liste"/>
    <w:basedOn w:val="Normal"/>
    <w:qFormat/>
    <w:pPr>
      <w:ind w:left="708" w:hanging="0"/>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2022-01-21T13:52:00Z</dcterms:created>
  <dc:creator/>
  <dc:description/>
  <dc:language>en-GB</dc:language>
  <cp:lastModifiedBy/>
  <cp:lastPrinted>2019-02-07T15:49:00Z</cp:lastPrinted>
  <dcterms:modified xsi:type="dcterms:W3CDTF">2022-01-21T13:54:00Z</dcterms:modified>
  <cp:revision>3</cp:revision>
  <dc:subject/>
  <dc:title>NEGOCIATION COLLECTIVE SUR LES SALAIRES,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0x010100C3F0047891F03E4880F865C1DA8D3B47</vt:lpwstr>
  </property>
</Properties>
</file>