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5935980" cy="139255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5" t="-25" r="-5" b="-25"/>
                    <a:stretch>
                      <a:fillRect/>
                    </a:stretch>
                  </pic:blipFill>
                  <pic:spPr bwMode="auto">
                    <a:xfrm>
                      <a:off x="0" y="0"/>
                      <a:ext cx="5935980" cy="1392555"/>
                    </a:xfrm>
                    <a:prstGeom prst="rect">
                      <a:avLst/>
                    </a:prstGeom>
                  </pic:spPr>
                </pic:pic>
              </a:graphicData>
            </a:graphic>
          </wp:inline>
        </w:drawing>
      </w:r>
    </w:p>
    <w:p>
      <w:pPr>
        <w:pStyle w:val="Normal"/>
        <w:jc w:val="right"/>
        <w:rPr>
          <w:sz w:val="22"/>
        </w:rPr>
      </w:pPr>
      <w:r>
        <w:rPr>
          <w:sz w:val="22"/>
        </w:rPr>
      </w:r>
    </w:p>
    <w:p>
      <w:pPr>
        <w:pStyle w:val="Normal"/>
        <w:jc w:val="right"/>
        <w:rPr>
          <w:sz w:val="22"/>
        </w:rPr>
      </w:pPr>
      <w:r>
        <w:rPr>
          <w:sz w:val="22"/>
        </w:rPr>
      </w:r>
    </w:p>
    <w:p>
      <w:pPr>
        <w:pStyle w:val="Normal"/>
        <w:jc w:val="right"/>
        <w:rPr>
          <w:sz w:val="22"/>
        </w:rPr>
      </w:pPr>
      <w:r>
        <w:rPr>
          <w:sz w:val="22"/>
        </w:rPr>
      </w:r>
    </w:p>
    <w:p>
      <w:pPr>
        <w:pStyle w:val="Normal"/>
        <w:rPr>
          <w:sz w:val="22"/>
        </w:rPr>
      </w:pPr>
      <w:r>
        <w:rPr>
          <w:sz w:val="22"/>
        </w:rPr>
      </w:r>
    </w:p>
    <w:p>
      <w:pPr>
        <w:pStyle w:val="Normal"/>
        <w:rPr/>
      </w:pPr>
      <w:r>
        <w:rPr/>
      </w:r>
    </w:p>
    <w:p>
      <w:pPr>
        <w:pStyle w:val="Normal"/>
        <w:rPr/>
      </w:pPr>
      <w:r>
        <w:rPr/>
      </w:r>
    </w:p>
    <w:p>
      <w:pPr>
        <w:pStyle w:val="Normal"/>
        <w:rPr>
          <w:sz w:val="20"/>
          <w:lang w:val="en-GB" w:eastAsia="en-GB"/>
        </w:rPr>
      </w:pPr>
      <w:r>
        <w:rPr>
          <w:sz w:val="20"/>
          <w:lang w:val="en-GB" w:eastAsia="en-GB"/>
        </w:rPr>
        <mc:AlternateContent>
          <mc:Choice Requires="wps">
            <w:drawing>
              <wp:anchor behindDoc="0" distT="0" distB="0" distL="114935" distR="114935" simplePos="0" locked="0" layoutInCell="1" allowOverlap="1" relativeHeight="6">
                <wp:simplePos x="0" y="0"/>
                <wp:positionH relativeFrom="column">
                  <wp:posOffset>-228600</wp:posOffset>
                </wp:positionH>
                <wp:positionV relativeFrom="paragraph">
                  <wp:posOffset>27940</wp:posOffset>
                </wp:positionV>
                <wp:extent cx="6172835" cy="1029335"/>
                <wp:effectExtent l="0" t="0" r="0" b="0"/>
                <wp:wrapNone/>
                <wp:docPr id="2" name=""/>
                <a:graphic xmlns:a="http://schemas.openxmlformats.org/drawingml/2006/main">
                  <a:graphicData uri="http://schemas.microsoft.com/office/word/2010/wordprocessingShape">
                    <wps:wsp>
                      <wps:cNvSpPr/>
                      <wps:spPr>
                        <a:xfrm>
                          <a:off x="0" y="0"/>
                          <a:ext cx="6172200" cy="1028880"/>
                        </a:xfrm>
                        <a:custGeom>
                          <a:avLst/>
                          <a:gdLst/>
                          <a:ahLst/>
                          <a:rect l="0" t="0" r="r" b="b"/>
                          <a:pathLst>
                            <a:path w="9721" h="1622">
                              <a:moveTo>
                                <a:pt x="270" y="0"/>
                              </a:moveTo>
                              <a:cubicBezTo>
                                <a:pt x="135" y="0"/>
                                <a:pt x="0" y="135"/>
                                <a:pt x="0" y="270"/>
                              </a:cubicBezTo>
                              <a:lnTo>
                                <a:pt x="0" y="1350"/>
                              </a:lnTo>
                              <a:cubicBezTo>
                                <a:pt x="0" y="1485"/>
                                <a:pt x="135" y="1621"/>
                                <a:pt x="270" y="1621"/>
                              </a:cubicBezTo>
                              <a:lnTo>
                                <a:pt x="9450" y="1621"/>
                              </a:lnTo>
                              <a:cubicBezTo>
                                <a:pt x="9585" y="1621"/>
                                <a:pt x="9720" y="1485"/>
                                <a:pt x="9720" y="1350"/>
                              </a:cubicBezTo>
                              <a:lnTo>
                                <a:pt x="9720" y="270"/>
                              </a:lnTo>
                              <a:cubicBezTo>
                                <a:pt x="9720" y="135"/>
                                <a:pt x="9585" y="0"/>
                                <a:pt x="9450" y="0"/>
                              </a:cubicBezTo>
                              <a:lnTo>
                                <a:pt x="270" y="0"/>
                              </a:lnTo>
                            </a:path>
                          </a:pathLst>
                        </a:custGeom>
                        <a:noFill/>
                        <a:ln w="9360">
                          <a:solidFill>
                            <a:srgbClr val="000000"/>
                          </a:solidFill>
                          <a:miter/>
                        </a:ln>
                      </wps:spPr>
                      <wps:style>
                        <a:lnRef idx="0"/>
                        <a:fillRef idx="0"/>
                        <a:effectRef idx="0"/>
                        <a:fontRef idx="minor"/>
                      </wps:style>
                      <wps:bodyPr/>
                    </wps:wsp>
                  </a:graphicData>
                </a:graphic>
              </wp:anchor>
            </w:drawing>
          </mc:Choice>
          <mc:Fallback>
            <w:pict>
              <v:roundrect id="shape_0" stroked="t" style="position:absolute;margin-left:-18pt;margin-top:2.2pt;width:485.95pt;height:80.95pt">
                <w10:wrap type="none"/>
                <v:fill o:detectmouseclick="t" on="false"/>
                <v:stroke color="black" weight="9360" joinstyle="miter" endcap="square"/>
              </v:roundrect>
            </w:pict>
          </mc:Fallback>
        </mc:AlternateContent>
      </w:r>
    </w:p>
    <w:p>
      <w:pPr>
        <w:pStyle w:val="Normal"/>
        <w:jc w:val="center"/>
        <w:rPr>
          <w:b/>
          <w:b/>
          <w:bCs/>
          <w:sz w:val="28"/>
        </w:rPr>
      </w:pPr>
      <w:r>
        <w:rPr>
          <w:b/>
          <w:bCs/>
          <w:sz w:val="28"/>
        </w:rPr>
        <w:t>Séance du 20 décembre 2021 relative à la négociation obligatoire sur les salaires, la durée effective, l’organisation du temps de travail, l’égalité professionnelle, l’insertion professionnelle et le maintien dans l’emploi des travailleurs handicapés pour l’exercice 2022</w:t>
      </w:r>
    </w:p>
    <w:p>
      <w:pPr>
        <w:pStyle w:val="Normal"/>
        <w:rPr>
          <w:b/>
          <w:b/>
          <w:bCs/>
          <w:sz w:val="28"/>
        </w:rPr>
      </w:pPr>
      <w:r>
        <w:rPr>
          <w:b/>
          <w:bCs/>
          <w:sz w:val="28"/>
        </w:rPr>
      </w:r>
    </w:p>
    <w:p>
      <w:pPr>
        <w:pStyle w:val="Normal"/>
        <w:rPr/>
      </w:pPr>
      <w:r>
        <w:rPr/>
      </w:r>
    </w:p>
    <w:p>
      <w:pPr>
        <w:pStyle w:val="Heading3"/>
        <w:numPr>
          <w:ilvl w:val="2"/>
          <w:numId w:val="1"/>
        </w:numPr>
        <w:rPr>
          <w:sz w:val="32"/>
        </w:rPr>
      </w:pPr>
      <w:r>
        <w:rPr>
          <w:sz w:val="32"/>
        </w:rPr>
        <w:t>Protocole d’accord</w:t>
      </w:r>
    </w:p>
    <w:p>
      <w:pPr>
        <w:pStyle w:val="Normal"/>
        <w:rPr>
          <w:sz w:val="32"/>
        </w:rPr>
      </w:pPr>
      <w:r>
        <w:rPr>
          <w:sz w:val="32"/>
        </w:rPr>
      </w:r>
    </w:p>
    <w:p>
      <w:pPr>
        <w:pStyle w:val="Normal"/>
        <w:rPr/>
      </w:pPr>
      <w:r>
        <w:rPr/>
      </w:r>
    </w:p>
    <w:p>
      <w:pPr>
        <w:pStyle w:val="Normal"/>
        <w:rPr/>
      </w:pPr>
      <w:r>
        <w:rPr/>
      </w:r>
    </w:p>
    <w:p>
      <w:pPr>
        <w:pStyle w:val="Normal"/>
        <w:rPr/>
      </w:pPr>
      <w:r>
        <w:rPr/>
      </w:r>
    </w:p>
    <w:p>
      <w:pPr>
        <w:pStyle w:val="TextBody"/>
        <w:rPr/>
      </w:pPr>
      <w:r>
        <w:rPr/>
        <w:t>Etabli entre :</w:t>
      </w:r>
    </w:p>
    <w:p>
      <w:pPr>
        <w:pStyle w:val="TextBody"/>
        <w:rPr/>
      </w:pPr>
      <w:r>
        <w:rPr/>
      </w:r>
    </w:p>
    <w:p>
      <w:pPr>
        <w:pStyle w:val="TextBody"/>
        <w:rPr/>
      </w:pPr>
      <w:r>
        <w:rPr/>
        <w:t>La société SANTERNE NORD TERTIAIRE – 7 rue Angèle Richard – 62217 BEAURAINS immatriculée au Registre du Commerce sous le numéro 528 862 7333 00037 représentée par :</w:t>
      </w:r>
    </w:p>
    <w:p>
      <w:pPr>
        <w:pStyle w:val="TextBody"/>
        <w:rPr/>
      </w:pPr>
      <w:r>
        <w:rPr/>
      </w:r>
    </w:p>
    <w:p>
      <w:pPr>
        <w:pStyle w:val="TextBody"/>
        <w:rPr/>
      </w:pPr>
      <w:r>
        <w:rPr/>
        <w:t>Monsieur xxxxxxxxxxxxxxx, Président</w:t>
      </w:r>
    </w:p>
    <w:p>
      <w:pPr>
        <w:pStyle w:val="TextBody"/>
        <w:rPr/>
      </w:pPr>
      <w:r>
        <w:rPr/>
        <w:t>Assisté de Messieurs xxxxxxxxx xxxxxxxxxxxxx</w:t>
      </w:r>
    </w:p>
    <w:p>
      <w:pPr>
        <w:pStyle w:val="TextBody"/>
        <w:rPr/>
      </w:pPr>
      <w:r>
        <w:rPr/>
      </w:r>
    </w:p>
    <w:p>
      <w:pPr>
        <w:pStyle w:val="Normal"/>
        <w:jc w:val="both"/>
        <w:rPr/>
      </w:pPr>
      <w:r>
        <w:rPr/>
        <w:t>Les Organisations Syndicales :</w:t>
      </w:r>
    </w:p>
    <w:p>
      <w:pPr>
        <w:pStyle w:val="Normal"/>
        <w:jc w:val="both"/>
        <w:rPr/>
      </w:pPr>
      <w:r>
        <w:rPr/>
      </w:r>
    </w:p>
    <w:p>
      <w:pPr>
        <w:pStyle w:val="Normal"/>
        <w:jc w:val="both"/>
        <w:rPr/>
      </w:pPr>
      <w:r>
        <w:rPr/>
        <w:t>- CFDT représentée par Monsieur xxxxxxxxxxxxxxx Délégué Syndical Central, accompagné de Messieurs xxxxxxxxxxx, xxxxxxxxxxxx et xxxxxxxxxxxx.</w:t>
      </w:r>
    </w:p>
    <w:p>
      <w:pPr>
        <w:pStyle w:val="Normal"/>
        <w:jc w:val="both"/>
        <w:rPr/>
      </w:pPr>
      <w:r>
        <w:rPr/>
      </w:r>
    </w:p>
    <w:p>
      <w:pPr>
        <w:pStyle w:val="Normal"/>
        <w:jc w:val="both"/>
        <w:rPr/>
      </w:pPr>
      <w:r>
        <w:rPr/>
        <w:t>Les participants à la négociation se sont réunis le 01, le 13 et 20 décembre 2021.</w:t>
      </w:r>
    </w:p>
    <w:p>
      <w:pPr>
        <w:pStyle w:val="Normal"/>
        <w:jc w:val="both"/>
        <w:rPr/>
      </w:pPr>
      <w:r>
        <w:rPr/>
      </w:r>
    </w:p>
    <w:p>
      <w:pPr>
        <w:pStyle w:val="Normal"/>
        <w:jc w:val="both"/>
        <w:rPr/>
      </w:pPr>
      <w:r>
        <w:rPr/>
        <w:t>Les négociations ont été basées sur le document d’information remis le 01 décembre 2021 (annexe 1), les revendications de la délégation syndicale CFDT (annexes 2).</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pPr>
      <w:r>
        <w:rPr/>
      </w:r>
    </w:p>
    <w:p>
      <w:pPr>
        <w:pStyle w:val="Normal"/>
        <w:rPr/>
      </w:pPr>
      <w:r>
        <w:rPr/>
      </w:r>
    </w:p>
    <w:p>
      <w:pPr>
        <w:pStyle w:val="Heading1"/>
        <w:numPr>
          <w:ilvl w:val="0"/>
          <w:numId w:val="1"/>
        </w:numPr>
        <w:rPr/>
      </w:pPr>
      <w:r>
        <w:rPr/>
        <w:t>I – Rémunérations</w:t>
      </w:r>
    </w:p>
    <w:p>
      <w:pPr>
        <w:pStyle w:val="Normal"/>
        <w:rPr/>
      </w:pPr>
      <w:r>
        <w:rPr/>
      </w:r>
    </w:p>
    <w:p>
      <w:pPr>
        <w:pStyle w:val="Normal"/>
        <w:jc w:val="both"/>
        <w:rPr/>
      </w:pPr>
      <w:r>
        <w:rPr/>
        <w:t>Les augmentations 2022 sont déterminées par les Chefs d’Entreprise, dans un premier temps en fonction de la réalité du marché et dans un second temps au vue des mérites, progrès et compétences des collaborateurs.</w:t>
      </w:r>
    </w:p>
    <w:p>
      <w:pPr>
        <w:pStyle w:val="Normal"/>
        <w:jc w:val="both"/>
        <w:rPr/>
      </w:pPr>
      <w:r>
        <w:rPr/>
      </w:r>
    </w:p>
    <w:p>
      <w:pPr>
        <w:pStyle w:val="Normal"/>
        <w:jc w:val="both"/>
        <w:rPr/>
      </w:pPr>
      <w:r>
        <w:rPr/>
        <w:t>L’indice des prix à la consommation à fin novembre 2021, sur les 12 derniers mois pour l’ensemble des ménages est de 2.8 %.</w:t>
      </w:r>
    </w:p>
    <w:p>
      <w:pPr>
        <w:pStyle w:val="Normal"/>
        <w:jc w:val="both"/>
        <w:rPr/>
      </w:pPr>
      <w:r>
        <w:rPr/>
      </w:r>
    </w:p>
    <w:p>
      <w:pPr>
        <w:pStyle w:val="Normal"/>
        <w:jc w:val="both"/>
        <w:rPr/>
      </w:pPr>
      <w:r>
        <w:rPr/>
        <w:t xml:space="preserve">Pour 2022, l’augmentation moyenne des présents/présents sera de 3,4%. </w:t>
      </w:r>
    </w:p>
    <w:p>
      <w:pPr>
        <w:pStyle w:val="Normal"/>
        <w:jc w:val="both"/>
        <w:rPr/>
      </w:pPr>
      <w:r>
        <w:rPr/>
      </w:r>
    </w:p>
    <w:p>
      <w:pPr>
        <w:pStyle w:val="Normal"/>
        <w:jc w:val="both"/>
        <w:rPr/>
      </w:pPr>
      <w:r>
        <w:rPr/>
        <w:t xml:space="preserve">D’autre part, la Direction réaffirme sa vigilance sur le respect des minima et comme pour l’année précédente les salaires inférieurs aux minima seront réajustés automatiquement. </w:t>
      </w:r>
    </w:p>
    <w:p>
      <w:pPr>
        <w:pStyle w:val="Normal"/>
        <w:jc w:val="both"/>
        <w:rPr/>
      </w:pPr>
      <w:r>
        <w:rPr/>
      </w:r>
    </w:p>
    <w:p>
      <w:pPr>
        <w:pStyle w:val="Normal"/>
        <w:jc w:val="both"/>
        <w:rPr/>
      </w:pPr>
      <w:r>
        <w:rPr/>
      </w:r>
    </w:p>
    <w:p>
      <w:pPr>
        <w:pStyle w:val="Heading2"/>
        <w:numPr>
          <w:ilvl w:val="1"/>
          <w:numId w:val="1"/>
        </w:numPr>
        <w:rPr/>
      </w:pPr>
      <w:r>
        <w:rPr/>
        <w:t>II – Chèques déjeuner</w:t>
      </w:r>
    </w:p>
    <w:p>
      <w:pPr>
        <w:pStyle w:val="Normal"/>
        <w:rPr/>
      </w:pPr>
      <w:r>
        <w:rPr/>
      </w:r>
    </w:p>
    <w:p>
      <w:pPr>
        <w:pStyle w:val="Normal"/>
        <w:rPr/>
      </w:pPr>
      <w:r>
        <w:rPr/>
        <w:t>La Direction accepte de passer le montant du chèque déjeuner à 8 € reparti de la manière suivante part salarié 3.20 € et part employeur 4.80 € la mise en application sera effective à compter du mois de janvier 2022.</w:t>
      </w:r>
    </w:p>
    <w:p>
      <w:pPr>
        <w:pStyle w:val="Normal"/>
        <w:rPr/>
      </w:pPr>
      <w:r>
        <w:rPr/>
      </w:r>
    </w:p>
    <w:p>
      <w:pPr>
        <w:pStyle w:val="Normal"/>
        <w:rPr/>
      </w:pPr>
      <w:r>
        <w:rPr/>
      </w:r>
    </w:p>
    <w:p>
      <w:pPr>
        <w:pStyle w:val="Heading2"/>
        <w:numPr>
          <w:ilvl w:val="1"/>
          <w:numId w:val="1"/>
        </w:numPr>
        <w:rPr/>
      </w:pPr>
      <w:r>
        <w:rPr/>
        <w:t>III – Indemnité repas pour le personnel de chantier</w:t>
      </w:r>
    </w:p>
    <w:p>
      <w:pPr>
        <w:pStyle w:val="Normal"/>
        <w:rPr/>
      </w:pPr>
      <w:r>
        <w:rPr/>
      </w:r>
    </w:p>
    <w:p>
      <w:pPr>
        <w:pStyle w:val="Normal"/>
        <w:jc w:val="both"/>
        <w:rPr>
          <w:highlight w:val="yellow"/>
        </w:rPr>
      </w:pPr>
      <w:r>
        <w:rPr/>
        <w:t>A ce jour la Direction octroie 3% de plus sur la valeur du panier accordée par la FRTP des Hauts de France et n’envisage pas de revaloriser ce pourcentage qui est nettement supérieur à la grille officielle.</w:t>
      </w:r>
    </w:p>
    <w:p>
      <w:pPr>
        <w:pStyle w:val="Normal"/>
        <w:rPr>
          <w:highlight w:val="yellow"/>
        </w:rPr>
      </w:pPr>
      <w:r>
        <w:rPr>
          <w:highlight w:val="yellow"/>
        </w:rPr>
      </w:r>
    </w:p>
    <w:p>
      <w:pPr>
        <w:pStyle w:val="Normal"/>
        <w:rPr/>
      </w:pPr>
      <w:r>
        <w:rPr/>
      </w:r>
    </w:p>
    <w:p>
      <w:pPr>
        <w:pStyle w:val="Heading2"/>
        <w:numPr>
          <w:ilvl w:val="1"/>
          <w:numId w:val="1"/>
        </w:numPr>
        <w:rPr/>
      </w:pPr>
      <w:r>
        <w:rPr/>
        <w:t>IV – Œuvres sociales et culturelles</w:t>
      </w:r>
    </w:p>
    <w:p>
      <w:pPr>
        <w:pStyle w:val="Normal"/>
        <w:jc w:val="both"/>
        <w:rPr>
          <w:highlight w:val="yellow"/>
        </w:rPr>
      </w:pPr>
      <w:r>
        <w:rPr>
          <w:highlight w:val="yellow"/>
        </w:rPr>
      </w:r>
    </w:p>
    <w:p>
      <w:pPr>
        <w:pStyle w:val="Normal"/>
        <w:jc w:val="both"/>
        <w:rPr/>
      </w:pPr>
      <w:r>
        <w:rPr/>
        <w:t>Pour 2022, la Direction ne revalorisera pas le pourcentage de 1%, préférant favoriser la prime de St Eloi.</w:t>
      </w:r>
    </w:p>
    <w:p>
      <w:pPr>
        <w:pStyle w:val="Normal"/>
        <w:jc w:val="both"/>
        <w:rPr/>
      </w:pPr>
      <w:r>
        <w:rPr/>
      </w:r>
    </w:p>
    <w:p>
      <w:pPr>
        <w:pStyle w:val="Normal"/>
        <w:jc w:val="both"/>
        <w:rPr/>
      </w:pPr>
      <w:r>
        <w:rPr/>
      </w:r>
    </w:p>
    <w:p>
      <w:pPr>
        <w:pStyle w:val="Heading2"/>
        <w:numPr>
          <w:ilvl w:val="1"/>
          <w:numId w:val="1"/>
        </w:numPr>
        <w:rPr/>
      </w:pPr>
      <w:r>
        <w:rPr/>
        <w:t>V – Prime St Eloi</w:t>
      </w:r>
    </w:p>
    <w:p>
      <w:pPr>
        <w:pStyle w:val="Normal"/>
        <w:rPr>
          <w:highlight w:val="yellow"/>
        </w:rPr>
      </w:pPr>
      <w:r>
        <w:rPr>
          <w:highlight w:val="yellow"/>
        </w:rPr>
      </w:r>
    </w:p>
    <w:p>
      <w:pPr>
        <w:pStyle w:val="Normal"/>
        <w:rPr/>
      </w:pPr>
      <w:r>
        <w:rPr/>
        <w:t>La prime St Eloi attribuée pour 2021 est d’un montant de 115 €, pour 2022 la Direction a décidé de la réévaluer à 130€.</w:t>
      </w:r>
    </w:p>
    <w:p>
      <w:pPr>
        <w:pStyle w:val="Normal"/>
        <w:rPr/>
      </w:pPr>
      <w:r>
        <w:rPr/>
      </w:r>
    </w:p>
    <w:p>
      <w:pPr>
        <w:pStyle w:val="Normal"/>
        <w:rPr/>
      </w:pPr>
      <w:r>
        <w:rPr/>
      </w:r>
    </w:p>
    <w:p>
      <w:pPr>
        <w:pStyle w:val="Heading2"/>
        <w:numPr>
          <w:ilvl w:val="1"/>
          <w:numId w:val="1"/>
        </w:numPr>
        <w:rPr/>
      </w:pPr>
      <w:r>
        <w:rPr/>
        <w:t>VI– Prime pour 40 ans d’ancienneté</w:t>
      </w:r>
    </w:p>
    <w:p>
      <w:pPr>
        <w:pStyle w:val="Normal"/>
        <w:rPr>
          <w:highlight w:val="yellow"/>
        </w:rPr>
      </w:pPr>
      <w:r>
        <w:rPr>
          <w:highlight w:val="yellow"/>
        </w:rPr>
      </w:r>
    </w:p>
    <w:p>
      <w:pPr>
        <w:pStyle w:val="Normal"/>
        <w:textAlignment w:val="center"/>
        <w:rPr/>
      </w:pPr>
      <w:r>
        <w:rPr/>
        <w:t>La Direction maintient sa position actuelle, estimant que l'accent est mis sur les 20 et 30 ans d’ancienneté par le versement d’une prime équivalente à un mois de salaire.</w:t>
      </w:r>
    </w:p>
    <w:p>
      <w:pPr>
        <w:pStyle w:val="Normal"/>
        <w:textAlignment w:val="center"/>
        <w:rPr/>
      </w:pPr>
      <w:r>
        <w:rPr/>
      </w:r>
    </w:p>
    <w:p>
      <w:pPr>
        <w:pStyle w:val="Normal"/>
        <w:textAlignment w:val="center"/>
        <w:rPr/>
      </w:pPr>
      <w:r>
        <w:rPr/>
      </w:r>
    </w:p>
    <w:p>
      <w:pPr>
        <w:pStyle w:val="Heading2"/>
        <w:numPr>
          <w:ilvl w:val="1"/>
          <w:numId w:val="1"/>
        </w:numPr>
        <w:rPr>
          <w:highlight w:val="yellow"/>
        </w:rPr>
      </w:pPr>
      <w:r>
        <w:rPr/>
        <w:t>VII – Egalite professionnelle Hommes/Femmes</w:t>
      </w:r>
    </w:p>
    <w:p>
      <w:pPr>
        <w:pStyle w:val="Normal"/>
        <w:jc w:val="both"/>
        <w:rPr>
          <w:highlight w:val="yellow"/>
        </w:rPr>
      </w:pPr>
      <w:r>
        <w:rPr>
          <w:highlight w:val="yellow"/>
        </w:rPr>
      </w:r>
    </w:p>
    <w:p>
      <w:pPr>
        <w:pStyle w:val="Normal"/>
        <w:jc w:val="both"/>
        <w:rPr/>
      </w:pPr>
      <w:r>
        <w:rPr/>
        <w:t xml:space="preserve">Lors du CSEC du 21 septembre 2021, l’analyse du bilan 2020 de notre accord en faveur de l’égalité professionnelle entre les femmes et les hommes, n’a pas fait ressortir d’anomalie, la Direction confirme sa volonté d’éviter toute discrimination entre les collaboratrices et collaborateurs.  </w:t>
      </w:r>
    </w:p>
    <w:p>
      <w:pPr>
        <w:pStyle w:val="Normal"/>
        <w:textAlignment w:val="center"/>
        <w:rPr/>
      </w:pPr>
      <w:r>
        <w:rPr/>
      </w:r>
    </w:p>
    <w:p>
      <w:pPr>
        <w:pStyle w:val="Normal"/>
        <w:textAlignment w:val="center"/>
        <w:rPr/>
      </w:pPr>
      <w:r>
        <w:rPr/>
      </w:r>
    </w:p>
    <w:p>
      <w:pPr>
        <w:pStyle w:val="Heading2"/>
        <w:numPr>
          <w:ilvl w:val="1"/>
          <w:numId w:val="1"/>
        </w:numPr>
        <w:rPr/>
      </w:pPr>
      <w:r>
        <w:rPr/>
        <w:t>VIII – Insertion professionnelle et maintien dans l’emploi des travailleurs handicapés</w:t>
      </w:r>
    </w:p>
    <w:p>
      <w:pPr>
        <w:pStyle w:val="Normal"/>
        <w:ind w:left="142" w:hanging="0"/>
        <w:jc w:val="both"/>
        <w:rPr/>
      </w:pPr>
      <w:r>
        <w:rPr/>
      </w:r>
    </w:p>
    <w:p>
      <w:pPr>
        <w:pStyle w:val="Normal"/>
        <w:ind w:right="139" w:hanging="0"/>
        <w:jc w:val="both"/>
        <w:rPr/>
      </w:pPr>
      <w:r>
        <w:rPr/>
        <w:t>La Société SANTERNE Nord Tertiaire rappelle qu’elle compte au 30/09/2021, 10 collaborateurs reconnus travailleurs handicapés par la CDAPH et qu’elle continuera ses actions en faveur du maintien dans l’emploi de ses collaborateurs reconnus en situation de handicap, de la manière suivante :</w:t>
      </w:r>
    </w:p>
    <w:p>
      <w:pPr>
        <w:pStyle w:val="Normal"/>
        <w:ind w:left="142" w:right="139" w:hanging="0"/>
        <w:jc w:val="both"/>
        <w:rPr/>
      </w:pPr>
      <w:r>
        <w:rPr/>
      </w:r>
    </w:p>
    <w:p>
      <w:pPr>
        <w:pStyle w:val="Normal"/>
        <w:numPr>
          <w:ilvl w:val="0"/>
          <w:numId w:val="2"/>
        </w:numPr>
        <w:ind w:left="502" w:right="139" w:hanging="360"/>
        <w:jc w:val="both"/>
        <w:rPr/>
      </w:pPr>
      <w:r>
        <w:rPr/>
        <w:t>L’adaptation du poste de travail</w:t>
      </w:r>
    </w:p>
    <w:p>
      <w:pPr>
        <w:pStyle w:val="Normal"/>
        <w:numPr>
          <w:ilvl w:val="0"/>
          <w:numId w:val="2"/>
        </w:numPr>
        <w:ind w:left="502" w:right="139" w:hanging="360"/>
        <w:jc w:val="both"/>
        <w:rPr/>
      </w:pPr>
      <w:r>
        <w:rPr/>
        <w:t>La réalisation d’un bilan de compétences</w:t>
      </w:r>
    </w:p>
    <w:p>
      <w:pPr>
        <w:pStyle w:val="Normal"/>
        <w:numPr>
          <w:ilvl w:val="0"/>
          <w:numId w:val="2"/>
        </w:numPr>
        <w:ind w:left="502" w:right="139" w:hanging="360"/>
        <w:jc w:val="both"/>
        <w:rPr/>
      </w:pPr>
      <w:r>
        <w:rPr/>
        <w:t>La formation professionnelle</w:t>
      </w:r>
    </w:p>
    <w:p>
      <w:pPr>
        <w:pStyle w:val="Normal"/>
        <w:numPr>
          <w:ilvl w:val="0"/>
          <w:numId w:val="2"/>
        </w:numPr>
        <w:ind w:left="502" w:right="139" w:hanging="360"/>
        <w:jc w:val="both"/>
        <w:rPr/>
      </w:pPr>
      <w:r>
        <w:rPr/>
        <w:t>Le reclassement au sein du Groupe</w:t>
      </w:r>
    </w:p>
    <w:p>
      <w:pPr>
        <w:pStyle w:val="Normal"/>
        <w:numPr>
          <w:ilvl w:val="0"/>
          <w:numId w:val="2"/>
        </w:numPr>
        <w:ind w:left="502" w:right="139" w:hanging="360"/>
        <w:jc w:val="both"/>
        <w:rPr/>
      </w:pPr>
      <w:r>
        <w:rPr/>
        <w:t>Favoriser la mission de TRAJEO’H au sein de nos entreprises sur la nécessité de sensibiliser les salariés sur le handicap.</w:t>
      </w:r>
    </w:p>
    <w:p>
      <w:pPr>
        <w:pStyle w:val="Normal"/>
        <w:jc w:val="both"/>
        <w:rPr/>
      </w:pPr>
      <w:r>
        <w:rPr/>
      </w:r>
    </w:p>
    <w:p>
      <w:pPr>
        <w:pStyle w:val="Normal"/>
        <w:jc w:val="both"/>
        <w:rPr/>
      </w:pPr>
      <w:r>
        <w:rPr/>
      </w:r>
    </w:p>
    <w:p>
      <w:pPr>
        <w:pStyle w:val="Heading2"/>
        <w:numPr>
          <w:ilvl w:val="1"/>
          <w:numId w:val="1"/>
        </w:numPr>
        <w:rPr/>
      </w:pPr>
      <w:r>
        <w:rPr/>
        <w:t>IX – Placement des jours de congé payé ou RTT sur le PERCO</w:t>
      </w:r>
    </w:p>
    <w:p>
      <w:pPr>
        <w:pStyle w:val="Normal"/>
        <w:rPr/>
      </w:pPr>
      <w:r>
        <w:rPr/>
      </w:r>
    </w:p>
    <w:p>
      <w:pPr>
        <w:pStyle w:val="Normal"/>
        <w:jc w:val="both"/>
        <w:rPr/>
      </w:pPr>
      <w:r>
        <w:rPr/>
        <w:t xml:space="preserve">La Direction n’est pas favorable à cette recommandation et réitère ses propos de 2020 à savoir, les congés servent à être pris et sont nécessaires au bien être des collaborateurs. </w:t>
      </w:r>
    </w:p>
    <w:p>
      <w:pPr>
        <w:pStyle w:val="Normal"/>
        <w:jc w:val="both"/>
        <w:rPr>
          <w:color w:val="00B050"/>
        </w:rPr>
      </w:pPr>
      <w:r>
        <w:rPr>
          <w:color w:val="00B050"/>
        </w:rPr>
      </w:r>
    </w:p>
    <w:p>
      <w:pPr>
        <w:pStyle w:val="Normal"/>
        <w:jc w:val="both"/>
        <w:rPr>
          <w:color w:val="00B050"/>
        </w:rPr>
      </w:pPr>
      <w:r>
        <w:rPr>
          <w:color w:val="00B050"/>
        </w:rPr>
      </w:r>
    </w:p>
    <w:p>
      <w:pPr>
        <w:pStyle w:val="Normal"/>
        <w:jc w:val="both"/>
        <w:rPr/>
      </w:pPr>
      <w:r>
        <w:rPr/>
      </w:r>
    </w:p>
    <w:p>
      <w:pPr>
        <w:pStyle w:val="Normal"/>
        <w:ind w:firstLine="2700"/>
        <w:jc w:val="both"/>
        <w:rPr/>
      </w:pPr>
      <w:r>
        <w:rPr/>
        <w:t>Fait à Beaurains, le 23 décembre 2021</w:t>
      </w:r>
    </w:p>
    <w:p>
      <w:pPr>
        <w:pStyle w:val="Normal"/>
        <w:ind w:firstLine="2700"/>
        <w:jc w:val="both"/>
        <w:rPr/>
      </w:pPr>
      <w:r>
        <w:rPr/>
      </w:r>
    </w:p>
    <w:p>
      <w:pPr>
        <w:pStyle w:val="Normal"/>
        <w:ind w:firstLine="2700"/>
        <w:jc w:val="both"/>
        <w:rPr/>
      </w:pPr>
      <w:r>
        <w:rPr/>
      </w:r>
    </w:p>
    <w:p>
      <w:pPr>
        <w:pStyle w:val="Normal"/>
        <w:ind w:firstLine="2700"/>
        <w:jc w:val="both"/>
        <w:rPr/>
      </w:pPr>
      <w:r>
        <w:rPr/>
      </w:r>
    </w:p>
    <w:p>
      <w:pPr>
        <w:pStyle w:val="Normal"/>
        <w:jc w:val="both"/>
        <w:rPr/>
      </w:pPr>
      <w:r>
        <w:rPr/>
      </w:r>
    </w:p>
    <w:p>
      <w:pPr>
        <w:pStyle w:val="Normal"/>
        <w:jc w:val="both"/>
        <w:rPr/>
      </w:pPr>
      <w:r>
        <w:rPr/>
      </w:r>
    </w:p>
    <w:p>
      <w:pPr>
        <w:pStyle w:val="Heading5"/>
        <w:numPr>
          <w:ilvl w:val="4"/>
          <w:numId w:val="1"/>
        </w:numPr>
        <w:tabs>
          <w:tab w:val="left" w:pos="5812" w:leader="none"/>
        </w:tabs>
        <w:ind w:left="709" w:right="-567" w:hanging="0"/>
        <w:rPr/>
      </w:pPr>
      <w:r>
        <w:rPr/>
        <w:t>xxxxxxxxxxxxxxxxxxxx - CFDT</w:t>
        <w:tab/>
        <w:t xml:space="preserve"> xxxxxxxxxxxxxxxxxxxx</w:t>
      </w:r>
    </w:p>
    <w:p>
      <w:pPr>
        <w:pStyle w:val="Normal"/>
        <w:tabs>
          <w:tab w:val="left" w:pos="5529" w:leader="none"/>
        </w:tabs>
        <w:ind w:left="720" w:right="-567" w:hanging="0"/>
        <w:rPr/>
      </w:pPr>
      <w:r>
        <w:rPr/>
        <w:t xml:space="preserve">     </w:t>
      </w:r>
      <w:r>
        <w:rPr/>
        <w:t>Délégué Syndical Central</w:t>
        <w:tab/>
        <w:tab/>
        <w:t xml:space="preserve">          Président</w:t>
      </w:r>
    </w:p>
    <w:p>
      <w:pPr>
        <w:pStyle w:val="Heading5"/>
        <w:numPr>
          <w:ilvl w:val="4"/>
          <w:numId w:val="1"/>
        </w:numPr>
        <w:tabs>
          <w:tab w:val="left" w:pos="6120" w:leader="none"/>
        </w:tabs>
        <w:ind w:left="709" w:right="-567" w:hanging="0"/>
        <w:rPr/>
      </w:pPr>
      <w:r>
        <w:rPr/>
        <w:t xml:space="preserve">  </w:t>
      </w:r>
      <w:r>
        <w:rPr/>
        <w:tab/>
      </w:r>
    </w:p>
    <w:p>
      <w:pPr>
        <w:pStyle w:val="Normal"/>
        <w:ind w:firstLine="2880"/>
        <w:jc w:val="both"/>
        <w:rPr/>
      </w:pPr>
      <w:r>
        <w:rPr/>
      </w:r>
    </w:p>
    <w:sectPr>
      <w:footerReference w:type="default" r:id="rId3"/>
      <w:type w:val="nextPage"/>
      <w:pgSz w:w="11906" w:h="16838"/>
      <w:pgMar w:left="1418" w:right="1418" w:header="0"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5">
              <wp:simplePos x="0" y="0"/>
              <wp:positionH relativeFrom="margin">
                <wp:align>center</wp:align>
              </wp:positionH>
              <wp:positionV relativeFrom="paragraph">
                <wp:posOffset>635</wp:posOffset>
              </wp:positionV>
              <wp:extent cx="70485" cy="160655"/>
              <wp:effectExtent l="0" t="0" r="0" b="0"/>
              <wp:wrapSquare wrapText="largest"/>
              <wp:docPr id="3" name="Frame1"/>
              <a:graphic xmlns:a="http://schemas.openxmlformats.org/drawingml/2006/main">
                <a:graphicData uri="http://schemas.microsoft.com/office/word/2010/wordprocessingShape">
                  <wps:wsp>
                    <wps:cNvSpPr txBox="1"/>
                    <wps:spPr>
                      <a:xfrm>
                        <a:off x="0" y="0"/>
                        <a:ext cx="70485" cy="160655"/>
                      </a:xfrm>
                      <a:prstGeom prst="rect"/>
                      <a:solidFill>
                        <a:srgbClr val="FFFFFF">
                          <a:alpha val="0"/>
                        </a:srgbClr>
                      </a:solidFill>
                    </wps:spPr>
                    <wps:txbx>
                      <w:txbxContent>
                        <w:p>
                          <w:pPr>
                            <w:pStyle w:val="Footer"/>
                            <w:rPr>
                              <w:rStyle w:val="PageNumber"/>
                              <w:sz w:val="22"/>
                            </w:rPr>
                          </w:pPr>
                          <w:r>
                            <w:rPr>
                              <w:rStyle w:val="PageNumber"/>
                              <w:sz w:val="22"/>
                            </w:rPr>
                            <w:fldChar w:fldCharType="begin"/>
                          </w:r>
                          <w:r>
                            <w:instrText> PAGE </w:instrText>
                          </w:r>
                          <w:r>
                            <w:fldChar w:fldCharType="separate"/>
                          </w:r>
                          <w:r>
                            <w:t>3</w:t>
                          </w:r>
                          <w:r>
                            <w:fldChar w:fldCharType="end"/>
                          </w:r>
                        </w:p>
                      </w:txbxContent>
                    </wps:txbx>
                    <wps:bodyPr anchor="t">
                      <a:noAutofit/>
                    </wps:bodyPr>
                  </wps:wsp>
                </a:graphicData>
              </a:graphic>
            </wp:anchor>
          </w:drawing>
        </mc:Choice>
        <mc:Fallback>
          <w:pict>
            <v:rect fillcolor="#FFFFFF" style="position:absolute;rotation:0;width:5.55pt;height:12.65pt;margin-top:0.05pt;mso-position-vertical-relative:text;margin-left:224pt;mso-position-horizontal:center;mso-position-horizontal-relative:margin">
              <v:fill opacity="0f"/>
              <v:textbox>
                <w:txbxContent>
                  <w:p>
                    <w:pPr>
                      <w:pStyle w:val="Footer"/>
                      <w:rPr>
                        <w:rStyle w:val="PageNumber"/>
                        <w:sz w:val="22"/>
                      </w:rPr>
                    </w:pPr>
                    <w:r>
                      <w:rPr>
                        <w:rStyle w:val="PageNumber"/>
                        <w:sz w:val="22"/>
                      </w:rPr>
                      <w:fldChar w:fldCharType="begin"/>
                    </w:r>
                    <w:r>
                      <w:instrText> PAGE </w:instrText>
                    </w:r>
                    <w:r>
                      <w:fldChar w:fldCharType="separate"/>
                    </w:r>
                    <w:r>
                      <w:t>3</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numFmt w:val="bullet"/>
      <w:lvlText w:val="-"/>
      <w:lvlJc w:val="left"/>
      <w:pPr>
        <w:ind w:left="502" w:hanging="360"/>
      </w:pPr>
      <w:rPr>
        <w:rFonts w:ascii="Times New Roman" w:hAnsi="Times New Roman" w:cs="Times New Roman" w:hint="default"/>
        <w:rFonts w:cs="Times New Roman"/>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outlineLvl w:val="0"/>
    </w:pPr>
    <w:rPr>
      <w:b/>
      <w:bCs/>
      <w:sz w:val="28"/>
    </w:rPr>
  </w:style>
  <w:style w:type="paragraph" w:styleId="Heading2">
    <w:name w:val="Heading 2"/>
    <w:basedOn w:val="Normal"/>
    <w:next w:val="Normal"/>
    <w:qFormat/>
    <w:pPr>
      <w:keepNext w:val="true"/>
      <w:numPr>
        <w:ilvl w:val="1"/>
        <w:numId w:val="1"/>
      </w:numPr>
      <w:jc w:val="both"/>
      <w:outlineLvl w:val="1"/>
    </w:pPr>
    <w:rPr>
      <w:b/>
      <w:bCs/>
      <w:sz w:val="28"/>
    </w:rPr>
  </w:style>
  <w:style w:type="paragraph" w:styleId="Heading3">
    <w:name w:val="Heading 3"/>
    <w:basedOn w:val="Normal"/>
    <w:next w:val="Normal"/>
    <w:qFormat/>
    <w:pPr>
      <w:keepNext w:val="true"/>
      <w:numPr>
        <w:ilvl w:val="2"/>
        <w:numId w:val="1"/>
      </w:numPr>
      <w:jc w:val="center"/>
      <w:outlineLvl w:val="2"/>
    </w:pPr>
    <w:rPr>
      <w:b/>
      <w:bCs/>
      <w:sz w:val="28"/>
    </w:rPr>
  </w:style>
  <w:style w:type="paragraph" w:styleId="Heading4">
    <w:name w:val="Heading 4"/>
    <w:basedOn w:val="Normal"/>
    <w:next w:val="Normal"/>
    <w:qFormat/>
    <w:pPr>
      <w:keepNext w:val="true"/>
      <w:numPr>
        <w:ilvl w:val="3"/>
        <w:numId w:val="1"/>
      </w:numPr>
      <w:jc w:val="both"/>
      <w:outlineLvl w:val="3"/>
    </w:pPr>
    <w:rPr>
      <w:sz w:val="28"/>
    </w:rPr>
  </w:style>
  <w:style w:type="paragraph" w:styleId="Heading5">
    <w:name w:val="Heading 5"/>
    <w:basedOn w:val="Normal"/>
    <w:next w:val="Normal"/>
    <w:qFormat/>
    <w:pPr>
      <w:keepNext w:val="true"/>
      <w:numPr>
        <w:ilvl w:val="4"/>
        <w:numId w:val="1"/>
      </w:numPr>
      <w:tabs>
        <w:tab w:val="left" w:pos="3402" w:leader="none"/>
        <w:tab w:val="left" w:pos="5529" w:leader="none"/>
      </w:tabs>
      <w:ind w:left="709" w:right="-567" w:hanging="0"/>
      <w:outlineLvl w:val="4"/>
    </w:pPr>
    <w:rPr>
      <w:szCs w:val="20"/>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sz w:val="20"/>
    </w:rPr>
  </w:style>
  <w:style w:type="character" w:styleId="WW8Num3z0">
    <w:name w:val="WW8Num3z0"/>
    <w:qFormat/>
    <w:rPr>
      <w:rFonts w:ascii="Symbol" w:hAnsi="Symbol" w:cs="Symbol"/>
      <w:sz w:val="20"/>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sz w:val="20"/>
    </w:rPr>
  </w:style>
  <w:style w:type="character" w:styleId="WW8Num8z2">
    <w:name w:val="WW8Num8z2"/>
    <w:qFormat/>
    <w:rPr>
      <w:rFonts w:ascii="Courier New" w:hAnsi="Courier New" w:cs="Times New Roman"/>
      <w:sz w:val="20"/>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Policepardfaut">
    <w:name w:val="Police par défaut"/>
    <w:qFormat/>
    <w:rPr/>
  </w:style>
  <w:style w:type="character" w:styleId="PageNumber">
    <w:name w:val="Page Number"/>
    <w:basedOn w:val="Policepardfaut"/>
    <w:rPr/>
  </w:style>
  <w:style w:type="character" w:styleId="StrongEmphasis">
    <w:name w:val="Strong Emphasis"/>
    <w:qFormat/>
    <w:rPr>
      <w:b/>
      <w:bCs/>
    </w:rPr>
  </w:style>
  <w:style w:type="character" w:styleId="Titre2Car">
    <w:name w:val="Titre 2 Car"/>
    <w:qFormat/>
    <w:rPr>
      <w:b/>
      <w:bCs/>
      <w:sz w:val="28"/>
      <w:szCs w:val="24"/>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tabs>
        <w:tab w:val="left" w:pos="1260" w:leader="none"/>
      </w:tabs>
      <w:jc w:val="both"/>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er">
    <w:name w:val="Footer"/>
    <w:basedOn w:val="Normal"/>
    <w:pPr>
      <w:tabs>
        <w:tab w:val="center" w:pos="4536" w:leader="none"/>
        <w:tab w:val="right" w:pos="9072" w:leader="none"/>
      </w:tabs>
    </w:pPr>
    <w:rPr/>
  </w:style>
  <w:style w:type="paragraph" w:styleId="Header">
    <w:name w:val="Header"/>
    <w:basedOn w:val="Normal"/>
    <w:pPr>
      <w:tabs>
        <w:tab w:val="center" w:pos="4536" w:leader="none"/>
        <w:tab w:val="right" w:pos="9072" w:leader="none"/>
      </w:tabs>
    </w:pPr>
    <w:rPr/>
  </w:style>
  <w:style w:type="paragraph" w:styleId="Textedebulles">
    <w:name w:val="Texte de bulles"/>
    <w:basedOn w:val="Normal"/>
    <w:qFormat/>
    <w:pPr/>
    <w:rPr>
      <w:rFonts w:ascii="Tahoma" w:hAnsi="Tahoma" w:cs="Tahoma"/>
      <w:sz w:val="16"/>
      <w:szCs w:val="16"/>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2022-02-04T13:03:00Z</dcterms:created>
  <dc:creator/>
  <dc:description/>
  <dc:language>en-GB</dc:language>
  <cp:lastModifiedBy/>
  <cp:lastPrinted>2021-12-23T15:17:00Z</cp:lastPrinted>
  <dcterms:modified xsi:type="dcterms:W3CDTF">2022-02-04T13:04:00Z</dcterms:modified>
  <cp:revision>3</cp:revision>
  <dc:subject/>
  <dc:title>Le 8 décembre 2003</dc:title>
</cp:coreProperties>
</file>