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cs="Arial"/>
          <w:b/>
          <w:b/>
          <w:bCs/>
          <w:sz w:val="20"/>
          <w:lang w:val="en-GB" w:eastAsia="en-GB"/>
        </w:rPr>
      </w:pPr>
      <w:r>
        <w:rPr>
          <w:rFonts w:cs="Arial" w:ascii="Arial" w:hAnsi="Arial"/>
          <w:b/>
          <w:bCs/>
          <w:sz w:val="20"/>
          <w:lang w:val="en-GB" w:eastAsia="en-GB"/>
        </w:rPr>
        <mc:AlternateContent>
          <mc:Choice Requires="wps">
            <w:drawing>
              <wp:anchor behindDoc="0" distT="0" distB="0" distL="114935" distR="114935" simplePos="0" locked="0" layoutInCell="1" allowOverlap="1" relativeHeight="2">
                <wp:simplePos x="0" y="0"/>
                <wp:positionH relativeFrom="column">
                  <wp:posOffset>-114300</wp:posOffset>
                </wp:positionH>
                <wp:positionV relativeFrom="paragraph">
                  <wp:posOffset>635</wp:posOffset>
                </wp:positionV>
                <wp:extent cx="6058535" cy="800735"/>
                <wp:effectExtent l="0" t="0" r="0" b="0"/>
                <wp:wrapNone/>
                <wp:docPr id="1" name=""/>
                <a:graphic xmlns:a="http://schemas.openxmlformats.org/drawingml/2006/main">
                  <a:graphicData uri="http://schemas.microsoft.com/office/word/2010/wordprocessingShape">
                    <wps:wsp>
                      <wps:cNvSpPr/>
                      <wps:spPr>
                        <a:xfrm>
                          <a:off x="0" y="0"/>
                          <a:ext cx="6058080" cy="800280"/>
                        </a:xfrm>
                        <a:custGeom>
                          <a:avLst/>
                          <a:gdLst/>
                          <a:ahLst/>
                          <a:rect l="0" t="0" r="r" b="b"/>
                          <a:pathLst>
                            <a:path w="9542" h="1262">
                              <a:moveTo>
                                <a:pt x="210" y="0"/>
                              </a:moveTo>
                              <a:cubicBezTo>
                                <a:pt x="105" y="0"/>
                                <a:pt x="0" y="105"/>
                                <a:pt x="0" y="210"/>
                              </a:cubicBezTo>
                              <a:lnTo>
                                <a:pt x="0" y="1050"/>
                              </a:lnTo>
                              <a:cubicBezTo>
                                <a:pt x="0" y="1155"/>
                                <a:pt x="105" y="1261"/>
                                <a:pt x="210" y="1261"/>
                              </a:cubicBezTo>
                              <a:lnTo>
                                <a:pt x="9330" y="1261"/>
                              </a:lnTo>
                              <a:cubicBezTo>
                                <a:pt x="9435" y="1261"/>
                                <a:pt x="9541" y="1155"/>
                                <a:pt x="9541" y="1050"/>
                              </a:cubicBezTo>
                              <a:lnTo>
                                <a:pt x="9541" y="210"/>
                              </a:lnTo>
                              <a:cubicBezTo>
                                <a:pt x="9541" y="105"/>
                                <a:pt x="9435" y="0"/>
                                <a:pt x="9330" y="0"/>
                              </a:cubicBezTo>
                              <a:lnTo>
                                <a:pt x="210" y="0"/>
                              </a:lnTo>
                            </a:path>
                          </a:pathLst>
                        </a:custGeom>
                        <a:noFill/>
                        <a:ln w="9360">
                          <a:solidFill>
                            <a:srgbClr val="000000"/>
                          </a:solidFill>
                          <a:miter/>
                        </a:ln>
                      </wps:spPr>
                      <wps:style>
                        <a:lnRef idx="0"/>
                        <a:fillRef idx="0"/>
                        <a:effectRef idx="0"/>
                        <a:fontRef idx="minor"/>
                      </wps:style>
                      <wps:bodyPr/>
                    </wps:wsp>
                  </a:graphicData>
                </a:graphic>
              </wp:anchor>
            </w:drawing>
          </mc:Choice>
          <mc:Fallback>
            <w:pict>
              <v:roundrect id="shape_0" stroked="t" style="position:absolute;margin-left:-9pt;margin-top:0pt;width:476.95pt;height:62.95pt">
                <w10:wrap type="none"/>
                <v:fill o:detectmouseclick="t" on="false"/>
                <v:stroke color="black" weight="9360" joinstyle="miter" endcap="square"/>
              </v:roundrect>
            </w:pict>
          </mc:Fallback>
        </mc:AlternateContent>
      </w:r>
    </w:p>
    <w:p>
      <w:pPr>
        <w:pStyle w:val="TextBody"/>
        <w:rPr/>
      </w:pPr>
      <w:r>
        <w:rPr>
          <w:rFonts w:cs="Arial" w:ascii="Arial" w:hAnsi="Arial"/>
          <w:b/>
          <w:bCs/>
        </w:rPr>
        <w:t>SEANCE DU 23/12/2021 RELATIVE A LA NEGOCIATION ANNUELLE SUR LES SALAIRES, LA DUREE EFFECTIVE ET</w:t>
      </w:r>
    </w:p>
    <w:p>
      <w:pPr>
        <w:pStyle w:val="TextBody"/>
        <w:rPr>
          <w:rFonts w:ascii="Arial" w:hAnsi="Arial" w:cs="Arial"/>
          <w:b/>
          <w:b/>
          <w:bCs/>
        </w:rPr>
      </w:pPr>
      <w:r>
        <w:rPr>
          <w:rFonts w:cs="Arial" w:ascii="Arial" w:hAnsi="Arial"/>
          <w:b/>
          <w:bCs/>
        </w:rPr>
        <w:t>L’ORGANISATION DU TEMPS DE TRAVAIL POUR L’EXERCICE 2022</w:t>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rPr>
      </w:r>
    </w:p>
    <w:p>
      <w:pPr>
        <w:pStyle w:val="Normal"/>
        <w:rPr/>
      </w:pPr>
      <w:r>
        <w:rPr/>
      </w:r>
    </w:p>
    <w:p>
      <w:pPr>
        <w:pStyle w:val="Normal"/>
        <w:ind w:right="850" w:hanging="0"/>
        <w:rPr>
          <w:rFonts w:ascii="Tahoma" w:hAnsi="Tahoma" w:cs="Tahoma"/>
          <w:b/>
          <w:b/>
        </w:rPr>
      </w:pPr>
      <w:r>
        <w:rPr>
          <w:rFonts w:cs="Tahoma" w:ascii="Tahoma" w:hAnsi="Tahoma"/>
          <w:b/>
        </w:rPr>
        <w:t>Entre :</w:t>
      </w:r>
    </w:p>
    <w:p>
      <w:pPr>
        <w:pStyle w:val="Normal"/>
        <w:ind w:right="850" w:hanging="0"/>
        <w:jc w:val="both"/>
        <w:rPr>
          <w:rFonts w:ascii="Tahoma" w:hAnsi="Tahoma" w:cs="Tahoma"/>
          <w:b/>
          <w:b/>
        </w:rPr>
      </w:pPr>
      <w:r>
        <w:rPr>
          <w:rFonts w:cs="Tahoma" w:ascii="Tahoma" w:hAnsi="Tahoma"/>
          <w:b/>
        </w:rPr>
      </w:r>
    </w:p>
    <w:p>
      <w:pPr>
        <w:pStyle w:val="Normal"/>
        <w:ind w:right="850" w:hanging="0"/>
        <w:jc w:val="both"/>
        <w:rPr/>
      </w:pPr>
      <w:r>
        <w:rPr>
          <w:rFonts w:eastAsia="Wingdings" w:cs="Wingdings" w:ascii="Wingdings" w:hAnsi="Wingdings"/>
          <w:b/>
        </w:rPr>
        <w:t></w:t>
      </w:r>
      <w:r>
        <w:rPr>
          <w:rFonts w:eastAsia="Tahoma" w:cs="Tahoma" w:ascii="Tahoma" w:hAnsi="Tahoma"/>
          <w:b/>
        </w:rPr>
        <w:t xml:space="preserve"> </w:t>
      </w:r>
      <w:r>
        <w:rPr>
          <w:rFonts w:cs="Tahoma" w:ascii="Tahoma" w:hAnsi="Tahoma"/>
          <w:b/>
        </w:rPr>
        <w:t xml:space="preserve">La société Ingénierie des Systèmes Avancés de l’Artois, </w:t>
      </w:r>
      <w:r>
        <w:rPr>
          <w:rFonts w:cs="Tahoma" w:ascii="Tahoma" w:hAnsi="Tahoma"/>
        </w:rPr>
        <w:t>représentée par XXXXXXXXX, agissant en qualité de Président, et en vertu des pouvoirs qui lui ont été donnés, absent et représenté par XXXXXXXXX, Chef d’Entreprise</w:t>
      </w:r>
    </w:p>
    <w:p>
      <w:pPr>
        <w:pStyle w:val="Normal"/>
        <w:ind w:right="850" w:hanging="0"/>
        <w:jc w:val="both"/>
        <w:rPr>
          <w:rFonts w:ascii="Tahoma" w:hAnsi="Tahoma" w:cs="Tahoma"/>
        </w:rPr>
      </w:pPr>
      <w:r>
        <w:rPr>
          <w:rFonts w:cs="Tahoma" w:ascii="Tahoma" w:hAnsi="Tahoma"/>
        </w:rPr>
      </w:r>
    </w:p>
    <w:p>
      <w:pPr>
        <w:pStyle w:val="Heading6"/>
        <w:numPr>
          <w:ilvl w:val="5"/>
          <w:numId w:val="1"/>
        </w:numPr>
        <w:ind w:right="850" w:hanging="0"/>
        <w:jc w:val="both"/>
        <w:rPr>
          <w:rFonts w:ascii="Tahoma" w:hAnsi="Tahoma" w:cs="Tahoma"/>
        </w:rPr>
      </w:pPr>
      <w:r>
        <w:rPr>
          <w:rFonts w:cs="Tahoma" w:ascii="Tahoma" w:hAnsi="Tahoma"/>
        </w:rPr>
        <w:t>Et</w:t>
      </w:r>
    </w:p>
    <w:p>
      <w:pPr>
        <w:pStyle w:val="Normal"/>
        <w:ind w:right="850" w:hanging="0"/>
        <w:jc w:val="both"/>
        <w:rPr>
          <w:rFonts w:ascii="Tahoma" w:hAnsi="Tahoma" w:cs="Tahoma"/>
        </w:rPr>
      </w:pPr>
      <w:r>
        <w:rPr>
          <w:rFonts w:cs="Tahoma" w:ascii="Tahoma" w:hAnsi="Tahoma"/>
        </w:rPr>
      </w:r>
    </w:p>
    <w:p>
      <w:pPr>
        <w:pStyle w:val="Normal"/>
        <w:ind w:right="850" w:hanging="0"/>
        <w:jc w:val="both"/>
        <w:rPr/>
      </w:pPr>
      <w:r>
        <w:rPr>
          <w:rFonts w:eastAsia="Wingdings" w:cs="Wingdings" w:ascii="Wingdings" w:hAnsi="Wingdings"/>
          <w:b/>
        </w:rPr>
        <w:t></w:t>
      </w:r>
      <w:r>
        <w:rPr>
          <w:rFonts w:eastAsia="Tahoma" w:cs="Tahoma" w:ascii="Tahoma" w:hAnsi="Tahoma"/>
          <w:b/>
        </w:rPr>
        <w:t xml:space="preserve"> </w:t>
      </w:r>
      <w:r>
        <w:rPr>
          <w:rFonts w:cs="Tahoma" w:ascii="Tahoma" w:hAnsi="Tahoma"/>
          <w:b/>
        </w:rPr>
        <w:t>F.O.</w:t>
      </w:r>
      <w:r>
        <w:rPr>
          <w:rFonts w:cs="Tahoma" w:ascii="Tahoma" w:hAnsi="Tahoma"/>
        </w:rPr>
        <w:t>, représentée par XXXXXXXXXX, Délégué Syndical.</w:t>
      </w:r>
    </w:p>
    <w:p>
      <w:pPr>
        <w:pStyle w:val="Normal"/>
        <w:ind w:right="850" w:hanging="0"/>
        <w:jc w:val="both"/>
        <w:rPr>
          <w:rFonts w:ascii="Tahoma" w:hAnsi="Tahoma" w:cs="Tahoma"/>
        </w:rPr>
      </w:pPr>
      <w:r>
        <w:rPr>
          <w:rFonts w:cs="Tahoma" w:ascii="Tahoma" w:hAnsi="Tahoma"/>
        </w:rPr>
      </w:r>
    </w:p>
    <w:p>
      <w:pPr>
        <w:pStyle w:val="Normal"/>
        <w:ind w:right="850" w:hanging="0"/>
        <w:jc w:val="both"/>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numPr>
          <w:ilvl w:val="0"/>
          <w:numId w:val="2"/>
        </w:numPr>
        <w:rPr>
          <w:rFonts w:ascii="Tahoma" w:hAnsi="Tahoma" w:cs="Tahoma"/>
          <w:b/>
          <w:b/>
          <w:bCs/>
        </w:rPr>
      </w:pPr>
      <w:r>
        <w:rPr>
          <w:rFonts w:cs="Tahoma" w:ascii="Tahoma" w:hAnsi="Tahoma"/>
          <w:b/>
          <w:bCs/>
        </w:rPr>
        <w:t>Rémunérations</w:t>
      </w:r>
    </w:p>
    <w:p>
      <w:pPr>
        <w:pStyle w:val="Normal"/>
        <w:rPr>
          <w:rFonts w:ascii="Tahoma" w:hAnsi="Tahoma" w:cs="Tahoma"/>
          <w:b/>
          <w:b/>
          <w:bCs/>
        </w:rPr>
      </w:pPr>
      <w:r>
        <w:rPr>
          <w:rFonts w:cs="Tahoma" w:ascii="Tahoma" w:hAnsi="Tahoma"/>
          <w:b/>
          <w:bCs/>
        </w:rPr>
      </w:r>
    </w:p>
    <w:p>
      <w:pPr>
        <w:pStyle w:val="Normal"/>
        <w:jc w:val="both"/>
        <w:rPr/>
      </w:pPr>
      <w:r>
        <w:rPr>
          <w:rFonts w:cs="Tahoma" w:ascii="Tahoma" w:hAnsi="Tahoma"/>
        </w:rPr>
        <w:t>Les salaires seront révisés individuellement à partir du 1</w:t>
      </w:r>
      <w:r>
        <w:rPr>
          <w:rFonts w:cs="Tahoma" w:ascii="Tahoma" w:hAnsi="Tahoma"/>
          <w:vertAlign w:val="superscript"/>
        </w:rPr>
        <w:t>er</w:t>
      </w:r>
      <w:r>
        <w:rPr>
          <w:rFonts w:cs="Tahoma" w:ascii="Tahoma" w:hAnsi="Tahoma"/>
        </w:rPr>
        <w:t xml:space="preserve"> janvier 2022 pour l’ensemble des collaborateurs ayant un an de présence, en tenant compte de l’évolution du coût de la vie et représentant en moyenne pour l’entreprise une augmentation de la masse salariale de 4.05 %. </w:t>
      </w:r>
    </w:p>
    <w:p>
      <w:pPr>
        <w:pStyle w:val="Normal"/>
        <w:jc w:val="both"/>
        <w:rPr/>
      </w:pPr>
      <w:r>
        <w:rPr>
          <w:rFonts w:cs="Tahoma" w:ascii="Tahoma" w:hAnsi="Tahoma"/>
        </w:rPr>
        <w:t>Les différents chiffres par catégories sont repris dans tableau évolution salariale 2021/2022</w:t>
      </w:r>
      <w:r>
        <w:rPr/>
        <w:t>.</w:t>
      </w:r>
    </w:p>
    <w:tbl>
      <w:tblPr>
        <w:tblW w:w="8410" w:type="dxa"/>
        <w:jc w:val="left"/>
        <w:tblInd w:w="70" w:type="dxa"/>
        <w:tblBorders/>
        <w:tblCellMar>
          <w:top w:w="0" w:type="dxa"/>
          <w:left w:w="70" w:type="dxa"/>
          <w:bottom w:w="0" w:type="dxa"/>
          <w:right w:w="70" w:type="dxa"/>
        </w:tblCellMar>
      </w:tblPr>
      <w:tblGrid>
        <w:gridCol w:w="2300"/>
        <w:gridCol w:w="1200"/>
        <w:gridCol w:w="1200"/>
        <w:gridCol w:w="1760"/>
        <w:gridCol w:w="1940"/>
        <w:gridCol w:w="10"/>
      </w:tblGrid>
      <w:tr>
        <w:trPr>
          <w:trHeight w:val="374" w:hRule="atLeast"/>
        </w:trPr>
        <w:tc>
          <w:tcPr>
            <w:tcW w:w="2300" w:type="dxa"/>
            <w:tcBorders/>
            <w:shd w:fill="auto" w:val="clear"/>
            <w:vAlign w:val="bottom"/>
          </w:tcPr>
          <w:p>
            <w:pPr>
              <w:pStyle w:val="Normal"/>
              <w:snapToGrid w:val="false"/>
              <w:rPr>
                <w:sz w:val="20"/>
                <w:szCs w:val="20"/>
              </w:rPr>
            </w:pPr>
            <w:r>
              <w:rPr>
                <w:sz w:val="20"/>
                <w:szCs w:val="20"/>
              </w:rPr>
            </w:r>
          </w:p>
        </w:tc>
        <w:tc>
          <w:tcPr>
            <w:tcW w:w="1200" w:type="dxa"/>
            <w:tcBorders/>
            <w:shd w:fill="auto" w:val="clear"/>
            <w:vAlign w:val="bottom"/>
          </w:tcPr>
          <w:p>
            <w:pPr>
              <w:pStyle w:val="Normal"/>
              <w:snapToGrid w:val="false"/>
              <w:rPr>
                <w:sz w:val="20"/>
                <w:szCs w:val="20"/>
              </w:rPr>
            </w:pPr>
            <w:r>
              <w:rPr>
                <w:sz w:val="20"/>
                <w:szCs w:val="20"/>
              </w:rPr>
            </w:r>
          </w:p>
        </w:tc>
        <w:tc>
          <w:tcPr>
            <w:tcW w:w="1200" w:type="dxa"/>
            <w:tcBorders/>
            <w:shd w:fill="auto" w:val="clear"/>
            <w:vAlign w:val="bottom"/>
          </w:tcPr>
          <w:p>
            <w:pPr>
              <w:pStyle w:val="Normal"/>
              <w:snapToGrid w:val="false"/>
              <w:jc w:val="center"/>
              <w:rPr>
                <w:sz w:val="20"/>
                <w:szCs w:val="20"/>
              </w:rPr>
            </w:pPr>
            <w:r>
              <w:rPr>
                <w:sz w:val="20"/>
                <w:szCs w:val="20"/>
              </w:rPr>
            </w:r>
          </w:p>
        </w:tc>
        <w:tc>
          <w:tcPr>
            <w:tcW w:w="1760" w:type="dxa"/>
            <w:tcBorders>
              <w:top w:val="single" w:sz="4" w:space="0" w:color="000000"/>
              <w:left w:val="single" w:sz="4" w:space="0" w:color="000000"/>
              <w:bottom w:val="single" w:sz="4" w:space="0" w:color="000000"/>
              <w:insideH w:val="single" w:sz="4" w:space="0" w:color="000000"/>
            </w:tcBorders>
            <w:shd w:fill="E7E6E6" w:val="clear"/>
            <w:tcMar>
              <w:left w:w="65" w:type="dxa"/>
            </w:tcMar>
            <w:vAlign w:val="bottom"/>
          </w:tcPr>
          <w:p>
            <w:pPr>
              <w:pStyle w:val="Normal"/>
              <w:jc w:val="center"/>
              <w:rPr>
                <w:rFonts w:ascii="Arial" w:hAnsi="Arial" w:cs="Arial"/>
                <w:color w:val="000000"/>
                <w:sz w:val="20"/>
                <w:szCs w:val="20"/>
              </w:rPr>
            </w:pPr>
            <w:r>
              <w:rPr>
                <w:rFonts w:cs="Arial" w:ascii="Arial" w:hAnsi="Arial"/>
                <w:color w:val="000000"/>
                <w:sz w:val="20"/>
                <w:szCs w:val="20"/>
              </w:rPr>
              <w:t>Effectif</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Mar>
              <w:left w:w="65" w:type="dxa"/>
            </w:tcMar>
            <w:vAlign w:val="bottom"/>
          </w:tcPr>
          <w:p>
            <w:pPr>
              <w:pStyle w:val="Normal"/>
              <w:jc w:val="center"/>
              <w:rPr>
                <w:rFonts w:ascii="Arial" w:hAnsi="Arial" w:cs="Arial"/>
                <w:color w:val="000000"/>
                <w:sz w:val="20"/>
                <w:szCs w:val="20"/>
              </w:rPr>
            </w:pPr>
            <w:r>
              <w:rPr>
                <w:rFonts w:cs="Arial" w:ascii="Arial" w:hAnsi="Arial"/>
                <w:color w:val="000000"/>
                <w:sz w:val="20"/>
                <w:szCs w:val="20"/>
              </w:rPr>
              <w:t>% Augmentation</w:t>
            </w:r>
          </w:p>
        </w:tc>
      </w:tr>
      <w:tr>
        <w:trPr>
          <w:trHeight w:val="255" w:hRule="atLeast"/>
        </w:trPr>
        <w:tc>
          <w:tcPr>
            <w:tcW w:w="4700" w:type="dxa"/>
            <w:gridSpan w:val="3"/>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Variation cadres présents/présents :</w:t>
            </w:r>
          </w:p>
        </w:tc>
        <w:tc>
          <w:tcPr>
            <w:tcW w:w="1760"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pPr>
            <w:r>
              <w:rPr>
                <w:rFonts w:cs="Arial" w:ascii="Arial" w:hAnsi="Arial"/>
                <w:sz w:val="20"/>
                <w:szCs w:val="20"/>
              </w:rPr>
              <w:t>22,00</w:t>
            </w:r>
          </w:p>
        </w:tc>
        <w:tc>
          <w:tcPr>
            <w:tcW w:w="19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pPr>
            <w:r>
              <w:rPr>
                <w:rFonts w:cs="Arial" w:ascii="Arial" w:hAnsi="Arial"/>
                <w:sz w:val="20"/>
                <w:szCs w:val="20"/>
              </w:rPr>
              <w:t>4.31%</w:t>
            </w:r>
          </w:p>
        </w:tc>
      </w:tr>
      <w:tr>
        <w:trPr>
          <w:trHeight w:val="255" w:hRule="atLeast"/>
        </w:trPr>
        <w:tc>
          <w:tcPr>
            <w:tcW w:w="4700" w:type="dxa"/>
            <w:gridSpan w:val="3"/>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Variation etams présents/présents :</w:t>
            </w:r>
          </w:p>
        </w:tc>
        <w:tc>
          <w:tcPr>
            <w:tcW w:w="1760"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pPr>
            <w:r>
              <w:rPr>
                <w:rFonts w:cs="Arial" w:ascii="Arial" w:hAnsi="Arial"/>
                <w:sz w:val="20"/>
                <w:szCs w:val="20"/>
              </w:rPr>
              <w:t>15,00</w:t>
            </w:r>
          </w:p>
        </w:tc>
        <w:tc>
          <w:tcPr>
            <w:tcW w:w="19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pPr>
            <w:r>
              <w:rPr>
                <w:rFonts w:cs="Arial" w:ascii="Arial" w:hAnsi="Arial"/>
                <w:sz w:val="20"/>
                <w:szCs w:val="20"/>
              </w:rPr>
              <w:t>3.99%</w:t>
            </w:r>
          </w:p>
        </w:tc>
      </w:tr>
      <w:tr>
        <w:trPr>
          <w:trHeight w:val="255" w:hRule="atLeast"/>
        </w:trPr>
        <w:tc>
          <w:tcPr>
            <w:tcW w:w="4700" w:type="dxa"/>
            <w:gridSpan w:val="3"/>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Variation ouvriers présents/présents :</w:t>
            </w:r>
          </w:p>
        </w:tc>
        <w:tc>
          <w:tcPr>
            <w:tcW w:w="1760"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pPr>
            <w:r>
              <w:rPr>
                <w:rFonts w:cs="Arial" w:ascii="Arial" w:hAnsi="Arial"/>
                <w:sz w:val="20"/>
                <w:szCs w:val="20"/>
              </w:rPr>
              <w:t>11,00</w:t>
            </w:r>
          </w:p>
        </w:tc>
        <w:tc>
          <w:tcPr>
            <w:tcW w:w="19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pPr>
            <w:r>
              <w:rPr>
                <w:rFonts w:cs="Arial" w:ascii="Arial" w:hAnsi="Arial"/>
                <w:sz w:val="20"/>
                <w:szCs w:val="20"/>
              </w:rPr>
              <w:t>3.27%</w:t>
            </w:r>
          </w:p>
        </w:tc>
      </w:tr>
      <w:tr>
        <w:trPr>
          <w:trHeight w:val="255" w:hRule="atLeast"/>
        </w:trPr>
        <w:tc>
          <w:tcPr>
            <w:tcW w:w="4700" w:type="dxa"/>
            <w:gridSpan w:val="3"/>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jc w:val="right"/>
              <w:rPr/>
            </w:pPr>
            <w:r>
              <w:rPr>
                <w:rFonts w:cs="Arial" w:ascii="Arial" w:hAnsi="Arial"/>
                <w:sz w:val="20"/>
                <w:szCs w:val="20"/>
              </w:rPr>
              <w:t>Variation présents sur présents :</w:t>
            </w:r>
          </w:p>
        </w:tc>
        <w:tc>
          <w:tcPr>
            <w:tcW w:w="1760"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Arial" w:hAnsi="Arial" w:cs="Arial"/>
                <w:sz w:val="20"/>
                <w:szCs w:val="20"/>
              </w:rPr>
            </w:pPr>
            <w:r>
              <w:rPr>
                <w:rFonts w:cs="Arial" w:ascii="Arial" w:hAnsi="Arial"/>
                <w:sz w:val="20"/>
                <w:szCs w:val="20"/>
              </w:rPr>
              <w:t>48</w:t>
            </w:r>
          </w:p>
        </w:tc>
        <w:tc>
          <w:tcPr>
            <w:tcW w:w="19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pPr>
            <w:r>
              <w:rPr>
                <w:rFonts w:cs="Arial" w:ascii="Arial" w:hAnsi="Arial"/>
                <w:sz w:val="20"/>
                <w:szCs w:val="20"/>
              </w:rPr>
              <w:t>4.05%</w:t>
            </w:r>
          </w:p>
        </w:tc>
      </w:tr>
      <w:tr>
        <w:trPr>
          <w:trHeight w:val="255" w:hRule="atLeast"/>
        </w:trPr>
        <w:tc>
          <w:tcPr>
            <w:tcW w:w="2300" w:type="dxa"/>
            <w:tcBorders/>
            <w:shd w:fill="auto" w:val="clear"/>
            <w:vAlign w:val="bottom"/>
          </w:tcPr>
          <w:p>
            <w:pPr>
              <w:pStyle w:val="Normal"/>
              <w:snapToGrid w:val="false"/>
              <w:jc w:val="right"/>
              <w:rPr>
                <w:rFonts w:ascii="Arial" w:hAnsi="Arial" w:cs="Arial"/>
                <w:sz w:val="20"/>
                <w:szCs w:val="20"/>
              </w:rPr>
            </w:pPr>
            <w:r>
              <w:rPr>
                <w:rFonts w:cs="Arial" w:ascii="Arial" w:hAnsi="Arial"/>
                <w:sz w:val="20"/>
                <w:szCs w:val="20"/>
              </w:rPr>
            </w:r>
          </w:p>
        </w:tc>
        <w:tc>
          <w:tcPr>
            <w:tcW w:w="1200" w:type="dxa"/>
            <w:tcBorders/>
            <w:shd w:fill="auto" w:val="clear"/>
            <w:vAlign w:val="bottom"/>
          </w:tcPr>
          <w:p>
            <w:pPr>
              <w:pStyle w:val="Normal"/>
              <w:snapToGrid w:val="false"/>
              <w:rPr>
                <w:rFonts w:ascii="Arial" w:hAnsi="Arial" w:cs="Arial"/>
                <w:sz w:val="20"/>
                <w:szCs w:val="20"/>
              </w:rPr>
            </w:pPr>
            <w:r>
              <w:rPr>
                <w:rFonts w:cs="Arial" w:ascii="Arial" w:hAnsi="Arial"/>
                <w:sz w:val="20"/>
                <w:szCs w:val="20"/>
              </w:rPr>
            </w:r>
          </w:p>
        </w:tc>
        <w:tc>
          <w:tcPr>
            <w:tcW w:w="1200" w:type="dxa"/>
            <w:tcBorders/>
            <w:shd w:fill="auto" w:val="clear"/>
            <w:vAlign w:val="bottom"/>
          </w:tcPr>
          <w:p>
            <w:pPr>
              <w:pStyle w:val="Normal"/>
              <w:snapToGrid w:val="false"/>
              <w:rPr>
                <w:sz w:val="20"/>
                <w:szCs w:val="20"/>
              </w:rPr>
            </w:pPr>
            <w:r>
              <w:rPr>
                <w:sz w:val="20"/>
                <w:szCs w:val="20"/>
              </w:rPr>
            </w:r>
          </w:p>
        </w:tc>
        <w:tc>
          <w:tcPr>
            <w:tcW w:w="1760" w:type="dxa"/>
            <w:tcBorders/>
            <w:shd w:fill="auto" w:val="clear"/>
            <w:vAlign w:val="bottom"/>
          </w:tcPr>
          <w:p>
            <w:pPr>
              <w:pStyle w:val="Normal"/>
              <w:snapToGrid w:val="false"/>
              <w:rPr>
                <w:sz w:val="20"/>
                <w:szCs w:val="20"/>
              </w:rPr>
            </w:pPr>
            <w:r>
              <w:rPr>
                <w:sz w:val="20"/>
                <w:szCs w:val="20"/>
              </w:rPr>
            </w:r>
          </w:p>
        </w:tc>
        <w:tc>
          <w:tcPr>
            <w:tcW w:w="1940" w:type="dxa"/>
            <w:tcBorders/>
            <w:shd w:fill="auto" w:val="clear"/>
            <w:vAlign w:val="bottom"/>
          </w:tcPr>
          <w:p>
            <w:pPr>
              <w:pStyle w:val="Normal"/>
              <w:snapToGrid w:val="false"/>
              <w:rPr>
                <w:sz w:val="20"/>
                <w:szCs w:val="20"/>
              </w:rPr>
            </w:pPr>
            <w:r>
              <w:rPr>
                <w:sz w:val="20"/>
                <w:szCs w:val="20"/>
              </w:rPr>
            </w:r>
          </w:p>
        </w:tc>
      </w:tr>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EDEDED" w:val="clear"/>
            <w:tcMar>
              <w:left w:w="65" w:type="dxa"/>
            </w:tcMar>
            <w:vAlign w:val="bottom"/>
          </w:tcPr>
          <w:p>
            <w:pPr>
              <w:pStyle w:val="Normal"/>
              <w:rPr>
                <w:rFonts w:ascii="Arial" w:hAnsi="Arial" w:cs="Arial"/>
                <w:sz w:val="20"/>
                <w:szCs w:val="20"/>
              </w:rPr>
            </w:pPr>
            <w:r>
              <w:rPr>
                <w:rFonts w:cs="Arial" w:ascii="Arial" w:hAnsi="Arial"/>
                <w:sz w:val="20"/>
                <w:szCs w:val="20"/>
              </w:rPr>
              <w:t>Evolution masse Salariale</w:t>
            </w:r>
          </w:p>
        </w:tc>
        <w:tc>
          <w:tcPr>
            <w:tcW w:w="1200" w:type="dxa"/>
            <w:tcBorders>
              <w:top w:val="single" w:sz="4" w:space="0" w:color="000000"/>
              <w:bottom w:val="single" w:sz="4" w:space="0" w:color="000000"/>
              <w:insideH w:val="single" w:sz="4" w:space="0" w:color="000000"/>
            </w:tcBorders>
            <w:shd w:fill="EDEDED" w:val="clear"/>
            <w:vAlign w:val="bottom"/>
          </w:tcPr>
          <w:p>
            <w:pPr>
              <w:pStyle w:val="Normal"/>
              <w:rPr>
                <w:rFonts w:ascii="Arial" w:hAnsi="Arial" w:cs="Arial"/>
                <w:sz w:val="20"/>
                <w:szCs w:val="20"/>
              </w:rPr>
            </w:pPr>
            <w:r>
              <w:rPr>
                <w:rFonts w:cs="Arial" w:ascii="Arial" w:hAnsi="Arial"/>
                <w:sz w:val="20"/>
                <w:szCs w:val="20"/>
              </w:rPr>
              <w:t> </w:t>
            </w:r>
          </w:p>
        </w:tc>
        <w:tc>
          <w:tcPr>
            <w:tcW w:w="1200" w:type="dxa"/>
            <w:tcBorders>
              <w:top w:val="single" w:sz="4" w:space="0" w:color="000000"/>
              <w:left w:val="single" w:sz="4" w:space="0" w:color="000000"/>
              <w:bottom w:val="single" w:sz="4" w:space="0" w:color="000000"/>
              <w:insideH w:val="single" w:sz="4" w:space="0" w:color="000000"/>
            </w:tcBorders>
            <w:shd w:fill="EDEDED" w:val="clear"/>
            <w:tcMar>
              <w:left w:w="65" w:type="dxa"/>
            </w:tcMar>
            <w:vAlign w:val="bottom"/>
          </w:tcPr>
          <w:p>
            <w:pPr>
              <w:pStyle w:val="Normal"/>
              <w:jc w:val="right"/>
              <w:rPr>
                <w:rFonts w:ascii="Arial" w:hAnsi="Arial" w:cs="Arial"/>
                <w:sz w:val="20"/>
                <w:szCs w:val="20"/>
              </w:rPr>
            </w:pPr>
            <w:r>
              <w:rPr>
                <w:rFonts w:cs="Arial" w:ascii="Arial" w:hAnsi="Arial"/>
                <w:sz w:val="20"/>
                <w:szCs w:val="20"/>
              </w:rPr>
              <w:t>2 021</w:t>
            </w:r>
          </w:p>
        </w:tc>
        <w:tc>
          <w:tcPr>
            <w:tcW w:w="1760" w:type="dxa"/>
            <w:tcBorders>
              <w:top w:val="single" w:sz="4" w:space="0" w:color="000000"/>
              <w:left w:val="single" w:sz="4" w:space="0" w:color="000000"/>
              <w:bottom w:val="single" w:sz="4" w:space="0" w:color="000000"/>
              <w:insideH w:val="single" w:sz="4" w:space="0" w:color="000000"/>
            </w:tcBorders>
            <w:shd w:fill="EDEDED" w:val="clear"/>
            <w:tcMar>
              <w:left w:w="65" w:type="dxa"/>
            </w:tcMar>
            <w:vAlign w:val="bottom"/>
          </w:tcPr>
          <w:p>
            <w:pPr>
              <w:pStyle w:val="Normal"/>
              <w:jc w:val="right"/>
              <w:rPr>
                <w:rFonts w:ascii="Arial" w:hAnsi="Arial" w:cs="Arial"/>
                <w:sz w:val="20"/>
                <w:szCs w:val="20"/>
              </w:rPr>
            </w:pPr>
            <w:r>
              <w:rPr>
                <w:rFonts w:cs="Arial" w:ascii="Arial" w:hAnsi="Arial"/>
                <w:sz w:val="20"/>
                <w:szCs w:val="20"/>
              </w:rPr>
              <w:t>2 022</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DEDED" w:val="clear"/>
            <w:tcMar>
              <w:left w:w="65" w:type="dxa"/>
            </w:tcMar>
            <w:vAlign w:val="bottom"/>
          </w:tcPr>
          <w:p>
            <w:pPr>
              <w:pStyle w:val="Normal"/>
              <w:rPr>
                <w:rFonts w:ascii="Arial" w:hAnsi="Arial" w:cs="Arial"/>
                <w:sz w:val="20"/>
                <w:szCs w:val="20"/>
              </w:rPr>
            </w:pPr>
            <w:r>
              <w:rPr>
                <w:rFonts w:cs="Arial" w:ascii="Arial" w:hAnsi="Arial"/>
                <w:sz w:val="20"/>
                <w:szCs w:val="20"/>
              </w:rPr>
              <w:t>% augmentation</w:t>
            </w:r>
          </w:p>
        </w:tc>
      </w:tr>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snapToGrid w:val="false"/>
              <w:rPr>
                <w:rFonts w:ascii="Arial" w:hAnsi="Arial" w:cs="Arial"/>
                <w:sz w:val="20"/>
                <w:szCs w:val="20"/>
              </w:rPr>
            </w:pPr>
            <w:r>
              <w:rPr>
                <w:rFonts w:cs="Arial" w:ascii="Arial" w:hAnsi="Arial"/>
                <w:sz w:val="20"/>
                <w:szCs w:val="20"/>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snapToGrid w:val="false"/>
              <w:rPr>
                <w:rFonts w:ascii="Arial" w:hAnsi="Arial" w:cs="Arial"/>
                <w:sz w:val="20"/>
                <w:szCs w:val="20"/>
              </w:rPr>
            </w:pPr>
            <w:r>
              <w:rPr>
                <w:rFonts w:cs="Arial" w:ascii="Arial" w:hAnsi="Arial"/>
                <w:sz w:val="20"/>
                <w:szCs w:val="20"/>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jc w:val="right"/>
              <w:rPr/>
            </w:pPr>
            <w:r>
              <w:rPr>
                <w:rFonts w:cs="Arial" w:ascii="Arial" w:hAnsi="Arial"/>
                <w:sz w:val="20"/>
                <w:szCs w:val="20"/>
              </w:rPr>
              <w:t>1 750 777 €</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jc w:val="right"/>
              <w:rPr/>
            </w:pPr>
            <w:r>
              <w:rPr>
                <w:rFonts w:cs="Arial" w:ascii="Arial" w:hAnsi="Arial"/>
                <w:sz w:val="20"/>
                <w:szCs w:val="20"/>
              </w:rPr>
              <w:t>1 821 683 €</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pPr>
            <w:r>
              <w:rPr>
                <w:rFonts w:cs="Arial" w:ascii="Arial" w:hAnsi="Arial"/>
                <w:sz w:val="20"/>
                <w:szCs w:val="20"/>
              </w:rPr>
              <w:t>4.05%</w:t>
            </w:r>
          </w:p>
        </w:tc>
      </w:tr>
    </w:tbl>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p>
      <w:pPr>
        <w:pStyle w:val="Normal"/>
        <w:numPr>
          <w:ilvl w:val="0"/>
          <w:numId w:val="2"/>
        </w:numPr>
        <w:jc w:val="both"/>
        <w:rPr>
          <w:rFonts w:ascii="Tahoma" w:hAnsi="Tahoma" w:cs="Tahoma"/>
          <w:b/>
          <w:b/>
          <w:bCs/>
        </w:rPr>
      </w:pPr>
      <w:r>
        <w:rPr>
          <w:rFonts w:cs="Tahoma" w:ascii="Tahoma" w:hAnsi="Tahoma"/>
          <w:b/>
          <w:bCs/>
        </w:rPr>
        <w:t>Prime de Saint Eloi</w:t>
      </w:r>
    </w:p>
    <w:p>
      <w:pPr>
        <w:pStyle w:val="Normal"/>
        <w:jc w:val="both"/>
        <w:rPr>
          <w:rFonts w:ascii="Tahoma" w:hAnsi="Tahoma" w:cs="Tahoma"/>
          <w:b/>
          <w:b/>
          <w:bCs/>
        </w:rPr>
      </w:pPr>
      <w:r>
        <w:rPr>
          <w:rFonts w:cs="Tahoma" w:ascii="Tahoma" w:hAnsi="Tahoma"/>
          <w:b/>
          <w:bCs/>
        </w:rPr>
      </w:r>
    </w:p>
    <w:p>
      <w:pPr>
        <w:pStyle w:val="Normal"/>
        <w:jc w:val="both"/>
        <w:rPr/>
      </w:pPr>
      <w:r>
        <w:rPr>
          <w:rFonts w:cs="Tahoma" w:ascii="Tahoma" w:hAnsi="Tahoma"/>
        </w:rPr>
        <w:t>Après échange avec les délégués syndicaux, la prime de Saint Eloi reste à 55€ brut par salarié.</w:t>
      </w:r>
    </w:p>
    <w:p>
      <w:pPr>
        <w:pStyle w:val="Normal"/>
        <w:jc w:val="both"/>
        <w:rPr>
          <w:rFonts w:ascii="Tahoma" w:hAnsi="Tahoma" w:cs="Tahoma"/>
        </w:rPr>
      </w:pPr>
      <w:r>
        <w:rPr>
          <w:rFonts w:cs="Tahoma" w:ascii="Tahoma" w:hAnsi="Tahoma"/>
        </w:rPr>
      </w:r>
    </w:p>
    <w:p>
      <w:pPr>
        <w:pStyle w:val="Normal"/>
        <w:numPr>
          <w:ilvl w:val="0"/>
          <w:numId w:val="2"/>
        </w:numPr>
        <w:jc w:val="both"/>
        <w:rPr/>
      </w:pPr>
      <w:r>
        <w:rPr>
          <w:rFonts w:cs="Tahoma" w:ascii="Tahoma" w:hAnsi="Tahoma"/>
          <w:b/>
          <w:bCs/>
        </w:rPr>
        <w:t>Travaux du dimanche</w:t>
      </w:r>
    </w:p>
    <w:p>
      <w:pPr>
        <w:pStyle w:val="Normal"/>
        <w:jc w:val="both"/>
        <w:rPr>
          <w:rFonts w:ascii="Tahoma" w:hAnsi="Tahoma" w:cs="Tahoma"/>
          <w:b/>
          <w:b/>
          <w:bCs/>
        </w:rPr>
      </w:pPr>
      <w:r>
        <w:rPr>
          <w:rFonts w:cs="Tahoma" w:ascii="Tahoma" w:hAnsi="Tahoma"/>
          <w:b/>
          <w:bCs/>
        </w:rPr>
      </w:r>
    </w:p>
    <w:p>
      <w:pPr>
        <w:pStyle w:val="Normal"/>
        <w:jc w:val="both"/>
        <w:rPr/>
      </w:pPr>
      <w:r>
        <w:rPr>
          <w:rFonts w:cs="Tahoma" w:ascii="Tahoma" w:hAnsi="Tahoma"/>
        </w:rPr>
        <w:t>Un accord sur les travaux du dimanche a été signé le 16 avril 2012 pour une durée indéterminée, cet accord précise les conditions de travail le dimanche pour l’entreprise.</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p>
      <w:pPr>
        <w:pStyle w:val="Normal"/>
        <w:jc w:val="both"/>
        <w:rPr/>
      </w:pPr>
      <w:r>
        <w:rPr>
          <w:rFonts w:cs="Tahoma" w:ascii="Tahoma" w:hAnsi="Tahoma"/>
        </w:rPr>
        <w:t>Fait à Tilloy-les-Mofflaines , le 23 décembre 2021.</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XXXXXXXXXXX</w:t>
        <w:tab/>
        <w:tab/>
        <w:tab/>
        <w:tab/>
        <w:tab/>
        <w:t xml:space="preserve">                       XXXXXXXXXXXX</w:t>
      </w:r>
    </w:p>
    <w:p>
      <w:pPr>
        <w:pStyle w:val="Normal"/>
        <w:jc w:val="both"/>
        <w:rPr/>
      </w:pPr>
      <w:r>
        <w:rPr>
          <w:rFonts w:eastAsia="Tahoma" w:cs="Tahoma" w:ascii="Tahoma" w:hAnsi="Tahoma"/>
          <w:sz w:val="22"/>
        </w:rPr>
        <w:t xml:space="preserve">   </w:t>
      </w:r>
      <w:r>
        <w:rPr>
          <w:rFonts w:cs="Tahoma" w:ascii="Tahoma" w:hAnsi="Tahoma"/>
          <w:sz w:val="22"/>
        </w:rPr>
        <w:t>Délégué FO</w:t>
        <w:tab/>
        <w:tab/>
        <w:tab/>
        <w:tab/>
        <w:tab/>
        <w:tab/>
        <w:t xml:space="preserve">                         Chef d’entreprise</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b/>
        <w:bCs/>
        <w:rFonts w:ascii="Tahoma" w:hAnsi="Tahoma" w:cs="Tahoma"/>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6">
    <w:name w:val="Heading 6"/>
    <w:basedOn w:val="Normal"/>
    <w:next w:val="Normal"/>
    <w:qFormat/>
    <w:pPr>
      <w:keepNext w:val="true"/>
      <w:numPr>
        <w:ilvl w:val="5"/>
        <w:numId w:val="1"/>
      </w:numPr>
      <w:ind w:right="850" w:hanging="0"/>
      <w:outlineLvl w:val="5"/>
    </w:pPr>
    <w:rPr>
      <w:b/>
      <w:szCs w:val="20"/>
    </w:rPr>
  </w:style>
  <w:style w:type="character" w:styleId="WW8Num1z0">
    <w:name w:val="WW8Num1z0"/>
    <w:qFormat/>
    <w:rPr/>
  </w:style>
  <w:style w:type="character" w:styleId="WW8Num1z1">
    <w:name w:val="WW8Num1z1"/>
    <w:qFormat/>
    <w:rPr>
      <w:rFonts w:ascii="Times New Roman" w:hAnsi="Times New Roman" w:eastAsia="Times New Roman" w:cs="Times New Roman"/>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ahoma" w:hAnsi="Tahoma" w:cs="Tahoma"/>
      <w:b/>
      <w:bCs/>
    </w:rPr>
  </w:style>
  <w:style w:type="character" w:styleId="WW8Num2z1">
    <w:name w:val="WW8Num2z1"/>
    <w:qFormat/>
    <w:rPr>
      <w:rFonts w:ascii="Times New Roman" w:hAnsi="Times New Roman" w:eastAsia="Times New Roman" w:cs="Times New Roman"/>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rFonts w:ascii="Times New Roman" w:hAnsi="Times New Roman" w:eastAsia="Times New Roman" w:cs="Times New Roman"/>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Policepardfaut">
    <w:name w:val="Police par dé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center"/>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rFonts w:ascii="Tahoma" w:hAnsi="Tahoma" w:cs="Tahom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2022-03-01T15:03:00Z</dcterms:created>
  <dc:creator/>
  <dc:description/>
  <dc:language>en-GB</dc:language>
  <cp:lastModifiedBy/>
  <cp:lastPrinted>2021-02-02T17:17:00Z</cp:lastPrinted>
  <dcterms:modified xsi:type="dcterms:W3CDTF">2022-03-01T15:03:00Z</dcterms:modified>
  <cp:revision>2</cp:revision>
  <dc:subject/>
  <dc:title/>
</cp:coreProperties>
</file>