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thinThickSmallGap" w:sz="24" w:space="0" w:color="000000" w:shadow="1"/>
          <w:left w:val="thinThickSmallGap" w:sz="24" w:space="4" w:color="000000" w:shadow="1"/>
          <w:bottom w:val="thinThickSmallGap" w:sz="24" w:space="1" w:color="000000" w:shadow="1"/>
          <w:right w:val="thinThickSmallGap" w:sz="24" w:space="4" w:color="000000" w:shadow="1"/>
        </w:pBdr>
        <w:shd w:fill="C0C0C0" w:val="clear"/>
        <w:jc w:val="center"/>
        <w:rPr/>
      </w:pPr>
      <w:r>
        <w:rPr/>
      </w:r>
    </w:p>
    <w:p>
      <w:pPr>
        <w:pStyle w:val="Normal"/>
        <w:pBdr>
          <w:top w:val="thinThickSmallGap" w:sz="24" w:space="0" w:color="000000" w:shadow="1"/>
          <w:left w:val="thinThickSmallGap" w:sz="24" w:space="4" w:color="000000" w:shadow="1"/>
          <w:bottom w:val="thinThickSmallGap" w:sz="24" w:space="1" w:color="000000" w:shadow="1"/>
          <w:right w:val="thinThickSmallGap" w:sz="24" w:space="4" w:color="000000" w:shadow="1"/>
        </w:pBdr>
        <w:shd w:fill="C0C0C0" w:val="clear"/>
        <w:jc w:val="center"/>
        <w:rPr>
          <w:rFonts w:ascii="Tahoma" w:hAnsi="Tahoma" w:cs="Tahoma"/>
          <w:b/>
          <w:b/>
          <w:sz w:val="28"/>
          <w:lang w:val="fr-FR"/>
        </w:rPr>
      </w:pPr>
      <w:r>
        <w:rPr>
          <w:rFonts w:cs="Tahoma" w:ascii="Tahoma" w:hAnsi="Tahoma"/>
          <w:b/>
          <w:sz w:val="28"/>
          <w:lang w:val="fr-FR"/>
        </w:rPr>
        <w:t>PROTOCOLE D’ACCORD</w:t>
      </w:r>
    </w:p>
    <w:p>
      <w:pPr>
        <w:pStyle w:val="Normal"/>
        <w:pBdr>
          <w:top w:val="thinThickSmallGap" w:sz="24" w:space="0" w:color="000000" w:shadow="1"/>
          <w:left w:val="thinThickSmallGap" w:sz="24" w:space="4" w:color="000000" w:shadow="1"/>
          <w:bottom w:val="thinThickSmallGap" w:sz="24" w:space="1" w:color="000000" w:shadow="1"/>
          <w:right w:val="thinThickSmallGap" w:sz="24" w:space="4" w:color="000000" w:shadow="1"/>
        </w:pBdr>
        <w:shd w:fill="C0C0C0" w:val="clear"/>
        <w:jc w:val="center"/>
        <w:rPr>
          <w:rFonts w:ascii="Tahoma" w:hAnsi="Tahoma" w:cs="Tahoma"/>
          <w:b/>
          <w:b/>
          <w:sz w:val="28"/>
          <w:lang w:val="fr-FR"/>
        </w:rPr>
      </w:pPr>
      <w:r>
        <w:rPr>
          <w:rFonts w:cs="Tahoma" w:ascii="Tahoma" w:hAnsi="Tahoma"/>
          <w:b/>
          <w:sz w:val="28"/>
          <w:lang w:val="fr-FR"/>
        </w:rPr>
      </w:r>
    </w:p>
    <w:p>
      <w:pPr>
        <w:pStyle w:val="Normal"/>
        <w:pBdr>
          <w:top w:val="thinThickSmallGap" w:sz="24" w:space="0" w:color="000000" w:shadow="1"/>
          <w:left w:val="thinThickSmallGap" w:sz="24" w:space="4" w:color="000000" w:shadow="1"/>
          <w:bottom w:val="thinThickSmallGap" w:sz="24" w:space="1" w:color="000000" w:shadow="1"/>
          <w:right w:val="thinThickSmallGap" w:sz="24" w:space="4" w:color="000000" w:shadow="1"/>
        </w:pBdr>
        <w:shd w:fill="C0C0C0" w:val="clear"/>
        <w:jc w:val="center"/>
        <w:rPr>
          <w:rFonts w:ascii="Tahoma" w:hAnsi="Tahoma" w:cs="Tahoma"/>
          <w:b/>
          <w:b/>
          <w:sz w:val="28"/>
          <w:lang w:val="fr-FR"/>
        </w:rPr>
      </w:pPr>
      <w:r>
        <w:rPr>
          <w:rFonts w:cs="Tahoma" w:ascii="Tahoma" w:hAnsi="Tahoma"/>
          <w:b/>
          <w:sz w:val="28"/>
          <w:lang w:val="fr-FR"/>
        </w:rPr>
        <w:t>NEGOCIATION ANNUELLE OBLIGATOIRE</w:t>
      </w:r>
    </w:p>
    <w:p>
      <w:pPr>
        <w:pStyle w:val="Normal"/>
        <w:pBdr>
          <w:top w:val="thinThickSmallGap" w:sz="24" w:space="0" w:color="000000" w:shadow="1"/>
          <w:left w:val="thinThickSmallGap" w:sz="24" w:space="4" w:color="000000" w:shadow="1"/>
          <w:bottom w:val="thinThickSmallGap" w:sz="24" w:space="1" w:color="000000" w:shadow="1"/>
          <w:right w:val="thinThickSmallGap" w:sz="24" w:space="4" w:color="000000" w:shadow="1"/>
        </w:pBdr>
        <w:shd w:fill="C0C0C0" w:val="clear"/>
        <w:jc w:val="center"/>
        <w:rPr>
          <w:rFonts w:ascii="Tahoma" w:hAnsi="Tahoma" w:cs="Tahoma"/>
          <w:b/>
          <w:b/>
          <w:sz w:val="28"/>
          <w:lang w:val="fr-FR"/>
        </w:rPr>
      </w:pPr>
      <w:r>
        <w:rPr>
          <w:rFonts w:cs="Tahoma" w:ascii="Tahoma" w:hAnsi="Tahoma"/>
          <w:b/>
          <w:sz w:val="28"/>
          <w:lang w:val="fr-FR"/>
        </w:rPr>
      </w:r>
    </w:p>
    <w:p>
      <w:pPr>
        <w:pStyle w:val="Normal"/>
        <w:pBdr>
          <w:top w:val="thinThickSmallGap" w:sz="24" w:space="0" w:color="000000" w:shadow="1"/>
          <w:left w:val="thinThickSmallGap" w:sz="24" w:space="4" w:color="000000" w:shadow="1"/>
          <w:bottom w:val="thinThickSmallGap" w:sz="24" w:space="1" w:color="000000" w:shadow="1"/>
          <w:right w:val="thinThickSmallGap" w:sz="24" w:space="4" w:color="000000" w:shadow="1"/>
        </w:pBdr>
        <w:shd w:fill="C0C0C0" w:val="clear"/>
        <w:jc w:val="center"/>
        <w:rPr>
          <w:rFonts w:ascii="Tahoma" w:hAnsi="Tahoma" w:cs="Tahoma"/>
          <w:b/>
          <w:b/>
          <w:sz w:val="28"/>
          <w:lang w:val="fr-FR"/>
        </w:rPr>
      </w:pPr>
      <w:r>
        <w:rPr>
          <w:rFonts w:cs="Tahoma" w:ascii="Tahoma" w:hAnsi="Tahoma"/>
          <w:b/>
          <w:sz w:val="28"/>
          <w:lang w:val="fr-FR"/>
        </w:rPr>
        <w:t>2022</w:t>
      </w:r>
    </w:p>
    <w:p>
      <w:pPr>
        <w:pStyle w:val="Normal"/>
        <w:jc w:val="both"/>
        <w:rPr>
          <w:rFonts w:ascii="Tahoma" w:hAnsi="Tahoma" w:cs="Tahoma"/>
          <w:b/>
          <w:b/>
          <w:sz w:val="28"/>
          <w:lang w:val="fr-FR"/>
        </w:rPr>
      </w:pPr>
      <w:r>
        <w:rPr>
          <w:rFonts w:cs="Tahoma" w:ascii="Tahoma" w:hAnsi="Tahoma"/>
          <w:b/>
          <w:sz w:val="28"/>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pPr>
      <w:r>
        <w:rPr>
          <w:b/>
          <w:lang w:val="fr-FR"/>
        </w:rPr>
        <w:t>Entre les soussignés :</w:t>
      </w:r>
    </w:p>
    <w:p>
      <w:pPr>
        <w:pStyle w:val="Normal"/>
        <w:jc w:val="both"/>
        <w:rPr>
          <w:b/>
          <w:b/>
          <w:lang w:val="fr-FR"/>
        </w:rPr>
      </w:pPr>
      <w:r>
        <w:rPr>
          <w:b/>
          <w:lang w:val="fr-FR"/>
        </w:rPr>
      </w:r>
    </w:p>
    <w:p>
      <w:pPr>
        <w:pStyle w:val="Normal"/>
        <w:jc w:val="both"/>
        <w:rPr>
          <w:lang w:val="fr-FR"/>
        </w:rPr>
      </w:pPr>
      <w:r>
        <w:rPr>
          <w:lang w:val="fr-FR"/>
        </w:rPr>
      </w:r>
    </w:p>
    <w:p>
      <w:pPr>
        <w:pStyle w:val="Normal"/>
        <w:numPr>
          <w:ilvl w:val="0"/>
          <w:numId w:val="2"/>
        </w:numPr>
        <w:spacing w:lineRule="auto" w:line="240"/>
        <w:jc w:val="both"/>
        <w:rPr/>
      </w:pPr>
      <w:r>
        <w:rPr>
          <w:lang w:val="fr-FR"/>
        </w:rPr>
        <w:t>la Société thyssenkrupp Electrical Steel UGO S.A.S., représentée par Monsieur, Directeur des Ressources Humaines,</w:t>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right"/>
        <w:rPr>
          <w:b/>
          <w:b/>
        </w:rPr>
      </w:pPr>
      <w:r>
        <w:rPr>
          <w:b/>
        </w:rPr>
        <w:t>D’UNE PART,</w:t>
      </w:r>
    </w:p>
    <w:p>
      <w:pPr>
        <w:pStyle w:val="Normal"/>
        <w:jc w:val="both"/>
        <w:rPr>
          <w:b/>
          <w:b/>
        </w:rPr>
      </w:pPr>
      <w:r>
        <w:rPr>
          <w:b/>
        </w:rPr>
      </w:r>
    </w:p>
    <w:p>
      <w:pPr>
        <w:pStyle w:val="Normal"/>
        <w:jc w:val="both"/>
        <w:rPr>
          <w:b/>
          <w:b/>
        </w:rPr>
      </w:pPr>
      <w:r>
        <w:rPr>
          <w:b/>
        </w:rPr>
      </w:r>
    </w:p>
    <w:p>
      <w:pPr>
        <w:pStyle w:val="Header"/>
        <w:jc w:val="both"/>
        <w:rPr>
          <w:b/>
          <w:b/>
        </w:rPr>
      </w:pPr>
      <w:r>
        <w:rPr>
          <w:b/>
        </w:rPr>
        <w:t>ET,</w:t>
      </w:r>
    </w:p>
    <w:p>
      <w:pPr>
        <w:pStyle w:val="Header"/>
        <w:jc w:val="both"/>
        <w:rPr/>
      </w:pPr>
      <w:r>
        <w:rPr/>
      </w:r>
    </w:p>
    <w:p>
      <w:pPr>
        <w:pStyle w:val="Header"/>
        <w:jc w:val="both"/>
        <w:rPr/>
      </w:pPr>
      <w:r>
        <w:rPr/>
      </w:r>
    </w:p>
    <w:p>
      <w:pPr>
        <w:pStyle w:val="Header"/>
        <w:numPr>
          <w:ilvl w:val="0"/>
          <w:numId w:val="2"/>
        </w:numPr>
        <w:spacing w:lineRule="auto" w:line="240"/>
        <w:jc w:val="both"/>
        <w:rPr>
          <w:lang w:val="fr-FR"/>
        </w:rPr>
      </w:pPr>
      <w:r>
        <w:rPr>
          <w:lang w:val="fr-FR"/>
        </w:rPr>
        <w:t>Les Délégués Syndicaux représentant les Organisations Syndicales représentatives au sein de l’entreprise,</w:t>
      </w:r>
    </w:p>
    <w:p>
      <w:pPr>
        <w:pStyle w:val="Header"/>
        <w:jc w:val="both"/>
        <w:rPr>
          <w:lang w:val="fr-FR"/>
        </w:rPr>
      </w:pPr>
      <w:r>
        <w:rPr>
          <w:lang w:val="fr-FR"/>
        </w:rPr>
      </w:r>
    </w:p>
    <w:p>
      <w:pPr>
        <w:pStyle w:val="Header"/>
        <w:jc w:val="both"/>
        <w:rPr>
          <w:lang w:val="fr-FR"/>
        </w:rPr>
      </w:pPr>
      <w:r>
        <w:rPr>
          <w:lang w:val="fr-FR"/>
        </w:rPr>
      </w:r>
    </w:p>
    <w:p>
      <w:pPr>
        <w:pStyle w:val="Header"/>
        <w:jc w:val="right"/>
        <w:rPr>
          <w:b/>
          <w:b/>
          <w:lang w:val="fr-FR"/>
        </w:rPr>
      </w:pPr>
      <w:r>
        <w:rPr>
          <w:b/>
          <w:lang w:val="fr-FR"/>
        </w:rPr>
        <w:t>D’AUTRE PART,</w:t>
      </w:r>
    </w:p>
    <w:p>
      <w:pPr>
        <w:pStyle w:val="Header"/>
        <w:jc w:val="both"/>
        <w:rPr>
          <w:b/>
          <w:b/>
          <w:lang w:val="fr-FR"/>
        </w:rPr>
      </w:pPr>
      <w:r>
        <w:rPr>
          <w:b/>
          <w:lang w:val="fr-FR"/>
        </w:rPr>
      </w:r>
    </w:p>
    <w:p>
      <w:pPr>
        <w:pStyle w:val="Header"/>
        <w:jc w:val="both"/>
        <w:rPr>
          <w:lang w:val="fr-FR"/>
        </w:rPr>
      </w:pPr>
      <w:r>
        <w:rPr>
          <w:lang w:val="fr-FR"/>
        </w:rPr>
      </w:r>
    </w:p>
    <w:p>
      <w:pPr>
        <w:pStyle w:val="Header"/>
        <w:jc w:val="both"/>
        <w:rPr>
          <w:lang w:val="fr-FR"/>
        </w:rPr>
      </w:pPr>
      <w:r>
        <w:rPr>
          <w:lang w:val="fr-FR"/>
        </w:rPr>
      </w:r>
    </w:p>
    <w:p>
      <w:pPr>
        <w:pStyle w:val="Header"/>
        <w:jc w:val="both"/>
        <w:rPr>
          <w:lang w:val="fr-FR"/>
        </w:rPr>
      </w:pPr>
      <w:r>
        <w:rPr>
          <w:lang w:val="fr-FR"/>
        </w:rPr>
        <w:t>La Direction et les Organisations Syndicales représentatives au sein de l’entreprise se sont rencontrées au cours de plusieurs réunions de négociations qui ont eu lieu les 1er, 21 et 28 février 2022 et 03 mars 2022, dans le cadre de la négociation annuelle sur la rémunération, le temps de travail et le partage de la valeur ajoutée dans l’entreprise prévue par les articles L.2242-1 et suivants du Code du Travail.</w:t>
      </w:r>
    </w:p>
    <w:p>
      <w:pPr>
        <w:pStyle w:val="Header"/>
        <w:jc w:val="both"/>
        <w:rPr>
          <w:lang w:val="fr-FR"/>
        </w:rPr>
      </w:pPr>
      <w:r>
        <w:rPr>
          <w:lang w:val="fr-FR"/>
        </w:rPr>
      </w:r>
    </w:p>
    <w:p>
      <w:pPr>
        <w:pStyle w:val="Header"/>
        <w:jc w:val="both"/>
        <w:rPr>
          <w:lang w:val="fr-FR"/>
        </w:rPr>
      </w:pPr>
      <w:r>
        <w:rPr>
          <w:lang w:val="fr-FR"/>
        </w:rPr>
      </w:r>
    </w:p>
    <w:p>
      <w:pPr>
        <w:pStyle w:val="Header"/>
        <w:jc w:val="both"/>
        <w:rPr>
          <w:lang w:val="fr-FR"/>
        </w:rPr>
      </w:pPr>
      <w:r>
        <w:rPr>
          <w:lang w:val="fr-FR"/>
        </w:rPr>
      </w:r>
    </w:p>
    <w:p>
      <w:pPr>
        <w:pStyle w:val="Header"/>
        <w:jc w:val="center"/>
        <w:rPr>
          <w:lang w:val="fr-FR"/>
        </w:rPr>
      </w:pPr>
      <w:r>
        <w:rPr>
          <w:lang w:val="fr-FR"/>
        </w:rPr>
      </w:r>
    </w:p>
    <w:p>
      <w:pPr>
        <w:pStyle w:val="Header"/>
        <w:jc w:val="center"/>
        <w:rPr>
          <w:b/>
          <w:b/>
          <w:sz w:val="28"/>
          <w:lang w:val="fr-FR"/>
        </w:rPr>
      </w:pPr>
      <w:r>
        <w:rPr>
          <w:b/>
          <w:sz w:val="28"/>
          <w:lang w:val="fr-FR"/>
        </w:rPr>
        <w:t>IL A ETE CONVENU ET ARRETE CE QUI SUIT:</w:t>
      </w:r>
    </w:p>
    <w:p>
      <w:pPr>
        <w:pStyle w:val="Header"/>
        <w:jc w:val="center"/>
        <w:rPr>
          <w:b/>
          <w:b/>
          <w:sz w:val="28"/>
          <w:lang w:val="fr-FR"/>
        </w:rPr>
      </w:pPr>
      <w:r>
        <w:rPr>
          <w:b/>
          <w:sz w:val="28"/>
          <w:lang w:val="fr-FR"/>
        </w:rPr>
      </w:r>
    </w:p>
    <w:p>
      <w:pPr>
        <w:pStyle w:val="Header"/>
        <w:jc w:val="center"/>
        <w:rPr>
          <w:b/>
          <w:b/>
          <w:sz w:val="28"/>
          <w:lang w:val="fr-FR"/>
        </w:rPr>
      </w:pPr>
      <w:r>
        <w:rPr>
          <w:b/>
          <w:sz w:val="28"/>
          <w:lang w:val="fr-FR"/>
        </w:rPr>
      </w:r>
    </w:p>
    <w:p>
      <w:pPr>
        <w:pStyle w:val="Header"/>
        <w:jc w:val="center"/>
        <w:rPr>
          <w:b/>
          <w:b/>
          <w:sz w:val="28"/>
          <w:lang w:val="fr-FR"/>
        </w:rPr>
      </w:pPr>
      <w:r>
        <w:rPr>
          <w:b/>
          <w:sz w:val="28"/>
          <w:lang w:val="fr-FR"/>
        </w:rPr>
      </w:r>
    </w:p>
    <w:p>
      <w:pPr>
        <w:pStyle w:val="Header"/>
        <w:jc w:val="center"/>
        <w:rPr>
          <w:b/>
          <w:b/>
          <w:sz w:val="28"/>
          <w:lang w:val="fr-FR"/>
        </w:rPr>
      </w:pPr>
      <w:r>
        <w:rPr>
          <w:b/>
          <w:sz w:val="28"/>
          <w:lang w:val="fr-FR"/>
        </w:rPr>
      </w:r>
    </w:p>
    <w:p>
      <w:pPr>
        <w:pStyle w:val="Header"/>
        <w:jc w:val="center"/>
        <w:rPr>
          <w:b/>
          <w:b/>
          <w:sz w:val="28"/>
          <w:lang w:val="fr-FR"/>
        </w:rPr>
      </w:pPr>
      <w:r>
        <w:rPr>
          <w:b/>
          <w:sz w:val="28"/>
          <w:lang w:val="fr-FR"/>
        </w:rPr>
      </w:r>
    </w:p>
    <w:p>
      <w:pPr>
        <w:pStyle w:val="Header"/>
        <w:jc w:val="both"/>
        <w:rPr>
          <w:b/>
          <w:b/>
          <w:sz w:val="28"/>
          <w:lang w:val="fr-FR"/>
        </w:rPr>
      </w:pPr>
      <w:r>
        <w:rPr>
          <w:b/>
          <w:sz w:val="28"/>
          <w:lang w:val="fr-FR"/>
        </w:rPr>
      </w:r>
    </w:p>
    <w:p>
      <w:pPr>
        <w:pStyle w:val="Header"/>
        <w:jc w:val="both"/>
        <w:rPr>
          <w:lang w:val="fr-FR"/>
        </w:rPr>
      </w:pPr>
      <w:r>
        <w:rPr>
          <w:lang w:val="fr-FR"/>
        </w:rPr>
      </w:r>
    </w:p>
    <w:p>
      <w:pPr>
        <w:pStyle w:val="Header"/>
        <w:jc w:val="both"/>
        <w:rPr>
          <w:lang w:val="fr-FR"/>
        </w:rPr>
      </w:pPr>
      <w:r>
        <w:rPr>
          <w:lang w:val="fr-FR"/>
        </w:rPr>
      </w:r>
    </w:p>
    <w:p>
      <w:pPr>
        <w:pStyle w:val="Header"/>
        <w:pBdr>
          <w:top w:val="single" w:sz="8" w:space="1" w:color="000000"/>
          <w:left w:val="single" w:sz="8" w:space="0" w:color="000000"/>
          <w:bottom w:val="single" w:sz="8" w:space="1" w:color="000000"/>
          <w:right w:val="single" w:sz="8" w:space="4" w:color="000000"/>
        </w:pBdr>
        <w:shd w:fill="C0C0C0" w:val="clear"/>
        <w:jc w:val="center"/>
        <w:rPr>
          <w:b/>
          <w:b/>
          <w:sz w:val="28"/>
          <w:shd w:fill="C0C0C0" w:val="clear"/>
          <w:lang w:val="fr-FR"/>
        </w:rPr>
      </w:pPr>
      <w:r>
        <w:rPr>
          <w:b/>
          <w:sz w:val="28"/>
          <w:shd w:fill="C0C0C0" w:val="clear"/>
          <w:lang w:val="fr-FR"/>
        </w:rPr>
      </w:r>
    </w:p>
    <w:p>
      <w:pPr>
        <w:pStyle w:val="Header"/>
        <w:pBdr>
          <w:top w:val="single" w:sz="8" w:space="1" w:color="000000"/>
          <w:left w:val="single" w:sz="8" w:space="0" w:color="000000"/>
          <w:bottom w:val="single" w:sz="8" w:space="1" w:color="000000"/>
          <w:right w:val="single" w:sz="8" w:space="4" w:color="000000"/>
        </w:pBdr>
        <w:shd w:fill="C0C0C0" w:val="clear"/>
        <w:jc w:val="center"/>
        <w:rPr>
          <w:b/>
          <w:b/>
          <w:sz w:val="28"/>
          <w:shd w:fill="C0C0C0" w:val="clear"/>
          <w:lang w:val="fr-FR"/>
        </w:rPr>
      </w:pPr>
      <w:r>
        <w:rPr>
          <w:b/>
          <w:sz w:val="28"/>
          <w:shd w:fill="C0C0C0" w:val="clear"/>
          <w:lang w:val="fr-FR"/>
        </w:rPr>
        <w:t>Préambule</w:t>
      </w:r>
    </w:p>
    <w:p>
      <w:pPr>
        <w:pStyle w:val="Header"/>
        <w:pBdr>
          <w:top w:val="single" w:sz="8" w:space="1" w:color="000000"/>
          <w:left w:val="single" w:sz="8" w:space="0" w:color="000000"/>
          <w:bottom w:val="single" w:sz="8" w:space="1" w:color="000000"/>
          <w:right w:val="single" w:sz="8" w:space="4" w:color="000000"/>
        </w:pBdr>
        <w:shd w:fill="C0C0C0" w:val="clear"/>
        <w:jc w:val="center"/>
        <w:rPr>
          <w:b/>
          <w:b/>
          <w:sz w:val="28"/>
          <w:shd w:fill="C0C0C0" w:val="clear"/>
          <w:lang w:val="fr-FR"/>
        </w:rPr>
      </w:pPr>
      <w:r>
        <w:rPr>
          <w:b/>
          <w:sz w:val="28"/>
          <w:shd w:fill="C0C0C0" w:val="clear"/>
          <w:lang w:val="fr-FR"/>
        </w:rPr>
      </w:r>
    </w:p>
    <w:p>
      <w:pPr>
        <w:pStyle w:val="Header"/>
        <w:jc w:val="both"/>
        <w:rPr>
          <w:b/>
          <w:b/>
          <w:sz w:val="28"/>
          <w:u w:val="single"/>
          <w:lang w:val="fr-FR"/>
        </w:rPr>
      </w:pPr>
      <w:r>
        <w:rPr>
          <w:b/>
          <w:sz w:val="28"/>
          <w:u w:val="single"/>
          <w:lang w:val="fr-FR"/>
        </w:rPr>
      </w:r>
    </w:p>
    <w:p>
      <w:pPr>
        <w:pStyle w:val="Header"/>
        <w:jc w:val="both"/>
        <w:rPr/>
      </w:pPr>
      <w:r>
        <w:rPr>
          <w:b/>
          <w:u w:val="single"/>
          <w:lang w:val="fr-FR"/>
        </w:rPr>
        <w:t>Article 1 :</w:t>
      </w:r>
      <w:r>
        <w:rPr>
          <w:b/>
          <w:lang w:val="fr-FR"/>
        </w:rPr>
        <w:t xml:space="preserve"> Dispositions générales</w:t>
      </w:r>
    </w:p>
    <w:p>
      <w:pPr>
        <w:pStyle w:val="Header"/>
        <w:jc w:val="both"/>
        <w:rPr>
          <w:b/>
          <w:b/>
          <w:u w:val="single"/>
          <w:lang w:val="fr-FR"/>
        </w:rPr>
      </w:pPr>
      <w:r>
        <w:rPr>
          <w:b/>
          <w:u w:val="single"/>
          <w:lang w:val="fr-FR"/>
        </w:rPr>
      </w:r>
    </w:p>
    <w:p>
      <w:pPr>
        <w:pStyle w:val="Normal"/>
        <w:jc w:val="both"/>
        <w:rPr>
          <w:szCs w:val="22"/>
          <w:lang w:val="fr-FR"/>
        </w:rPr>
      </w:pPr>
      <w:r>
        <w:rPr>
          <w:szCs w:val="22"/>
          <w:lang w:val="fr-FR"/>
        </w:rPr>
        <w:t>Le 25 février 2022, l’ensemble des organisations syndicales représentatives C.F.D.T., C.F.E./C.G.C. et C.G.T. ainsi que la Direction de la société thyssenkrupp Electrical Steel UGO S.A.S. ont signé un accord collectif d’entreprise, à durée indéterminée, instituant le télétravail au sein de l’entreprise. Cet accord traduit la volonté des parties de prendre en compte les changements des modes d’organisation du travail en encrant le télétravail de façon pérenne tout en maintenant un lien important des salariés avec l’entreprise par une présence physique indispensable (hors crise sanitaire) au sein des locaux.</w:t>
      </w:r>
    </w:p>
    <w:p>
      <w:pPr>
        <w:pStyle w:val="Normal"/>
        <w:jc w:val="both"/>
        <w:rPr>
          <w:szCs w:val="22"/>
          <w:lang w:val="fr-FR"/>
        </w:rPr>
      </w:pPr>
      <w:r>
        <w:rPr>
          <w:szCs w:val="22"/>
          <w:lang w:val="fr-FR"/>
        </w:rPr>
      </w:r>
    </w:p>
    <w:p>
      <w:pPr>
        <w:pStyle w:val="Normal"/>
        <w:jc w:val="both"/>
        <w:rPr>
          <w:szCs w:val="22"/>
          <w:lang w:val="fr-FR"/>
        </w:rPr>
      </w:pPr>
      <w:r>
        <w:rPr>
          <w:szCs w:val="22"/>
          <w:lang w:val="fr-FR"/>
        </w:rPr>
        <w:t>Également, le 25 février 2022, l’ensemble des organisations syndicales représentatives C.F.D.T., C.F.E./C.G.C. et C.G.T. ainsi que la Direction de la société thyssenkrupp Electrical Steel UGO S.A.S. ont signé un avenant à l’accord collectif d’entreprise relatif au Compte Epargne Temps en augmentant les possibilités d’alimentation de ce dernier par les salariés.</w:t>
      </w:r>
    </w:p>
    <w:p>
      <w:pPr>
        <w:pStyle w:val="Normal"/>
        <w:jc w:val="both"/>
        <w:rPr>
          <w:szCs w:val="22"/>
          <w:lang w:val="fr-FR"/>
        </w:rPr>
      </w:pPr>
      <w:r>
        <w:rPr>
          <w:szCs w:val="22"/>
          <w:lang w:val="fr-FR"/>
        </w:rPr>
      </w:r>
    </w:p>
    <w:p>
      <w:pPr>
        <w:pStyle w:val="Normal"/>
        <w:jc w:val="both"/>
        <w:rPr>
          <w:szCs w:val="22"/>
          <w:lang w:val="fr-FR"/>
        </w:rPr>
      </w:pPr>
      <w:r>
        <w:rPr>
          <w:szCs w:val="22"/>
          <w:lang w:val="fr-FR"/>
        </w:rPr>
        <w:t>Enfin, l’ensemble des organisations syndicales représentatives et la Direction de la société thyssenkrupp Electrical Steel UGO S.A.S. se sont réunis à plusieurs reprises depuis plusieurs mois afin de négocier un nouvelle accord collectif d’entreprise sur l’intéressement pour les années civiles 2022, 2023 et 2024. A la date de rédaction du présent accord, les négociations sont toujours en cours.</w:t>
      </w:r>
    </w:p>
    <w:p>
      <w:pPr>
        <w:pStyle w:val="Normal"/>
        <w:jc w:val="both"/>
        <w:rPr>
          <w:szCs w:val="22"/>
          <w:lang w:val="fr-FR"/>
        </w:rPr>
      </w:pPr>
      <w:r>
        <w:rPr>
          <w:szCs w:val="22"/>
          <w:lang w:val="fr-FR"/>
        </w:rPr>
      </w:r>
    </w:p>
    <w:p>
      <w:pPr>
        <w:pStyle w:val="Header"/>
        <w:jc w:val="both"/>
        <w:rPr>
          <w:b/>
          <w:b/>
          <w:szCs w:val="22"/>
          <w:u w:val="single"/>
          <w:lang w:val="fr-FR"/>
        </w:rPr>
      </w:pPr>
      <w:r>
        <w:rPr>
          <w:b/>
          <w:szCs w:val="22"/>
          <w:u w:val="single"/>
          <w:lang w:val="fr-FR"/>
        </w:rPr>
      </w:r>
    </w:p>
    <w:p>
      <w:pPr>
        <w:pStyle w:val="Header"/>
        <w:pBdr>
          <w:top w:val="single" w:sz="8" w:space="1" w:color="000000"/>
          <w:left w:val="single" w:sz="8" w:space="0" w:color="000000"/>
          <w:bottom w:val="single" w:sz="8" w:space="1" w:color="000000"/>
          <w:right w:val="single" w:sz="8" w:space="4" w:color="000000"/>
        </w:pBdr>
        <w:shd w:fill="C0C0C0" w:val="clear"/>
        <w:jc w:val="center"/>
        <w:rPr>
          <w:b/>
          <w:b/>
          <w:sz w:val="28"/>
          <w:u w:val="single"/>
          <w:shd w:fill="C0C0C0" w:val="clear"/>
          <w:lang w:val="fr-FR"/>
        </w:rPr>
      </w:pPr>
      <w:r>
        <w:rPr>
          <w:b/>
          <w:sz w:val="28"/>
          <w:u w:val="single"/>
          <w:shd w:fill="C0C0C0" w:val="clear"/>
          <w:lang w:val="fr-FR"/>
        </w:rPr>
      </w:r>
    </w:p>
    <w:p>
      <w:pPr>
        <w:pStyle w:val="Header"/>
        <w:pBdr>
          <w:top w:val="single" w:sz="8" w:space="1" w:color="000000"/>
          <w:left w:val="single" w:sz="8" w:space="0" w:color="000000"/>
          <w:bottom w:val="single" w:sz="8" w:space="1" w:color="000000"/>
          <w:right w:val="single" w:sz="8" w:space="4" w:color="000000"/>
        </w:pBdr>
        <w:shd w:fill="C0C0C0" w:val="clear"/>
        <w:jc w:val="center"/>
        <w:rPr>
          <w:b/>
          <w:b/>
          <w:sz w:val="28"/>
          <w:shd w:fill="C0C0C0" w:val="clear"/>
          <w:lang w:val="fr-FR"/>
        </w:rPr>
      </w:pPr>
      <w:r>
        <w:rPr>
          <w:b/>
          <w:sz w:val="28"/>
          <w:shd w:fill="C0C0C0" w:val="clear"/>
          <w:lang w:val="fr-FR"/>
        </w:rPr>
        <w:t>Titre 1 : Mesures salariales</w:t>
      </w:r>
    </w:p>
    <w:p>
      <w:pPr>
        <w:pStyle w:val="Header"/>
        <w:pBdr>
          <w:top w:val="single" w:sz="8" w:space="1" w:color="000000"/>
          <w:left w:val="single" w:sz="8" w:space="0" w:color="000000"/>
          <w:bottom w:val="single" w:sz="8" w:space="1" w:color="000000"/>
          <w:right w:val="single" w:sz="8" w:space="4" w:color="000000"/>
        </w:pBdr>
        <w:shd w:fill="C0C0C0" w:val="clear"/>
        <w:jc w:val="center"/>
        <w:rPr>
          <w:b/>
          <w:b/>
          <w:sz w:val="28"/>
          <w:shd w:fill="C0C0C0" w:val="clear"/>
          <w:lang w:val="fr-FR"/>
        </w:rPr>
      </w:pPr>
      <w:r>
        <w:rPr>
          <w:b/>
          <w:sz w:val="28"/>
          <w:shd w:fill="C0C0C0" w:val="clear"/>
          <w:lang w:val="fr-FR"/>
        </w:rPr>
      </w:r>
    </w:p>
    <w:p>
      <w:pPr>
        <w:pStyle w:val="Header"/>
        <w:tabs>
          <w:tab w:val="left" w:pos="2040" w:leader="none"/>
        </w:tabs>
        <w:jc w:val="both"/>
        <w:rPr>
          <w:b/>
          <w:b/>
          <w:sz w:val="28"/>
          <w:u w:val="single"/>
          <w:shd w:fill="C0C0C0" w:val="clear"/>
          <w:lang w:val="fr-FR"/>
        </w:rPr>
      </w:pPr>
      <w:r>
        <w:rPr>
          <w:b/>
          <w:sz w:val="28"/>
          <w:u w:val="single"/>
          <w:shd w:fill="C0C0C0" w:val="clear"/>
          <w:lang w:val="fr-FR"/>
        </w:rPr>
      </w:r>
    </w:p>
    <w:p>
      <w:pPr>
        <w:pStyle w:val="Header"/>
        <w:tabs>
          <w:tab w:val="left" w:pos="2040" w:leader="none"/>
        </w:tabs>
        <w:jc w:val="both"/>
        <w:rPr>
          <w:lang w:val="fr-FR"/>
        </w:rPr>
      </w:pPr>
      <w:r>
        <w:rPr>
          <w:lang w:val="fr-FR"/>
        </w:rPr>
        <w:t>Les dispositions du présent titre s’appliquent à l’ensemble du personnel de la société thyssenkrupp Electrical Steel UGO S.A.S., en CDI ou CDD, ouvriers, ETAM et Cadres, inscrit et présent aux effectifs à la date de signature du présent accord.</w:t>
      </w:r>
    </w:p>
    <w:p>
      <w:pPr>
        <w:pStyle w:val="Header"/>
        <w:tabs>
          <w:tab w:val="left" w:pos="2040" w:leader="none"/>
        </w:tabs>
        <w:jc w:val="both"/>
        <w:rPr>
          <w:u w:val="single"/>
          <w:lang w:val="fr-FR"/>
        </w:rPr>
      </w:pPr>
      <w:r>
        <w:rPr>
          <w:u w:val="single"/>
          <w:lang w:val="fr-FR"/>
        </w:rPr>
      </w:r>
    </w:p>
    <w:p>
      <w:pPr>
        <w:pStyle w:val="Header"/>
        <w:jc w:val="both"/>
        <w:rPr>
          <w:b/>
          <w:b/>
          <w:u w:val="single"/>
          <w:lang w:val="fr-FR"/>
        </w:rPr>
      </w:pPr>
      <w:r>
        <w:rPr>
          <w:b/>
          <w:u w:val="single"/>
          <w:lang w:val="fr-FR"/>
        </w:rPr>
        <w:t>Article 2 :</w:t>
      </w:r>
      <w:r>
        <w:rPr>
          <w:b/>
          <w:lang w:val="fr-FR"/>
        </w:rPr>
        <w:t xml:space="preserve"> Augmentations Générales</w:t>
      </w:r>
    </w:p>
    <w:p>
      <w:pPr>
        <w:pStyle w:val="Normal"/>
        <w:ind w:left="720" w:hanging="0"/>
        <w:jc w:val="both"/>
        <w:rPr>
          <w:b/>
          <w:b/>
          <w:szCs w:val="22"/>
          <w:u w:val="single"/>
          <w:lang w:val="fr-FR"/>
        </w:rPr>
      </w:pPr>
      <w:r>
        <w:rPr>
          <w:b/>
          <w:szCs w:val="22"/>
          <w:u w:val="single"/>
          <w:lang w:val="fr-FR"/>
        </w:rPr>
      </w:r>
    </w:p>
    <w:p>
      <w:pPr>
        <w:pStyle w:val="Normal"/>
        <w:jc w:val="both"/>
        <w:rPr>
          <w:szCs w:val="22"/>
          <w:lang w:val="fr-FR"/>
        </w:rPr>
      </w:pPr>
      <w:r>
        <w:rPr>
          <w:szCs w:val="22"/>
          <w:lang w:val="fr-FR"/>
        </w:rPr>
        <w:t>Au titre des Augmentations Générales, il est attribué :</w:t>
      </w:r>
    </w:p>
    <w:p>
      <w:pPr>
        <w:pStyle w:val="Normal"/>
        <w:numPr>
          <w:ilvl w:val="0"/>
          <w:numId w:val="2"/>
        </w:numPr>
        <w:jc w:val="both"/>
        <w:rPr>
          <w:szCs w:val="22"/>
          <w:lang w:val="fr-FR"/>
        </w:rPr>
      </w:pPr>
      <w:r>
        <w:rPr>
          <w:szCs w:val="22"/>
          <w:lang w:val="fr-FR"/>
        </w:rPr>
        <w:t xml:space="preserve">au </w:t>
      </w:r>
      <w:r>
        <w:rPr>
          <w:b/>
          <w:szCs w:val="22"/>
          <w:lang w:val="fr-FR"/>
        </w:rPr>
        <w:t>1er janvier 2022 </w:t>
      </w:r>
      <w:r>
        <w:rPr>
          <w:szCs w:val="22"/>
          <w:lang w:val="fr-FR"/>
        </w:rPr>
        <w:t xml:space="preserve">: </w:t>
      </w:r>
      <w:r>
        <w:rPr>
          <w:b/>
          <w:szCs w:val="22"/>
          <w:lang w:val="fr-FR"/>
        </w:rPr>
        <w:t>+ 3,8%</w:t>
      </w:r>
      <w:r>
        <w:rPr>
          <w:szCs w:val="22"/>
          <w:lang w:val="fr-FR"/>
        </w:rPr>
        <w:t xml:space="preserve"> brut sur la grille des salaires de base au 1er novembre 2021 + part individuelle au 1er décembre 2021. Cette augmentation s’effectuera avec </w:t>
      </w:r>
      <w:r>
        <w:rPr>
          <w:b/>
          <w:szCs w:val="22"/>
          <w:lang w:val="fr-FR"/>
        </w:rPr>
        <w:t>un talon de 70 euros bruts</w:t>
      </w:r>
      <w:r>
        <w:rPr>
          <w:szCs w:val="22"/>
          <w:lang w:val="fr-FR"/>
        </w:rPr>
        <w:t xml:space="preserve">. </w:t>
      </w:r>
    </w:p>
    <w:p>
      <w:pPr>
        <w:pStyle w:val="Normal"/>
        <w:jc w:val="both"/>
        <w:rPr>
          <w:szCs w:val="22"/>
          <w:lang w:val="fr-FR"/>
        </w:rPr>
      </w:pPr>
      <w:r>
        <w:rPr>
          <w:szCs w:val="22"/>
          <w:lang w:val="fr-FR"/>
        </w:rPr>
      </w:r>
    </w:p>
    <w:p>
      <w:pPr>
        <w:pStyle w:val="Header"/>
        <w:jc w:val="both"/>
        <w:rPr>
          <w:b/>
          <w:b/>
          <w:u w:val="single"/>
          <w:lang w:val="fr-FR"/>
        </w:rPr>
      </w:pPr>
      <w:r>
        <w:rPr>
          <w:b/>
          <w:u w:val="single"/>
          <w:lang w:val="fr-FR"/>
        </w:rPr>
        <w:t>Article 3 :</w:t>
      </w:r>
      <w:r>
        <w:rPr>
          <w:b/>
          <w:lang w:val="fr-FR"/>
        </w:rPr>
        <w:t xml:space="preserve"> Augmentations Individuelles</w:t>
      </w:r>
    </w:p>
    <w:p>
      <w:pPr>
        <w:pStyle w:val="Normal"/>
        <w:jc w:val="both"/>
        <w:rPr>
          <w:b/>
          <w:b/>
          <w:szCs w:val="22"/>
          <w:u w:val="single"/>
          <w:lang w:val="fr-FR"/>
        </w:rPr>
      </w:pPr>
      <w:r>
        <w:rPr>
          <w:b/>
          <w:szCs w:val="22"/>
          <w:u w:val="single"/>
          <w:lang w:val="fr-FR"/>
        </w:rPr>
      </w:r>
    </w:p>
    <w:p>
      <w:pPr>
        <w:pStyle w:val="Normal"/>
        <w:jc w:val="both"/>
        <w:rPr>
          <w:szCs w:val="22"/>
          <w:lang w:val="fr-FR"/>
        </w:rPr>
      </w:pPr>
      <w:r>
        <w:rPr>
          <w:szCs w:val="22"/>
          <w:lang w:val="fr-FR"/>
        </w:rPr>
        <w:t xml:space="preserve">Ce crédit sera de </w:t>
      </w:r>
      <w:r>
        <w:rPr>
          <w:b/>
          <w:szCs w:val="22"/>
          <w:lang w:val="fr-FR"/>
        </w:rPr>
        <w:t>0,2%</w:t>
      </w:r>
      <w:r>
        <w:rPr>
          <w:szCs w:val="22"/>
          <w:lang w:val="fr-FR"/>
        </w:rPr>
        <w:t xml:space="preserve"> brut du montant des salaires de base et part individuelle pour l’année </w:t>
      </w:r>
      <w:r>
        <w:rPr>
          <w:b/>
          <w:szCs w:val="22"/>
          <w:lang w:val="fr-FR"/>
        </w:rPr>
        <w:t xml:space="preserve">2022. </w:t>
      </w:r>
      <w:r>
        <w:rPr>
          <w:szCs w:val="22"/>
          <w:lang w:val="fr-FR"/>
        </w:rPr>
        <w:t xml:space="preserve">Les augmentations individuelles seront distribuées dans le cadre de la paie du mois de </w:t>
      </w:r>
      <w:r>
        <w:rPr>
          <w:b/>
          <w:szCs w:val="22"/>
          <w:lang w:val="fr-FR"/>
        </w:rPr>
        <w:t>novembre 2022</w:t>
      </w:r>
      <w:r>
        <w:rPr>
          <w:szCs w:val="22"/>
          <w:lang w:val="fr-FR"/>
        </w:rPr>
        <w:t>.</w:t>
      </w:r>
    </w:p>
    <w:p>
      <w:pPr>
        <w:pStyle w:val="Normal"/>
        <w:jc w:val="both"/>
        <w:rPr>
          <w:szCs w:val="22"/>
          <w:lang w:val="fr-FR"/>
        </w:rPr>
      </w:pPr>
      <w:r>
        <w:rPr>
          <w:szCs w:val="22"/>
          <w:lang w:val="fr-FR"/>
        </w:rPr>
      </w:r>
    </w:p>
    <w:p>
      <w:pPr>
        <w:pStyle w:val="Normal"/>
        <w:jc w:val="both"/>
        <w:rPr>
          <w:szCs w:val="22"/>
          <w:lang w:val="fr-FR"/>
        </w:rPr>
      </w:pPr>
      <w:r>
        <w:rPr>
          <w:szCs w:val="22"/>
          <w:lang w:val="fr-FR"/>
        </w:rPr>
        <w:t>La Direction de la société thyssenkrupp Electrical Steel UGO, au cours d’une réunion spécifique organisée lors du quatrième trimestre de l’année 2022, présentera aux organisations syndicales signataires du présent accord, la répartition par service des Augmentations Individuelles.</w:t>
      </w:r>
    </w:p>
    <w:p>
      <w:pPr>
        <w:pStyle w:val="Normal"/>
        <w:jc w:val="both"/>
        <w:rPr>
          <w:szCs w:val="22"/>
          <w:lang w:val="fr-FR"/>
        </w:rPr>
      </w:pPr>
      <w:r>
        <w:rPr>
          <w:szCs w:val="22"/>
          <w:lang w:val="fr-FR"/>
        </w:rPr>
      </w:r>
    </w:p>
    <w:p>
      <w:pPr>
        <w:pStyle w:val="Normal"/>
        <w:ind w:left="360" w:hanging="0"/>
        <w:jc w:val="both"/>
        <w:rPr>
          <w:szCs w:val="22"/>
          <w:lang w:val="fr-FR"/>
        </w:rPr>
      </w:pPr>
      <w:r>
        <w:rPr>
          <w:szCs w:val="22"/>
          <w:lang w:val="fr-FR"/>
        </w:rPr>
      </w:r>
    </w:p>
    <w:p>
      <w:pPr>
        <w:pStyle w:val="Normal"/>
        <w:ind w:left="360" w:hanging="0"/>
        <w:jc w:val="both"/>
        <w:rPr>
          <w:szCs w:val="22"/>
          <w:lang w:val="fr-FR"/>
        </w:rPr>
      </w:pPr>
      <w:r>
        <w:rPr>
          <w:szCs w:val="22"/>
          <w:lang w:val="fr-FR"/>
        </w:rPr>
      </w:r>
    </w:p>
    <w:p>
      <w:pPr>
        <w:pStyle w:val="Header"/>
        <w:jc w:val="both"/>
        <w:rPr>
          <w:b/>
          <w:b/>
          <w:u w:val="single"/>
          <w:lang w:val="fr-FR"/>
        </w:rPr>
      </w:pPr>
      <w:r>
        <w:rPr>
          <w:b/>
          <w:u w:val="single"/>
          <w:lang w:val="fr-FR"/>
        </w:rPr>
        <w:t>Article 4 :</w:t>
      </w:r>
      <w:r>
        <w:rPr>
          <w:b/>
          <w:lang w:val="fr-FR"/>
        </w:rPr>
        <w:t xml:space="preserve"> Prime exceptionnelle équivalente à une journée de travail</w:t>
      </w:r>
    </w:p>
    <w:p>
      <w:pPr>
        <w:pStyle w:val="Normal"/>
        <w:jc w:val="both"/>
        <w:rPr>
          <w:b/>
          <w:b/>
          <w:szCs w:val="22"/>
          <w:u w:val="single"/>
          <w:lang w:val="fr-FR"/>
        </w:rPr>
      </w:pPr>
      <w:r>
        <w:rPr>
          <w:b/>
          <w:szCs w:val="22"/>
          <w:u w:val="single"/>
          <w:lang w:val="fr-FR"/>
        </w:rPr>
      </w:r>
    </w:p>
    <w:p>
      <w:pPr>
        <w:pStyle w:val="Normal"/>
        <w:jc w:val="both"/>
        <w:rPr/>
      </w:pPr>
      <w:r>
        <w:rPr>
          <w:szCs w:val="22"/>
          <w:lang w:val="fr-FR"/>
        </w:rPr>
        <w:t>L’ensemble des salariés de la société thyssenkrupp Electrical Steel UGO S.A.S. percevra une prime exceptionnelle brute équivalente à une journée de travail (*) au taux horaire maintien de salaire du salarié.</w:t>
      </w:r>
    </w:p>
    <w:p>
      <w:pPr>
        <w:pStyle w:val="Normal"/>
        <w:jc w:val="both"/>
        <w:rPr>
          <w:szCs w:val="22"/>
          <w:lang w:val="fr-FR"/>
        </w:rPr>
      </w:pPr>
      <w:r>
        <w:rPr>
          <w:szCs w:val="22"/>
          <w:lang w:val="fr-FR"/>
        </w:rPr>
      </w:r>
    </w:p>
    <w:p>
      <w:pPr>
        <w:pStyle w:val="Normal"/>
        <w:jc w:val="both"/>
        <w:rPr>
          <w:szCs w:val="22"/>
          <w:lang w:val="fr-FR"/>
        </w:rPr>
      </w:pPr>
      <w:r>
        <w:rPr>
          <w:szCs w:val="22"/>
          <w:lang w:val="fr-FR"/>
        </w:rPr>
        <w:t>Les salariés percevront cette prime dans le cadre de la paie d’avril 2022.</w:t>
      </w:r>
    </w:p>
    <w:p>
      <w:pPr>
        <w:pStyle w:val="Normal"/>
        <w:jc w:val="both"/>
        <w:rPr>
          <w:szCs w:val="22"/>
          <w:lang w:val="fr-FR"/>
        </w:rPr>
      </w:pPr>
      <w:r>
        <w:rPr>
          <w:szCs w:val="22"/>
          <w:lang w:val="fr-FR"/>
        </w:rPr>
      </w:r>
    </w:p>
    <w:p>
      <w:pPr>
        <w:pStyle w:val="Normal"/>
        <w:jc w:val="both"/>
        <w:rPr/>
      </w:pPr>
      <w:r>
        <w:rPr>
          <w:szCs w:val="22"/>
          <w:lang w:val="fr-FR"/>
        </w:rPr>
        <w:t>Les salariés ne souhaitant pas percevoir cette prime en argent devront l’indiquer d’ici le 31 mars 2022 au plus tard selon un fichier qui sera communiqué aux contremaîtres et managers afin de connaître le choix (numéraire ou temps) de chaque salarié. Cette prime sera alors convertie en temps (soit l’équivalent d’une journée de travail) et mise dans un compteur spécifique appelé « journée supplémentaire ». Cette journée en temps sera à prendre avant le 31 décembre 2022.</w:t>
      </w:r>
    </w:p>
    <w:p>
      <w:pPr>
        <w:pStyle w:val="Normal"/>
        <w:jc w:val="both"/>
        <w:rPr>
          <w:sz w:val="24"/>
          <w:szCs w:val="24"/>
          <w:lang w:val="fr-FR"/>
        </w:rPr>
      </w:pPr>
      <w:r>
        <w:rPr>
          <w:rFonts w:eastAsia="TKTypeRegular"/>
          <w:szCs w:val="22"/>
          <w:lang w:val="fr-FR"/>
        </w:rPr>
        <w:t xml:space="preserve"> </w:t>
      </w:r>
    </w:p>
    <w:p>
      <w:pPr>
        <w:pStyle w:val="Normal"/>
        <w:jc w:val="both"/>
        <w:rPr/>
      </w:pPr>
      <w:r>
        <w:rPr>
          <w:i/>
          <w:sz w:val="20"/>
          <w:lang w:val="fr-FR"/>
        </w:rPr>
        <w:t>(*) : une journée de travail valorisée à 7h pour les régimes de Jour et 7h67 pour les régimes postés.</w:t>
      </w:r>
    </w:p>
    <w:p>
      <w:pPr>
        <w:pStyle w:val="Normal"/>
        <w:jc w:val="both"/>
        <w:rPr>
          <w:i/>
          <w:i/>
          <w:sz w:val="20"/>
          <w:szCs w:val="22"/>
          <w:lang w:val="fr-FR"/>
        </w:rPr>
      </w:pPr>
      <w:r>
        <w:rPr>
          <w:i/>
          <w:sz w:val="20"/>
          <w:szCs w:val="22"/>
          <w:lang w:val="fr-FR"/>
        </w:rPr>
      </w:r>
    </w:p>
    <w:p>
      <w:pPr>
        <w:pStyle w:val="Header"/>
        <w:jc w:val="both"/>
        <w:rPr>
          <w:b/>
          <w:b/>
          <w:u w:val="single"/>
          <w:lang w:val="fr-FR"/>
        </w:rPr>
      </w:pPr>
      <w:r>
        <w:rPr>
          <w:b/>
          <w:u w:val="single"/>
          <w:lang w:val="fr-FR"/>
        </w:rPr>
        <w:t>Article 5 :</w:t>
      </w:r>
      <w:r>
        <w:rPr>
          <w:b/>
          <w:lang w:val="fr-FR"/>
        </w:rPr>
        <w:t xml:space="preserve"> Prime exceptionnelle </w:t>
      </w:r>
    </w:p>
    <w:p>
      <w:pPr>
        <w:pStyle w:val="Normal"/>
        <w:jc w:val="both"/>
        <w:rPr>
          <w:b/>
          <w:b/>
          <w:szCs w:val="22"/>
          <w:u w:val="single"/>
          <w:lang w:val="fr-FR"/>
        </w:rPr>
      </w:pPr>
      <w:r>
        <w:rPr>
          <w:b/>
          <w:szCs w:val="22"/>
          <w:u w:val="single"/>
          <w:lang w:val="fr-FR"/>
        </w:rPr>
      </w:r>
    </w:p>
    <w:p>
      <w:pPr>
        <w:pStyle w:val="Normal"/>
        <w:jc w:val="both"/>
        <w:rPr>
          <w:szCs w:val="22"/>
          <w:lang w:val="fr-FR"/>
        </w:rPr>
      </w:pPr>
      <w:r>
        <w:rPr>
          <w:szCs w:val="22"/>
          <w:lang w:val="fr-FR"/>
        </w:rPr>
        <w:t xml:space="preserve">L’ensemble des salariés de la société thyssenkrupp Electrical Steel UGO S.A.S. percevra une prime exceptionnelle de 650 euros bruts. </w:t>
      </w:r>
    </w:p>
    <w:p>
      <w:pPr>
        <w:pStyle w:val="Normal"/>
        <w:jc w:val="both"/>
        <w:rPr>
          <w:szCs w:val="22"/>
          <w:lang w:val="fr-FR"/>
        </w:rPr>
      </w:pPr>
      <w:r>
        <w:rPr>
          <w:szCs w:val="22"/>
          <w:lang w:val="fr-FR"/>
        </w:rPr>
      </w:r>
    </w:p>
    <w:p>
      <w:pPr>
        <w:pStyle w:val="Normal"/>
        <w:jc w:val="both"/>
        <w:rPr>
          <w:szCs w:val="22"/>
          <w:lang w:val="fr-FR"/>
        </w:rPr>
      </w:pPr>
      <w:r>
        <w:rPr>
          <w:szCs w:val="22"/>
          <w:lang w:val="fr-FR"/>
        </w:rPr>
        <w:t>Les salariés percevront cette prime dans le cadre de la paie de mars 2022.</w:t>
      </w:r>
    </w:p>
    <w:p>
      <w:pPr>
        <w:pStyle w:val="Normal"/>
        <w:jc w:val="both"/>
        <w:rPr>
          <w:szCs w:val="22"/>
          <w:lang w:val="fr-FR"/>
        </w:rPr>
      </w:pPr>
      <w:r>
        <w:rPr>
          <w:szCs w:val="22"/>
          <w:lang w:val="fr-FR"/>
        </w:rPr>
      </w:r>
    </w:p>
    <w:p>
      <w:pPr>
        <w:pStyle w:val="Normal"/>
        <w:jc w:val="both"/>
        <w:rPr>
          <w:szCs w:val="22"/>
          <w:lang w:val="fr-FR"/>
        </w:rPr>
      </w:pPr>
      <w:r>
        <w:rPr>
          <w:szCs w:val="22"/>
          <w:lang w:val="fr-FR"/>
        </w:rPr>
        <w:t>Le montant de la prime est uniforme et ne sera pas proratisé en fonction du temps de travail des salariés</w:t>
      </w:r>
    </w:p>
    <w:p>
      <w:pPr>
        <w:pStyle w:val="Header"/>
        <w:jc w:val="both"/>
        <w:rPr>
          <w:b/>
          <w:b/>
          <w:szCs w:val="22"/>
          <w:u w:val="single"/>
          <w:lang w:val="fr-FR"/>
        </w:rPr>
      </w:pPr>
      <w:r>
        <w:rPr>
          <w:b/>
          <w:szCs w:val="22"/>
          <w:u w:val="single"/>
          <w:lang w:val="fr-FR"/>
        </w:rPr>
      </w:r>
    </w:p>
    <w:p>
      <w:pPr>
        <w:pStyle w:val="Header"/>
        <w:jc w:val="both"/>
        <w:rPr>
          <w:b/>
          <w:b/>
          <w:u w:val="single"/>
          <w:lang w:val="fr-FR"/>
        </w:rPr>
      </w:pPr>
      <w:r>
        <w:rPr>
          <w:b/>
          <w:u w:val="single"/>
          <w:lang w:val="fr-FR"/>
        </w:rPr>
        <w:t>Article 6 :</w:t>
      </w:r>
      <w:r>
        <w:rPr>
          <w:b/>
          <w:lang w:val="fr-FR"/>
        </w:rPr>
        <w:t xml:space="preserve"> Prime exceptionnelle relative à la qualité</w:t>
      </w:r>
    </w:p>
    <w:p>
      <w:pPr>
        <w:pStyle w:val="Header"/>
        <w:jc w:val="both"/>
        <w:rPr>
          <w:b/>
          <w:b/>
          <w:strike/>
          <w:u w:val="single"/>
          <w:lang w:val="fr-FR"/>
        </w:rPr>
      </w:pPr>
      <w:r>
        <w:rPr>
          <w:b/>
          <w:strike/>
          <w:u w:val="single"/>
          <w:lang w:val="fr-FR"/>
        </w:rPr>
      </w:r>
    </w:p>
    <w:p>
      <w:pPr>
        <w:pStyle w:val="Normal"/>
        <w:jc w:val="both"/>
        <w:rPr>
          <w:szCs w:val="22"/>
          <w:lang w:val="fr-FR"/>
        </w:rPr>
      </w:pPr>
      <w:r>
        <w:rPr>
          <w:szCs w:val="22"/>
          <w:lang w:val="fr-FR"/>
        </w:rPr>
        <w:t>Les modalités d’attribution de la présente prime sont précisées en annexe 2 de l’accord.</w:t>
      </w:r>
    </w:p>
    <w:p>
      <w:pPr>
        <w:pStyle w:val="Normal"/>
        <w:jc w:val="both"/>
        <w:rPr>
          <w:szCs w:val="22"/>
          <w:lang w:val="fr-FR"/>
        </w:rPr>
      </w:pPr>
      <w:r>
        <w:rPr>
          <w:szCs w:val="22"/>
          <w:lang w:val="fr-FR"/>
        </w:rPr>
      </w:r>
    </w:p>
    <w:p>
      <w:pPr>
        <w:pStyle w:val="Normal"/>
        <w:jc w:val="both"/>
        <w:rPr>
          <w:szCs w:val="22"/>
          <w:lang w:val="fr-FR"/>
        </w:rPr>
      </w:pPr>
      <w:r>
        <w:rPr>
          <w:szCs w:val="22"/>
          <w:lang w:val="fr-FR"/>
        </w:rPr>
        <w:t>Une information sur l’atteinte de ces pourcentages sera communiquée régulièrement auprès des élus du Comité Social et Economique dans le cadre de ses réunions ordinaires.</w:t>
      </w:r>
    </w:p>
    <w:p>
      <w:pPr>
        <w:pStyle w:val="Normal"/>
        <w:jc w:val="both"/>
        <w:rPr>
          <w:szCs w:val="22"/>
          <w:lang w:val="fr-FR"/>
        </w:rPr>
      </w:pPr>
      <w:r>
        <w:rPr>
          <w:szCs w:val="22"/>
          <w:lang w:val="fr-FR"/>
        </w:rPr>
      </w:r>
    </w:p>
    <w:p>
      <w:pPr>
        <w:pStyle w:val="Normal"/>
        <w:jc w:val="both"/>
        <w:rPr>
          <w:szCs w:val="22"/>
          <w:lang w:val="fr-FR"/>
        </w:rPr>
      </w:pPr>
      <w:r>
        <w:rPr>
          <w:szCs w:val="22"/>
          <w:lang w:val="fr-FR"/>
        </w:rPr>
        <w:t>Le versement de la prime se fera dans le cadre de la paie du mois de décembre 2022.</w:t>
      </w:r>
    </w:p>
    <w:p>
      <w:pPr>
        <w:pStyle w:val="Header"/>
        <w:jc w:val="both"/>
        <w:rPr>
          <w:strike/>
          <w:szCs w:val="22"/>
          <w:lang w:val="fr-FR"/>
        </w:rPr>
      </w:pPr>
      <w:r>
        <w:rPr>
          <w:strike/>
          <w:szCs w:val="22"/>
          <w:lang w:val="fr-FR"/>
        </w:rPr>
      </w:r>
    </w:p>
    <w:p>
      <w:pPr>
        <w:pStyle w:val="Normal"/>
        <w:jc w:val="both"/>
        <w:rPr>
          <w:strike/>
          <w:lang w:val="fr-FR"/>
        </w:rPr>
      </w:pPr>
      <w:r>
        <w:rPr>
          <w:szCs w:val="22"/>
          <w:lang w:val="fr-FR"/>
        </w:rPr>
        <w:t>Le montant de la prime est uniforme et ne sera pas proratisé en fonction du temps de travail des salariés.</w:t>
      </w:r>
    </w:p>
    <w:p>
      <w:pPr>
        <w:pStyle w:val="Header"/>
        <w:jc w:val="both"/>
        <w:rPr>
          <w:strike/>
          <w:lang w:val="fr-FR"/>
        </w:rPr>
      </w:pPr>
      <w:r>
        <w:rPr>
          <w:strike/>
          <w:lang w:val="fr-FR"/>
        </w:rPr>
      </w:r>
    </w:p>
    <w:p>
      <w:pPr>
        <w:pStyle w:val="Header"/>
        <w:jc w:val="both"/>
        <w:rPr>
          <w:b/>
          <w:b/>
          <w:i/>
          <w:i/>
          <w:lang w:val="fr-FR"/>
        </w:rPr>
      </w:pPr>
      <w:r>
        <w:rPr>
          <w:b/>
          <w:u w:val="single"/>
          <w:lang w:val="fr-FR"/>
        </w:rPr>
        <w:t>Article 7 :</w:t>
      </w:r>
      <w:r>
        <w:rPr>
          <w:b/>
          <w:lang w:val="fr-FR"/>
        </w:rPr>
        <w:t xml:space="preserve"> Médailles du travail </w:t>
      </w:r>
    </w:p>
    <w:p>
      <w:pPr>
        <w:pStyle w:val="Header"/>
        <w:jc w:val="both"/>
        <w:rPr>
          <w:b/>
          <w:b/>
          <w:i/>
          <w:i/>
          <w:lang w:val="fr-FR"/>
        </w:rPr>
      </w:pPr>
      <w:r>
        <w:rPr>
          <w:b/>
          <w:i/>
          <w:lang w:val="fr-FR"/>
        </w:rPr>
      </w:r>
    </w:p>
    <w:p>
      <w:pPr>
        <w:pStyle w:val="Header"/>
        <w:jc w:val="both"/>
        <w:rPr/>
      </w:pPr>
      <w:r>
        <w:rPr>
          <w:lang w:val="fr-FR"/>
        </w:rPr>
        <w:t>Pour l’année 2022, il sera procédé à une revalorisation du montant des médailles du travail comme suit :</w:t>
      </w:r>
    </w:p>
    <w:p>
      <w:pPr>
        <w:pStyle w:val="Header"/>
        <w:jc w:val="both"/>
        <w:rPr/>
      </w:pPr>
      <w:r>
        <w:rPr>
          <w:lang w:val="fr-FR"/>
        </w:rPr>
        <w:t xml:space="preserve">20 ans =    581 euros ;  </w:t>
      </w:r>
    </w:p>
    <w:p>
      <w:pPr>
        <w:pStyle w:val="Header"/>
        <w:jc w:val="both"/>
        <w:rPr/>
      </w:pPr>
      <w:r>
        <w:rPr>
          <w:lang w:val="fr-FR"/>
        </w:rPr>
        <w:t xml:space="preserve">30 ans =    862 euros ;  </w:t>
      </w:r>
    </w:p>
    <w:p>
      <w:pPr>
        <w:pStyle w:val="Header"/>
        <w:jc w:val="both"/>
        <w:rPr/>
      </w:pPr>
      <w:r>
        <w:rPr>
          <w:lang w:val="fr-FR"/>
        </w:rPr>
        <w:t xml:space="preserve">35 ans =    1 158 euros ;  </w:t>
      </w:r>
    </w:p>
    <w:p>
      <w:pPr>
        <w:pStyle w:val="Header"/>
        <w:jc w:val="both"/>
        <w:rPr/>
      </w:pPr>
      <w:r>
        <w:rPr>
          <w:lang w:val="fr-FR"/>
        </w:rPr>
        <w:t>40 ans =    1 441 euros.</w:t>
      </w:r>
    </w:p>
    <w:p>
      <w:pPr>
        <w:pStyle w:val="Header"/>
        <w:jc w:val="both"/>
        <w:rPr>
          <w:lang w:val="fr-FR"/>
        </w:rPr>
      </w:pPr>
      <w:r>
        <w:rPr>
          <w:lang w:val="fr-FR"/>
        </w:rPr>
      </w:r>
    </w:p>
    <w:p>
      <w:pPr>
        <w:pStyle w:val="Header"/>
        <w:jc w:val="both"/>
        <w:rPr/>
      </w:pPr>
      <w:r>
        <w:rPr>
          <w:i/>
          <w:sz w:val="20"/>
          <w:lang w:val="fr-FR"/>
        </w:rPr>
        <w:t xml:space="preserve">NB : la revalorisation de ces primes est de </w:t>
      </w:r>
      <w:r>
        <w:rPr>
          <w:b/>
          <w:i/>
          <w:sz w:val="20"/>
          <w:lang w:val="fr-FR"/>
        </w:rPr>
        <w:t>5 % par rapport à l’année 2021</w:t>
      </w:r>
      <w:r>
        <w:rPr>
          <w:i/>
          <w:sz w:val="20"/>
          <w:lang w:val="fr-FR"/>
        </w:rPr>
        <w:t>. Pour rappel, les montants précédemment appliqués étaient :</w:t>
      </w:r>
    </w:p>
    <w:p>
      <w:pPr>
        <w:pStyle w:val="Header"/>
        <w:jc w:val="both"/>
        <w:rPr/>
      </w:pPr>
      <w:r>
        <w:rPr>
          <w:i/>
          <w:sz w:val="20"/>
          <w:lang w:val="fr-FR"/>
        </w:rPr>
        <w:t>20 ans = 553 euros ; 30 ans = 821 euros ; 35 ans = 1 103 euros ; 40 ans = 1 372 euros.</w:t>
      </w:r>
    </w:p>
    <w:p>
      <w:pPr>
        <w:pStyle w:val="Header"/>
        <w:jc w:val="both"/>
        <w:rPr>
          <w:i/>
          <w:i/>
          <w:strike/>
          <w:sz w:val="20"/>
          <w:lang w:val="fr-FR"/>
        </w:rPr>
      </w:pPr>
      <w:r>
        <w:rPr>
          <w:i/>
          <w:strike/>
          <w:sz w:val="20"/>
          <w:lang w:val="fr-FR"/>
        </w:rPr>
      </w:r>
    </w:p>
    <w:p>
      <w:pPr>
        <w:pStyle w:val="Header"/>
        <w:jc w:val="both"/>
        <w:rPr>
          <w:strike/>
          <w:lang w:val="fr-FR"/>
        </w:rPr>
      </w:pPr>
      <w:r>
        <w:rPr>
          <w:strike/>
          <w:lang w:val="fr-FR"/>
        </w:rPr>
      </w:r>
    </w:p>
    <w:p>
      <w:pPr>
        <w:pStyle w:val="Header"/>
        <w:jc w:val="both"/>
        <w:rPr>
          <w:strike/>
          <w:lang w:val="fr-FR"/>
        </w:rPr>
      </w:pPr>
      <w:r>
        <w:rPr>
          <w:strike/>
          <w:lang w:val="fr-FR"/>
        </w:rPr>
      </w:r>
    </w:p>
    <w:p>
      <w:pPr>
        <w:pStyle w:val="Header"/>
        <w:jc w:val="both"/>
        <w:rPr>
          <w:strike/>
          <w:lang w:val="fr-FR"/>
        </w:rPr>
      </w:pPr>
      <w:r>
        <w:rPr>
          <w:strike/>
          <w:lang w:val="fr-FR"/>
        </w:rPr>
      </w:r>
    </w:p>
    <w:p>
      <w:pPr>
        <w:pStyle w:val="Header"/>
        <w:pBdr>
          <w:top w:val="single" w:sz="8" w:space="1" w:color="000000"/>
          <w:left w:val="single" w:sz="8" w:space="0" w:color="000000"/>
          <w:bottom w:val="single" w:sz="8" w:space="1" w:color="000000"/>
          <w:right w:val="single" w:sz="8" w:space="4" w:color="000000"/>
        </w:pBdr>
        <w:shd w:fill="C0C0C0" w:val="clear"/>
        <w:jc w:val="center"/>
        <w:rPr>
          <w:b/>
          <w:b/>
          <w:strike/>
          <w:sz w:val="28"/>
          <w:shd w:fill="C0C0C0" w:val="clear"/>
          <w:lang w:val="fr-FR"/>
        </w:rPr>
      </w:pPr>
      <w:r>
        <w:rPr>
          <w:b/>
          <w:strike/>
          <w:sz w:val="28"/>
          <w:shd w:fill="C0C0C0" w:val="clear"/>
          <w:lang w:val="fr-FR"/>
        </w:rPr>
      </w:r>
    </w:p>
    <w:p>
      <w:pPr>
        <w:pStyle w:val="Header"/>
        <w:pBdr>
          <w:top w:val="single" w:sz="8" w:space="1" w:color="000000"/>
          <w:left w:val="single" w:sz="8" w:space="0" w:color="000000"/>
          <w:bottom w:val="single" w:sz="8" w:space="1" w:color="000000"/>
          <w:right w:val="single" w:sz="8" w:space="4" w:color="000000"/>
        </w:pBdr>
        <w:shd w:fill="C0C0C0" w:val="clear"/>
        <w:jc w:val="center"/>
        <w:rPr>
          <w:b/>
          <w:b/>
          <w:sz w:val="28"/>
          <w:shd w:fill="C0C0C0" w:val="clear"/>
          <w:lang w:val="fr-FR"/>
        </w:rPr>
      </w:pPr>
      <w:r>
        <w:rPr>
          <w:b/>
          <w:sz w:val="28"/>
          <w:shd w:fill="C0C0C0" w:val="clear"/>
          <w:lang w:val="fr-FR"/>
        </w:rPr>
        <w:t>Titre 2 : Autres Mesures</w:t>
      </w:r>
    </w:p>
    <w:p>
      <w:pPr>
        <w:pStyle w:val="Header"/>
        <w:pBdr>
          <w:top w:val="single" w:sz="8" w:space="1" w:color="000000"/>
          <w:left w:val="single" w:sz="8" w:space="0" w:color="000000"/>
          <w:bottom w:val="single" w:sz="8" w:space="1" w:color="000000"/>
          <w:right w:val="single" w:sz="8" w:space="4" w:color="000000"/>
        </w:pBdr>
        <w:shd w:fill="C0C0C0" w:val="clear"/>
        <w:jc w:val="center"/>
        <w:rPr>
          <w:b/>
          <w:b/>
          <w:sz w:val="28"/>
          <w:shd w:fill="C0C0C0" w:val="clear"/>
          <w:lang w:val="fr-FR"/>
        </w:rPr>
      </w:pPr>
      <w:r>
        <w:rPr>
          <w:b/>
          <w:sz w:val="28"/>
          <w:shd w:fill="C0C0C0" w:val="clear"/>
          <w:lang w:val="fr-FR"/>
        </w:rPr>
      </w:r>
    </w:p>
    <w:p>
      <w:pPr>
        <w:pStyle w:val="Header"/>
        <w:jc w:val="both"/>
        <w:rPr>
          <w:b/>
          <w:b/>
          <w:sz w:val="28"/>
          <w:u w:val="single"/>
          <w:shd w:fill="C0C0C0" w:val="clear"/>
          <w:lang w:val="fr-FR"/>
        </w:rPr>
      </w:pPr>
      <w:r>
        <w:rPr>
          <w:b/>
          <w:sz w:val="28"/>
          <w:u w:val="single"/>
          <w:shd w:fill="C0C0C0" w:val="clear"/>
          <w:lang w:val="fr-FR"/>
        </w:rPr>
      </w:r>
    </w:p>
    <w:p>
      <w:pPr>
        <w:pStyle w:val="Header"/>
        <w:jc w:val="both"/>
        <w:rPr/>
      </w:pPr>
      <w:r>
        <w:rPr>
          <w:b/>
          <w:u w:val="single"/>
          <w:lang w:val="fr-FR"/>
        </w:rPr>
        <w:t>Article 8 :</w:t>
      </w:r>
      <w:r>
        <w:rPr>
          <w:b/>
          <w:lang w:val="fr-FR"/>
        </w:rPr>
        <w:t xml:space="preserve"> Embauches en Contrat à Durée Indéterminée des opérateurs et techniciens intérimaires</w:t>
      </w:r>
    </w:p>
    <w:p>
      <w:pPr>
        <w:pStyle w:val="Header"/>
        <w:jc w:val="both"/>
        <w:rPr>
          <w:b/>
          <w:b/>
          <w:lang w:val="fr-FR"/>
        </w:rPr>
      </w:pPr>
      <w:r>
        <w:rPr>
          <w:b/>
          <w:lang w:val="fr-FR"/>
        </w:rPr>
      </w:r>
    </w:p>
    <w:p>
      <w:pPr>
        <w:pStyle w:val="Header"/>
        <w:jc w:val="both"/>
        <w:rPr>
          <w:lang w:val="fr-FR"/>
        </w:rPr>
      </w:pPr>
      <w:r>
        <w:rPr>
          <w:lang w:val="fr-FR"/>
        </w:rPr>
        <w:t xml:space="preserve">Afin de maintenir les compétences au sein de l’entreprise, la société thyssenkrupp Electrical Steel UGO S.A.S., s’engage à embaucher 15 intérimaires avant le 31 décembre 2022. Pour information, les intérimaires ayant accepté d’effectuer un CDI intérim avec leur société d’intérim et présents entre dix-huit et trente-six mois au sein de l’entreprise, seront prioritaires par ordre d’ancienneté au sein de la société thyssenkrupp Electrical Steel UGO S.A.S. </w:t>
      </w:r>
    </w:p>
    <w:p>
      <w:pPr>
        <w:pStyle w:val="Header"/>
        <w:jc w:val="both"/>
        <w:rPr>
          <w:lang w:val="fr-FR"/>
        </w:rPr>
      </w:pPr>
      <w:r>
        <w:rPr>
          <w:lang w:val="fr-FR"/>
        </w:rPr>
      </w:r>
    </w:p>
    <w:p>
      <w:pPr>
        <w:pStyle w:val="Header"/>
        <w:jc w:val="both"/>
        <w:rPr>
          <w:b/>
          <w:b/>
          <w:lang w:val="fr-FR"/>
        </w:rPr>
      </w:pPr>
      <w:r>
        <w:rPr>
          <w:b/>
          <w:u w:val="single"/>
          <w:lang w:val="fr-FR"/>
        </w:rPr>
        <w:t>Article 9 :</w:t>
      </w:r>
      <w:r>
        <w:rPr>
          <w:b/>
          <w:lang w:val="fr-FR"/>
        </w:rPr>
        <w:t xml:space="preserve"> Mesures visant à améliorer la mobilité des salariés entre leur lieu de résidence habituelle et leur lieu de travail</w:t>
      </w:r>
    </w:p>
    <w:p>
      <w:pPr>
        <w:pStyle w:val="Header"/>
        <w:jc w:val="both"/>
        <w:rPr>
          <w:b/>
          <w:b/>
          <w:lang w:val="fr-FR"/>
        </w:rPr>
      </w:pPr>
      <w:r>
        <w:rPr>
          <w:b/>
          <w:lang w:val="fr-FR"/>
        </w:rPr>
      </w:r>
    </w:p>
    <w:p>
      <w:pPr>
        <w:pStyle w:val="Header"/>
        <w:jc w:val="both"/>
        <w:rPr>
          <w:lang w:val="fr-FR"/>
        </w:rPr>
      </w:pPr>
      <w:r>
        <w:rPr>
          <w:lang w:val="fr-FR"/>
        </w:rPr>
        <w:t>Dans le cadre de la mobilité des salariés entre leur résidence habituelle et leur lieu de travail et selon des préconisations gouvernementales, un accord collectif d’entreprise relatif à la mise en place du télétravail au sein de la société thyssenkrupp Electrical Steel UGO S.A.S. a été signé le 25 février 2022 pour une durée indéterminée.</w:t>
      </w:r>
    </w:p>
    <w:p>
      <w:pPr>
        <w:pStyle w:val="Header"/>
        <w:jc w:val="both"/>
        <w:rPr>
          <w:lang w:val="fr-FR"/>
        </w:rPr>
      </w:pPr>
      <w:r>
        <w:rPr>
          <w:lang w:val="fr-FR"/>
        </w:rPr>
      </w:r>
    </w:p>
    <w:p>
      <w:pPr>
        <w:pStyle w:val="Header"/>
        <w:jc w:val="both"/>
        <w:rPr>
          <w:lang w:val="fr-FR"/>
        </w:rPr>
      </w:pPr>
      <w:r>
        <w:rPr>
          <w:lang w:val="fr-FR"/>
        </w:rPr>
        <w:t>A ce titre, la société thyssenkrupp Electrical Steel UGO S.A.S. a investi dans des équipements numériques afin de permettre la mise en place du télétravail et d’accompagner les salariés concernés dans cette nouvelle organisation de travail. De nouveaux équipements numériques sont en cours de commande afin de compléter le parc existant.</w:t>
      </w:r>
    </w:p>
    <w:p>
      <w:pPr>
        <w:pStyle w:val="Header"/>
        <w:jc w:val="both"/>
        <w:rPr>
          <w:lang w:val="fr-FR"/>
        </w:rPr>
      </w:pPr>
      <w:r>
        <w:rPr>
          <w:lang w:val="fr-FR"/>
        </w:rPr>
      </w:r>
    </w:p>
    <w:p>
      <w:pPr>
        <w:pStyle w:val="Header"/>
        <w:jc w:val="both"/>
        <w:rPr/>
      </w:pPr>
      <w:r>
        <w:rPr>
          <w:b/>
          <w:u w:val="single"/>
          <w:lang w:val="fr-FR"/>
        </w:rPr>
        <w:t>Article 10 :</w:t>
      </w:r>
      <w:r>
        <w:rPr>
          <w:b/>
          <w:lang w:val="fr-FR"/>
        </w:rPr>
        <w:t xml:space="preserve"> Mesures visant à améliorer la Qualité de Vie au Travail</w:t>
      </w:r>
    </w:p>
    <w:p>
      <w:pPr>
        <w:pStyle w:val="Header"/>
        <w:jc w:val="both"/>
        <w:rPr>
          <w:b/>
          <w:b/>
          <w:lang w:val="fr-FR"/>
        </w:rPr>
      </w:pPr>
      <w:r>
        <w:rPr>
          <w:b/>
          <w:lang w:val="fr-FR"/>
        </w:rPr>
      </w:r>
    </w:p>
    <w:p>
      <w:pPr>
        <w:pStyle w:val="Header"/>
        <w:jc w:val="both"/>
        <w:rPr>
          <w:lang w:val="fr-FR"/>
        </w:rPr>
      </w:pPr>
      <w:r>
        <w:rPr>
          <w:lang w:val="fr-FR"/>
        </w:rPr>
        <w:t xml:space="preserve">Une décision unilatérale de l’employeur relative à la Qualité de Vie au Travail a été adoptée le 26 mai 2021. Celle-ci est entrée en vigueur le 1er juin 2021 pour une durée déterminée d’un an, soit jusqu’au 31 mai 2022. </w:t>
      </w:r>
    </w:p>
    <w:p>
      <w:pPr>
        <w:pStyle w:val="Header"/>
        <w:jc w:val="both"/>
        <w:rPr>
          <w:lang w:val="fr-FR"/>
        </w:rPr>
      </w:pPr>
      <w:r>
        <w:rPr>
          <w:lang w:val="fr-FR"/>
        </w:rPr>
      </w:r>
    </w:p>
    <w:p>
      <w:pPr>
        <w:pStyle w:val="Header"/>
        <w:jc w:val="both"/>
        <w:rPr/>
      </w:pPr>
      <w:r>
        <w:rPr>
          <w:lang w:val="fr-FR"/>
        </w:rPr>
        <w:t>A ce titre, la société thyssenkrupp Electrical Steel UGO S.A.S. réaffirme sa volonté de négocier et de conclure un accord sur ce thème et propose aux organisations syndicales représentatives au sein de l’entreprise de programmer plusieurs réunions au cours du deuxième trimestre de l’année 2022 afin de discuter de ce sujet. Si ces négociations n’aboutissent pas à un accord, un procès-verbal de désaccord sera établi qui précisera les propositions de chacune des parties dans leur dernier état ainsi que les éventuelles mesures unilatérales qu’entend prendre la société thyssenkrupp Electrical Steel UGO S.A.S. sur ce thème.</w:t>
      </w:r>
    </w:p>
    <w:p>
      <w:pPr>
        <w:pStyle w:val="Header"/>
        <w:jc w:val="both"/>
        <w:rPr>
          <w:lang w:val="fr-FR"/>
        </w:rPr>
      </w:pPr>
      <w:r>
        <w:rPr>
          <w:lang w:val="fr-FR"/>
        </w:rPr>
      </w:r>
    </w:p>
    <w:p>
      <w:pPr>
        <w:pStyle w:val="Header"/>
        <w:jc w:val="both"/>
        <w:rPr/>
      </w:pPr>
      <w:r>
        <w:rPr>
          <w:b/>
          <w:u w:val="single"/>
          <w:lang w:val="fr-FR"/>
        </w:rPr>
        <w:t>Article 11 :</w:t>
      </w:r>
      <w:r>
        <w:rPr>
          <w:b/>
          <w:lang w:val="fr-FR"/>
        </w:rPr>
        <w:t xml:space="preserve"> Mesures visant à améliorer la Gestion Prévisionnelle des Emplois et des Compétences</w:t>
      </w:r>
    </w:p>
    <w:p>
      <w:pPr>
        <w:pStyle w:val="Header"/>
        <w:jc w:val="both"/>
        <w:rPr>
          <w:b/>
          <w:b/>
          <w:lang w:val="fr-FR"/>
        </w:rPr>
      </w:pPr>
      <w:r>
        <w:rPr>
          <w:b/>
          <w:lang w:val="fr-FR"/>
        </w:rPr>
      </w:r>
    </w:p>
    <w:p>
      <w:pPr>
        <w:pStyle w:val="Header"/>
        <w:jc w:val="both"/>
        <w:rPr>
          <w:lang w:val="fr-FR"/>
        </w:rPr>
      </w:pPr>
      <w:r>
        <w:rPr>
          <w:lang w:val="fr-FR"/>
        </w:rPr>
        <w:t xml:space="preserve">Une décision unilatérale de l’employeur relative à la Gestion Prévisionnelle des Emplois et des Compétences a été adoptée le 26 mai 2021. Celle-ci est entrée en vigueur le 1er juin 2021 pour une durée déterminée d’un an, soit jusqu’au 31 mai 2022. </w:t>
      </w:r>
    </w:p>
    <w:p>
      <w:pPr>
        <w:pStyle w:val="Header"/>
        <w:jc w:val="both"/>
        <w:rPr>
          <w:lang w:val="fr-FR"/>
        </w:rPr>
      </w:pPr>
      <w:r>
        <w:rPr>
          <w:lang w:val="fr-FR"/>
        </w:rPr>
      </w:r>
    </w:p>
    <w:p>
      <w:pPr>
        <w:pStyle w:val="Header"/>
        <w:jc w:val="both"/>
        <w:rPr/>
      </w:pPr>
      <w:r>
        <w:rPr>
          <w:lang w:val="fr-FR"/>
        </w:rPr>
        <w:t>A ce titre, la société thyssenkrupp Electrical Steel UGO S.A.S. réaffirme sa volonté de négocier et de conclure un accord sur ce thème et propose aux organisations syndicales représentatives au sein de l’entreprise de programmer plusieurs réunions au cours du deuxième trimestre de l’année 2022 afin de discuter de ce sujet. Si ces négociations n’aboutissent pas à un accord, un procès-verbal de désaccord sera établi qui précisera les propositions de chacune des parties dans leur dernier état ainsi que les éventuelles mesures unilatérales qu’entend prendre la société thyssenkrupp Electrical Steel UGO S.A.S. sur ce thème.</w:t>
      </w:r>
    </w:p>
    <w:p>
      <w:pPr>
        <w:pStyle w:val="Normal"/>
        <w:jc w:val="both"/>
        <w:rPr>
          <w:color w:val="FF0000"/>
          <w:szCs w:val="22"/>
          <w:lang w:val="fr-FR"/>
        </w:rPr>
      </w:pPr>
      <w:r>
        <w:rPr>
          <w:color w:val="FF0000"/>
          <w:szCs w:val="22"/>
          <w:lang w:val="fr-FR"/>
        </w:rPr>
      </w:r>
    </w:p>
    <w:p>
      <w:pPr>
        <w:pStyle w:val="Header"/>
        <w:pBdr>
          <w:top w:val="single" w:sz="8" w:space="1" w:color="000000"/>
          <w:left w:val="single" w:sz="8" w:space="4" w:color="000000"/>
          <w:bottom w:val="single" w:sz="8" w:space="1" w:color="000000"/>
          <w:right w:val="single" w:sz="8" w:space="4" w:color="000000"/>
        </w:pBdr>
        <w:shd w:fill="C0C0C0" w:val="clear"/>
        <w:jc w:val="center"/>
        <w:rPr>
          <w:b/>
          <w:b/>
          <w:color w:val="FF0000"/>
          <w:sz w:val="28"/>
          <w:szCs w:val="22"/>
          <w:lang w:val="fr-FR"/>
        </w:rPr>
      </w:pPr>
      <w:r>
        <w:rPr>
          <w:b/>
          <w:color w:val="FF0000"/>
          <w:sz w:val="28"/>
          <w:szCs w:val="22"/>
          <w:lang w:val="fr-FR"/>
        </w:rPr>
      </w:r>
    </w:p>
    <w:p>
      <w:pPr>
        <w:pStyle w:val="Header"/>
        <w:pBdr>
          <w:top w:val="single" w:sz="8" w:space="1" w:color="000000"/>
          <w:left w:val="single" w:sz="8" w:space="4" w:color="000000"/>
          <w:bottom w:val="single" w:sz="8" w:space="1" w:color="000000"/>
          <w:right w:val="single" w:sz="8" w:space="4" w:color="000000"/>
        </w:pBdr>
        <w:shd w:fill="C0C0C0" w:val="clear"/>
        <w:jc w:val="center"/>
        <w:rPr/>
      </w:pPr>
      <w:r>
        <w:rPr>
          <w:b/>
          <w:sz w:val="28"/>
          <w:lang w:val="fr-FR"/>
        </w:rPr>
        <w:t>Titre 3 : Dispositions diverses</w:t>
      </w:r>
    </w:p>
    <w:p>
      <w:pPr>
        <w:pStyle w:val="Header"/>
        <w:pBdr>
          <w:top w:val="single" w:sz="8" w:space="1" w:color="000000"/>
          <w:left w:val="single" w:sz="8" w:space="4" w:color="000000"/>
          <w:bottom w:val="single" w:sz="8" w:space="1" w:color="000000"/>
          <w:right w:val="single" w:sz="8" w:space="4" w:color="000000"/>
        </w:pBdr>
        <w:shd w:fill="C0C0C0" w:val="clear"/>
        <w:jc w:val="center"/>
        <w:rPr>
          <w:b/>
          <w:b/>
          <w:sz w:val="28"/>
          <w:u w:val="single"/>
          <w:lang w:val="fr-FR"/>
        </w:rPr>
      </w:pPr>
      <w:r>
        <w:rPr>
          <w:b/>
          <w:sz w:val="28"/>
          <w:u w:val="single"/>
          <w:lang w:val="fr-FR"/>
        </w:rPr>
      </w:r>
    </w:p>
    <w:p>
      <w:pPr>
        <w:pStyle w:val="Header"/>
        <w:ind w:firstLine="708"/>
        <w:jc w:val="both"/>
        <w:rPr>
          <w:b/>
          <w:b/>
          <w:sz w:val="28"/>
          <w:u w:val="single"/>
          <w:lang w:val="fr-FR"/>
        </w:rPr>
      </w:pPr>
      <w:r>
        <w:rPr>
          <w:b/>
          <w:sz w:val="28"/>
          <w:u w:val="single"/>
          <w:lang w:val="fr-FR"/>
        </w:rPr>
      </w:r>
    </w:p>
    <w:p>
      <w:pPr>
        <w:pStyle w:val="Header"/>
        <w:jc w:val="both"/>
        <w:rPr>
          <w:b/>
          <w:b/>
          <w:u w:val="single"/>
          <w:lang w:val="fr-FR"/>
        </w:rPr>
      </w:pPr>
      <w:r>
        <w:rPr>
          <w:b/>
          <w:u w:val="single"/>
          <w:lang w:val="fr-FR"/>
        </w:rPr>
        <w:t>Article 12 :</w:t>
      </w:r>
      <w:r>
        <w:rPr>
          <w:b/>
          <w:lang w:val="fr-FR"/>
        </w:rPr>
        <w:t xml:space="preserve"> Durée d’application</w:t>
      </w:r>
    </w:p>
    <w:p>
      <w:pPr>
        <w:pStyle w:val="Header"/>
        <w:jc w:val="both"/>
        <w:rPr>
          <w:b/>
          <w:b/>
          <w:u w:val="single"/>
          <w:lang w:val="fr-FR"/>
        </w:rPr>
      </w:pPr>
      <w:r>
        <w:rPr>
          <w:b/>
          <w:u w:val="single"/>
          <w:lang w:val="fr-FR"/>
        </w:rPr>
      </w:r>
    </w:p>
    <w:p>
      <w:pPr>
        <w:pStyle w:val="Header"/>
        <w:jc w:val="both"/>
        <w:rPr>
          <w:lang w:val="fr-FR"/>
        </w:rPr>
      </w:pPr>
      <w:r>
        <w:rPr>
          <w:lang w:val="fr-FR"/>
        </w:rPr>
        <w:t>Les dispositions du présent accord, conclues au titre de la négociation annuelle obligatoire portant sur l’année 2022, s’appliqueront à compter du 1er janvier 2022 jusqu’au 31 décembre 2022.</w:t>
      </w:r>
    </w:p>
    <w:p>
      <w:pPr>
        <w:pStyle w:val="Header"/>
        <w:jc w:val="both"/>
        <w:rPr>
          <w:lang w:val="fr-FR"/>
        </w:rPr>
      </w:pPr>
      <w:r>
        <w:rPr>
          <w:lang w:val="fr-FR"/>
        </w:rPr>
      </w:r>
    </w:p>
    <w:p>
      <w:pPr>
        <w:pStyle w:val="Header"/>
        <w:jc w:val="both"/>
        <w:rPr/>
      </w:pPr>
      <w:r>
        <w:rPr>
          <w:lang w:val="fr-FR"/>
        </w:rPr>
        <w:t>Conformément à l’article L.2222-4 du Code du Travail, le présent accord cessera de plein droit de s'appliquer à l'échéance de son terme. A cette date, il ne continuera pas à produire ses effets comme un accord à durée indéterminée</w:t>
      </w:r>
      <w:r>
        <w:rPr>
          <w:rFonts w:eastAsia="NotDefSpecial;Arial Unicode MS" w:cs="Arial Narrow" w:ascii="Arial Narrow" w:hAnsi="Arial Narrow"/>
          <w:szCs w:val="24"/>
          <w:lang w:val="fr-FR"/>
        </w:rPr>
        <w:t>.</w:t>
      </w:r>
    </w:p>
    <w:p>
      <w:pPr>
        <w:pStyle w:val="Header"/>
        <w:jc w:val="both"/>
        <w:rPr>
          <w:rFonts w:ascii="Arial Narrow" w:hAnsi="Arial Narrow" w:eastAsia="NotDefSpecial;Arial Unicode MS" w:cs="Arial Narrow"/>
          <w:b/>
          <w:b/>
          <w:szCs w:val="24"/>
          <w:u w:val="single"/>
          <w:lang w:val="fr-FR"/>
        </w:rPr>
      </w:pPr>
      <w:r>
        <w:rPr>
          <w:rFonts w:eastAsia="NotDefSpecial;Arial Unicode MS" w:cs="Arial Narrow" w:ascii="Arial Narrow" w:hAnsi="Arial Narrow"/>
          <w:b/>
          <w:szCs w:val="24"/>
          <w:u w:val="single"/>
          <w:lang w:val="fr-FR"/>
        </w:rPr>
      </w:r>
    </w:p>
    <w:p>
      <w:pPr>
        <w:pStyle w:val="Header"/>
        <w:jc w:val="both"/>
        <w:rPr>
          <w:b/>
          <w:b/>
          <w:u w:val="single"/>
          <w:lang w:val="fr-FR"/>
        </w:rPr>
      </w:pPr>
      <w:r>
        <w:rPr>
          <w:b/>
          <w:u w:val="single"/>
          <w:lang w:val="fr-FR"/>
        </w:rPr>
        <w:t>Article 13 :</w:t>
      </w:r>
      <w:r>
        <w:rPr>
          <w:b/>
          <w:lang w:val="fr-FR"/>
        </w:rPr>
        <w:t xml:space="preserve"> Suivi de l’accord</w:t>
      </w:r>
    </w:p>
    <w:p>
      <w:pPr>
        <w:pStyle w:val="Header"/>
        <w:jc w:val="both"/>
        <w:rPr>
          <w:b/>
          <w:b/>
          <w:i/>
          <w:i/>
          <w:u w:val="single"/>
          <w:lang w:val="fr-FR"/>
        </w:rPr>
      </w:pPr>
      <w:r>
        <w:rPr>
          <w:b/>
          <w:i/>
          <w:u w:val="single"/>
          <w:lang w:val="fr-FR"/>
        </w:rPr>
      </w:r>
    </w:p>
    <w:p>
      <w:pPr>
        <w:pStyle w:val="Header"/>
        <w:jc w:val="both"/>
        <w:rPr/>
      </w:pPr>
      <w:r>
        <w:rPr>
          <w:lang w:val="fr-FR"/>
        </w:rPr>
        <w:t xml:space="preserve">Les signataires du présent accord décident de se réunir en Janvier 2023 pour examiner les différents points de l’accord. </w:t>
      </w:r>
    </w:p>
    <w:p>
      <w:pPr>
        <w:pStyle w:val="Header"/>
        <w:jc w:val="both"/>
        <w:rPr>
          <w:lang w:val="fr-FR"/>
        </w:rPr>
      </w:pPr>
      <w:r>
        <w:rPr>
          <w:lang w:val="fr-FR"/>
        </w:rPr>
      </w:r>
    </w:p>
    <w:p>
      <w:pPr>
        <w:pStyle w:val="Header"/>
        <w:jc w:val="both"/>
        <w:rPr>
          <w:b/>
          <w:b/>
          <w:lang w:val="fr-FR"/>
        </w:rPr>
      </w:pPr>
      <w:r>
        <w:rPr>
          <w:b/>
          <w:u w:val="single"/>
          <w:lang w:val="fr-FR"/>
        </w:rPr>
        <w:t>Article 14 :</w:t>
      </w:r>
      <w:r>
        <w:rPr>
          <w:b/>
          <w:lang w:val="fr-FR"/>
        </w:rPr>
        <w:t xml:space="preserve"> Formalités de dépôt </w:t>
      </w:r>
    </w:p>
    <w:p>
      <w:pPr>
        <w:pStyle w:val="Header"/>
        <w:jc w:val="both"/>
        <w:rPr>
          <w:b/>
          <w:b/>
          <w:lang w:val="fr-FR"/>
        </w:rPr>
      </w:pPr>
      <w:r>
        <w:rPr>
          <w:b/>
          <w:lang w:val="fr-FR"/>
        </w:rPr>
      </w:r>
    </w:p>
    <w:p>
      <w:pPr>
        <w:pStyle w:val="Normal"/>
        <w:autoSpaceDE w:val="false"/>
        <w:jc w:val="both"/>
        <w:rPr>
          <w:szCs w:val="22"/>
          <w:lang w:val="fr-FR"/>
        </w:rPr>
      </w:pPr>
      <w:r>
        <w:rPr>
          <w:rFonts w:eastAsia="NotDefSpecial;Arial Unicode MS" w:cs="NotDefSpecial;Arial Unicode MS"/>
          <w:szCs w:val="22"/>
          <w:lang w:val="fr-FR" w:eastAsia="fr-FR"/>
        </w:rPr>
        <w:t>Conformément à l'article L. 2231-5 du Code du Travail, le texte du présent avenant est établi en nombre suffisant d'exemplaires pour être notifié à chacune des organisations représentatives.</w:t>
      </w:r>
    </w:p>
    <w:p>
      <w:pPr>
        <w:pStyle w:val="Normal"/>
        <w:jc w:val="both"/>
        <w:rPr>
          <w:szCs w:val="22"/>
          <w:lang w:val="fr-FR"/>
        </w:rPr>
      </w:pPr>
      <w:r>
        <w:rPr>
          <w:szCs w:val="22"/>
          <w:lang w:val="fr-FR"/>
        </w:rPr>
      </w:r>
    </w:p>
    <w:p>
      <w:pPr>
        <w:pStyle w:val="Normal"/>
        <w:autoSpaceDE w:val="false"/>
        <w:jc w:val="both"/>
        <w:rPr/>
      </w:pPr>
      <w:r>
        <w:rPr>
          <w:rFonts w:eastAsia="NotDefSpecial;Arial Unicode MS" w:cs="NotDefSpecial;Arial Unicode MS"/>
          <w:szCs w:val="22"/>
          <w:lang w:val="fr-FR" w:eastAsia="fr-FR"/>
        </w:rPr>
        <w:t xml:space="preserve">Par ailleurs, conformément aux articles D. 2231-2 et D. 2231-4 du Code du Travail, le présent avenant sera déposé en version électronique sur la plateforme de téléprocédure du ministère du Travail : </w:t>
      </w:r>
      <w:hyperlink r:id="rId2">
        <w:r>
          <w:rPr>
            <w:rStyle w:val="InternetLink"/>
            <w:rFonts w:eastAsia="NotDefSpecial;Arial Unicode MS"/>
            <w:szCs w:val="22"/>
            <w:lang w:val="fr-FR"/>
          </w:rPr>
          <w:t>www.teleaccords.travail-emploi.gouv.fr</w:t>
        </w:r>
      </w:hyperlink>
      <w:r>
        <w:rPr>
          <w:rFonts w:eastAsia="NotDefSpecial;Arial Unicode MS" w:cs="NotDefSpecial;Arial Unicode MS"/>
          <w:szCs w:val="22"/>
          <w:lang w:val="fr-FR" w:eastAsia="fr-FR"/>
        </w:rPr>
        <w:t xml:space="preserve"> et auprès du Conseil de Prud’hommes de Béthune.</w:t>
      </w:r>
    </w:p>
    <w:p>
      <w:pPr>
        <w:pStyle w:val="Header"/>
        <w:ind w:left="1416" w:firstLine="708"/>
        <w:jc w:val="center"/>
        <w:rPr>
          <w:rFonts w:eastAsia="NotDefSpecial;Arial Unicode MS" w:cs="NotDefSpecial;Arial Unicode MS"/>
          <w:szCs w:val="22"/>
          <w:lang w:val="fr-FR" w:eastAsia="fr-FR"/>
        </w:rPr>
      </w:pPr>
      <w:r>
        <w:rPr>
          <w:rFonts w:eastAsia="NotDefSpecial;Arial Unicode MS" w:cs="NotDefSpecial;Arial Unicode MS"/>
          <w:szCs w:val="22"/>
          <w:lang w:val="fr-FR" w:eastAsia="fr-FR"/>
        </w:rPr>
      </w:r>
    </w:p>
    <w:p>
      <w:pPr>
        <w:pStyle w:val="Header"/>
        <w:ind w:left="1416" w:firstLine="708"/>
        <w:jc w:val="center"/>
        <w:rPr>
          <w:lang w:val="fr-FR"/>
        </w:rPr>
      </w:pPr>
      <w:r>
        <w:rPr>
          <w:lang w:val="fr-FR"/>
        </w:rPr>
      </w:r>
    </w:p>
    <w:p>
      <w:pPr>
        <w:pStyle w:val="Header"/>
        <w:rPr/>
      </w:pPr>
      <w:r>
        <w:rPr>
          <w:lang w:val="fr-FR"/>
        </w:rPr>
        <w:t>Fait à Isbergues, le 08 mars 2022.</w:t>
      </w:r>
    </w:p>
    <w:p>
      <w:pPr>
        <w:pStyle w:val="Header"/>
        <w:ind w:left="1416" w:firstLine="708"/>
        <w:jc w:val="center"/>
        <w:rPr>
          <w:lang w:val="fr-FR"/>
        </w:rPr>
      </w:pPr>
      <w:r>
        <w:rPr>
          <w:lang w:val="fr-FR"/>
        </w:rPr>
      </w:r>
    </w:p>
    <w:p>
      <w:pPr>
        <w:pStyle w:val="Header"/>
        <w:ind w:left="1416" w:firstLine="708"/>
        <w:jc w:val="center"/>
        <w:rPr>
          <w:lang w:val="fr-FR"/>
        </w:rPr>
      </w:pPr>
      <w:r>
        <w:rPr>
          <w:lang w:val="fr-FR"/>
        </w:rPr>
      </w:r>
    </w:p>
    <w:tbl>
      <w:tblPr>
        <w:tblW w:w="9310"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443"/>
        <w:gridCol w:w="1929"/>
        <w:gridCol w:w="1964"/>
        <w:gridCol w:w="1974"/>
      </w:tblGrid>
      <w:tr>
        <w:trPr>
          <w:trHeight w:val="572" w:hRule="atLeast"/>
        </w:trPr>
        <w:tc>
          <w:tcPr>
            <w:tcW w:w="34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autoSpaceDE w:val="false"/>
              <w:jc w:val="center"/>
              <w:rPr>
                <w:rFonts w:eastAsia="NotDefSpecial;Arial Unicode MS" w:cs="NotDefSpecial;Arial Unicode MS"/>
                <w:szCs w:val="22"/>
                <w:lang w:val="en-GB" w:eastAsia="fr-FR"/>
              </w:rPr>
            </w:pPr>
            <w:r>
              <w:rPr>
                <w:rFonts w:eastAsia="NotDefSpecial;Arial Unicode MS" w:cs="NotDefSpecial;Arial Unicode MS"/>
                <w:szCs w:val="22"/>
                <w:lang w:val="en-GB" w:eastAsia="fr-FR"/>
              </w:rPr>
              <w:t>thyssenkrupp</w:t>
            </w:r>
          </w:p>
          <w:p>
            <w:pPr>
              <w:pStyle w:val="Normal"/>
              <w:autoSpaceDE w:val="false"/>
              <w:jc w:val="center"/>
              <w:rPr>
                <w:rFonts w:eastAsia="NotDefSpecial;Arial Unicode MS" w:cs="NotDefSpecial;Arial Unicode MS"/>
                <w:szCs w:val="22"/>
                <w:lang w:val="en-GB" w:eastAsia="fr-FR"/>
              </w:rPr>
            </w:pPr>
            <w:r>
              <w:rPr>
                <w:rFonts w:eastAsia="NotDefSpecial;Arial Unicode MS" w:cs="NotDefSpecial;Arial Unicode MS"/>
                <w:szCs w:val="22"/>
                <w:lang w:val="en-GB" w:eastAsia="fr-FR"/>
              </w:rPr>
              <w:t>Electrical Steel UGO</w:t>
            </w:r>
          </w:p>
          <w:p>
            <w:pPr>
              <w:pStyle w:val="Normal"/>
              <w:autoSpaceDE w:val="false"/>
              <w:jc w:val="center"/>
              <w:rPr>
                <w:rFonts w:eastAsia="NotDefSpecial;Arial Unicode MS" w:cs="NotDefSpecial;Arial Unicode MS"/>
                <w:szCs w:val="22"/>
                <w:lang w:val="en-GB" w:eastAsia="fr-FR"/>
              </w:rPr>
            </w:pPr>
            <w:r>
              <w:rPr>
                <w:rFonts w:eastAsia="NotDefSpecial;Arial Unicode MS" w:cs="NotDefSpecial;Arial Unicode MS"/>
                <w:szCs w:val="22"/>
                <w:lang w:val="en-GB" w:eastAsia="fr-FR"/>
              </w:rPr>
            </w:r>
          </w:p>
        </w:tc>
        <w:tc>
          <w:tcPr>
            <w:tcW w:w="192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autoSpaceDE w:val="false"/>
              <w:jc w:val="center"/>
              <w:rPr>
                <w:rFonts w:eastAsia="NotDefSpecial;Arial Unicode MS" w:cs="NotDefSpecial;Arial Unicode MS"/>
                <w:szCs w:val="22"/>
                <w:lang w:val="fr-FR" w:eastAsia="fr-FR"/>
              </w:rPr>
            </w:pPr>
            <w:r>
              <w:rPr>
                <w:rFonts w:eastAsia="NotDefSpecial;Arial Unicode MS" w:cs="NotDefSpecial;Arial Unicode MS"/>
                <w:szCs w:val="22"/>
                <w:lang w:val="fr-FR" w:eastAsia="fr-FR"/>
              </w:rPr>
              <w:t>CFDT</w:t>
            </w:r>
          </w:p>
          <w:p>
            <w:pPr>
              <w:pStyle w:val="Normal"/>
              <w:autoSpaceDE w:val="false"/>
              <w:jc w:val="center"/>
              <w:rPr>
                <w:rFonts w:eastAsia="NotDefSpecial;Arial Unicode MS" w:cs="NotDefSpecial;Arial Unicode MS"/>
                <w:szCs w:val="22"/>
                <w:lang w:val="fr-FR" w:eastAsia="fr-FR"/>
              </w:rPr>
            </w:pPr>
            <w:r>
              <w:rPr>
                <w:rFonts w:eastAsia="NotDefSpecial;Arial Unicode MS" w:cs="NotDefSpecial;Arial Unicode MS"/>
                <w:szCs w:val="22"/>
                <w:lang w:val="fr-FR" w:eastAsia="fr-FR"/>
              </w:rPr>
            </w:r>
          </w:p>
        </w:tc>
        <w:tc>
          <w:tcPr>
            <w:tcW w:w="19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autoSpaceDE w:val="false"/>
              <w:jc w:val="center"/>
              <w:rPr>
                <w:rFonts w:eastAsia="NotDefSpecial;Arial Unicode MS" w:cs="NotDefSpecial;Arial Unicode MS"/>
                <w:szCs w:val="22"/>
                <w:lang w:val="fr-FR" w:eastAsia="fr-FR"/>
              </w:rPr>
            </w:pPr>
            <w:r>
              <w:rPr>
                <w:rFonts w:eastAsia="NotDefSpecial;Arial Unicode MS" w:cs="NotDefSpecial;Arial Unicode MS"/>
                <w:szCs w:val="22"/>
                <w:lang w:val="fr-FR" w:eastAsia="fr-FR"/>
              </w:rPr>
              <w:t>CFE/CGC</w:t>
            </w:r>
          </w:p>
          <w:p>
            <w:pPr>
              <w:pStyle w:val="Normal"/>
              <w:autoSpaceDE w:val="false"/>
              <w:jc w:val="center"/>
              <w:rPr>
                <w:rFonts w:eastAsia="NotDefSpecial;Arial Unicode MS" w:cs="NotDefSpecial;Arial Unicode MS"/>
                <w:szCs w:val="22"/>
                <w:lang w:val="fr-FR" w:eastAsia="fr-FR"/>
              </w:rPr>
            </w:pPr>
            <w:r>
              <w:rPr>
                <w:rFonts w:eastAsia="NotDefSpecial;Arial Unicode MS" w:cs="NotDefSpecial;Arial Unicode MS"/>
                <w:szCs w:val="22"/>
                <w:lang w:val="fr-FR" w:eastAsia="fr-FR"/>
              </w:rPr>
            </w:r>
          </w:p>
        </w:tc>
        <w:tc>
          <w:tcPr>
            <w:tcW w:w="19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autoSpaceDE w:val="false"/>
              <w:jc w:val="center"/>
              <w:rPr>
                <w:rFonts w:eastAsia="NotDefSpecial;Arial Unicode MS" w:cs="NotDefSpecial;Arial Unicode MS"/>
                <w:szCs w:val="22"/>
                <w:lang w:val="fr-FR" w:eastAsia="fr-FR"/>
              </w:rPr>
            </w:pPr>
            <w:r>
              <w:rPr>
                <w:rFonts w:eastAsia="NotDefSpecial;Arial Unicode MS" w:cs="NotDefSpecial;Arial Unicode MS"/>
                <w:szCs w:val="22"/>
                <w:lang w:val="fr-FR" w:eastAsia="fr-FR"/>
              </w:rPr>
              <w:t>CGT</w:t>
            </w:r>
          </w:p>
          <w:p>
            <w:pPr>
              <w:pStyle w:val="Normal"/>
              <w:autoSpaceDE w:val="false"/>
              <w:jc w:val="center"/>
              <w:rPr>
                <w:rFonts w:eastAsia="NotDefSpecial;Arial Unicode MS" w:cs="NotDefSpecial;Arial Unicode MS"/>
                <w:szCs w:val="22"/>
                <w:lang w:val="fr-FR" w:eastAsia="fr-FR"/>
              </w:rPr>
            </w:pPr>
            <w:r>
              <w:rPr>
                <w:rFonts w:eastAsia="NotDefSpecial;Arial Unicode MS" w:cs="NotDefSpecial;Arial Unicode MS"/>
                <w:szCs w:val="22"/>
                <w:lang w:val="fr-FR" w:eastAsia="fr-FR"/>
              </w:rPr>
            </w:r>
          </w:p>
        </w:tc>
      </w:tr>
      <w:tr>
        <w:trPr>
          <w:trHeight w:val="904" w:hRule="atLeast"/>
        </w:trPr>
        <w:tc>
          <w:tcPr>
            <w:tcW w:w="34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autoSpaceDE w:val="false"/>
              <w:snapToGrid w:val="false"/>
              <w:jc w:val="both"/>
              <w:rPr>
                <w:rFonts w:eastAsia="NotDefSpecial;Arial Unicode MS" w:cs="NotDefSpecial;Arial Unicode MS"/>
                <w:sz w:val="26"/>
                <w:szCs w:val="22"/>
                <w:lang w:val="fr-FR" w:eastAsia="fr-FR"/>
              </w:rPr>
            </w:pPr>
            <w:r>
              <w:rPr>
                <w:rFonts w:eastAsia="NotDefSpecial;Arial Unicode MS" w:cs="NotDefSpecial;Arial Unicode MS"/>
                <w:sz w:val="26"/>
                <w:szCs w:val="22"/>
                <w:lang w:val="fr-FR" w:eastAsia="fr-FR"/>
              </w:rPr>
            </w:r>
          </w:p>
          <w:p>
            <w:pPr>
              <w:pStyle w:val="Normal"/>
              <w:autoSpaceDE w:val="false"/>
              <w:jc w:val="both"/>
              <w:rPr>
                <w:rFonts w:eastAsia="NotDefSpecial;Arial Unicode MS" w:cs="NotDefSpecial;Arial Unicode MS"/>
                <w:szCs w:val="22"/>
                <w:lang w:val="fr-FR" w:eastAsia="fr-FR"/>
              </w:rPr>
            </w:pPr>
            <w:r>
              <w:rPr>
                <w:rFonts w:eastAsia="NotDefSpecial;Arial Unicode MS" w:cs="NotDefSpecial;Arial Unicode MS"/>
                <w:szCs w:val="22"/>
                <w:lang w:val="fr-FR" w:eastAsia="fr-FR"/>
              </w:rPr>
            </w:r>
          </w:p>
          <w:p>
            <w:pPr>
              <w:pStyle w:val="Normal"/>
              <w:autoSpaceDE w:val="false"/>
              <w:jc w:val="both"/>
              <w:rPr>
                <w:rFonts w:eastAsia="NotDefSpecial;Arial Unicode MS" w:cs="NotDefSpecial;Arial Unicode MS"/>
                <w:szCs w:val="22"/>
                <w:lang w:val="fr-FR" w:eastAsia="fr-FR"/>
              </w:rPr>
            </w:pPr>
            <w:r>
              <w:rPr>
                <w:rFonts w:eastAsia="NotDefSpecial;Arial Unicode MS" w:cs="NotDefSpecial;Arial Unicode MS"/>
                <w:szCs w:val="22"/>
                <w:lang w:val="fr-FR" w:eastAsia="fr-FR"/>
              </w:rPr>
            </w:r>
          </w:p>
          <w:p>
            <w:pPr>
              <w:pStyle w:val="Normal"/>
              <w:autoSpaceDE w:val="false"/>
              <w:jc w:val="both"/>
              <w:rPr>
                <w:rFonts w:eastAsia="NotDefSpecial;Arial Unicode MS" w:cs="NotDefSpecial;Arial Unicode MS"/>
                <w:szCs w:val="22"/>
                <w:lang w:val="fr-FR" w:eastAsia="fr-FR"/>
              </w:rPr>
            </w:pPr>
            <w:r>
              <w:rPr>
                <w:rFonts w:eastAsia="NotDefSpecial;Arial Unicode MS" w:cs="NotDefSpecial;Arial Unicode MS"/>
                <w:szCs w:val="22"/>
                <w:lang w:val="fr-FR" w:eastAsia="fr-FR"/>
              </w:rPr>
            </w:r>
          </w:p>
          <w:p>
            <w:pPr>
              <w:pStyle w:val="Normal"/>
              <w:autoSpaceDE w:val="false"/>
              <w:jc w:val="both"/>
              <w:rPr>
                <w:rFonts w:eastAsia="NotDefSpecial;Arial Unicode MS" w:cs="NotDefSpecial;Arial Unicode MS"/>
                <w:szCs w:val="22"/>
                <w:lang w:val="fr-FR" w:eastAsia="fr-FR"/>
              </w:rPr>
            </w:pPr>
            <w:r>
              <w:rPr>
                <w:rFonts w:eastAsia="NotDefSpecial;Arial Unicode MS" w:cs="NotDefSpecial;Arial Unicode MS"/>
                <w:szCs w:val="22"/>
                <w:lang w:val="fr-FR" w:eastAsia="fr-FR"/>
              </w:rPr>
            </w:r>
          </w:p>
        </w:tc>
        <w:tc>
          <w:tcPr>
            <w:tcW w:w="192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autoSpaceDE w:val="false"/>
              <w:snapToGrid w:val="false"/>
              <w:jc w:val="both"/>
              <w:rPr>
                <w:rFonts w:eastAsia="NotDefSpecial;Arial Unicode MS" w:cs="NotDefSpecial;Arial Unicode MS"/>
                <w:szCs w:val="22"/>
                <w:lang w:val="fr-FR" w:eastAsia="fr-FR"/>
              </w:rPr>
            </w:pPr>
            <w:r>
              <w:rPr>
                <w:rFonts w:eastAsia="NotDefSpecial;Arial Unicode MS" w:cs="NotDefSpecial;Arial Unicode MS"/>
                <w:szCs w:val="22"/>
                <w:lang w:val="fr-FR" w:eastAsia="fr-FR"/>
              </w:rPr>
            </w:r>
          </w:p>
        </w:tc>
        <w:tc>
          <w:tcPr>
            <w:tcW w:w="196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autoSpaceDE w:val="false"/>
              <w:snapToGrid w:val="false"/>
              <w:jc w:val="both"/>
              <w:rPr>
                <w:rFonts w:eastAsia="NotDefSpecial;Arial Unicode MS" w:cs="NotDefSpecial;Arial Unicode MS"/>
                <w:szCs w:val="22"/>
                <w:lang w:val="fr-FR" w:eastAsia="fr-FR"/>
              </w:rPr>
            </w:pPr>
            <w:r>
              <w:rPr>
                <w:rFonts w:eastAsia="NotDefSpecial;Arial Unicode MS" w:cs="NotDefSpecial;Arial Unicode MS"/>
                <w:szCs w:val="22"/>
                <w:lang w:val="fr-FR" w:eastAsia="fr-FR"/>
              </w:rPr>
            </w:r>
          </w:p>
        </w:tc>
        <w:tc>
          <w:tcPr>
            <w:tcW w:w="19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autoSpaceDE w:val="false"/>
              <w:snapToGrid w:val="false"/>
              <w:jc w:val="both"/>
              <w:rPr>
                <w:rFonts w:eastAsia="NotDefSpecial;Arial Unicode MS" w:cs="NotDefSpecial;Arial Unicode MS"/>
                <w:szCs w:val="22"/>
                <w:lang w:val="fr-FR" w:eastAsia="fr-FR"/>
              </w:rPr>
            </w:pPr>
            <w:r>
              <w:rPr>
                <w:rFonts w:eastAsia="NotDefSpecial;Arial Unicode MS" w:cs="NotDefSpecial;Arial Unicode MS"/>
                <w:szCs w:val="22"/>
                <w:lang w:val="fr-FR" w:eastAsia="fr-FR"/>
              </w:rPr>
            </w:r>
          </w:p>
        </w:tc>
      </w:tr>
    </w:tbl>
    <w:p>
      <w:pPr>
        <w:pStyle w:val="Normal"/>
        <w:rPr>
          <w:lang w:val="fr-FR"/>
        </w:rPr>
      </w:pPr>
      <w:r>
        <w:rPr>
          <w:lang w:val="fr-FR"/>
        </w:rPr>
      </w:r>
    </w:p>
    <w:p>
      <w:pPr>
        <w:pStyle w:val="Normal"/>
        <w:rPr>
          <w:lang w:val="fr-FR"/>
        </w:rPr>
      </w:pPr>
      <w:r>
        <w:rPr>
          <w:lang w:val="fr-FR"/>
        </w:rPr>
      </w:r>
    </w:p>
    <w:p>
      <w:pPr>
        <w:pStyle w:val="Normal"/>
        <w:spacing w:lineRule="auto" w:line="360"/>
        <w:jc w:val="center"/>
        <w:rPr>
          <w:b/>
          <w:b/>
          <w:sz w:val="32"/>
          <w:szCs w:val="32"/>
          <w:lang w:val="fr-FR"/>
        </w:rPr>
      </w:pPr>
      <w:r>
        <w:rPr>
          <w:b/>
          <w:sz w:val="32"/>
          <w:szCs w:val="32"/>
          <w:lang w:val="fr-FR"/>
        </w:rPr>
      </w:r>
    </w:p>
    <w:p>
      <w:pPr>
        <w:pStyle w:val="Normal"/>
        <w:spacing w:lineRule="auto" w:line="360"/>
        <w:jc w:val="center"/>
        <w:rPr>
          <w:b/>
          <w:b/>
          <w:sz w:val="32"/>
          <w:szCs w:val="32"/>
          <w:lang w:val="fr-FR"/>
        </w:rPr>
      </w:pPr>
      <w:r>
        <w:rPr>
          <w:b/>
          <w:sz w:val="32"/>
          <w:szCs w:val="32"/>
          <w:lang w:val="fr-FR"/>
        </w:rPr>
      </w:r>
    </w:p>
    <w:p>
      <w:pPr>
        <w:pStyle w:val="Normal"/>
        <w:spacing w:lineRule="auto" w:line="360"/>
        <w:jc w:val="center"/>
        <w:rPr>
          <w:b/>
          <w:b/>
          <w:sz w:val="32"/>
          <w:szCs w:val="32"/>
          <w:lang w:val="fr-FR"/>
        </w:rPr>
      </w:pPr>
      <w:r>
        <w:rPr>
          <w:b/>
          <w:sz w:val="32"/>
          <w:szCs w:val="32"/>
          <w:lang w:val="fr-FR"/>
        </w:rPr>
      </w:r>
    </w:p>
    <w:p>
      <w:pPr>
        <w:pStyle w:val="Normal"/>
        <w:spacing w:lineRule="auto" w:line="360"/>
        <w:jc w:val="center"/>
        <w:rPr>
          <w:b/>
          <w:b/>
          <w:sz w:val="32"/>
          <w:szCs w:val="32"/>
          <w:lang w:val="fr-FR"/>
        </w:rPr>
      </w:pPr>
      <w:r>
        <w:rPr>
          <w:b/>
          <w:sz w:val="32"/>
          <w:szCs w:val="32"/>
          <w:lang w:val="fr-FR"/>
        </w:rPr>
      </w:r>
    </w:p>
    <w:tbl>
      <w:tblPr>
        <w:tblW w:w="9535" w:type="dxa"/>
        <w:jc w:val="left"/>
        <w:tblInd w:w="70" w:type="dxa"/>
        <w:tblBorders/>
        <w:tblCellMar>
          <w:top w:w="0" w:type="dxa"/>
          <w:left w:w="70" w:type="dxa"/>
          <w:bottom w:w="0" w:type="dxa"/>
          <w:right w:w="70" w:type="dxa"/>
        </w:tblCellMar>
      </w:tblPr>
      <w:tblGrid>
        <w:gridCol w:w="809"/>
        <w:gridCol w:w="809"/>
        <w:gridCol w:w="809"/>
        <w:gridCol w:w="5296"/>
        <w:gridCol w:w="196"/>
        <w:gridCol w:w="808"/>
        <w:gridCol w:w="808"/>
      </w:tblGrid>
      <w:tr>
        <w:trPr>
          <w:trHeight w:val="405" w:hRule="atLeast"/>
        </w:trPr>
        <w:tc>
          <w:tcPr>
            <w:tcW w:w="809"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809"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809" w:type="dxa"/>
            <w:tcBorders/>
            <w:shd w:fill="FFFFFF" w:val="clear"/>
            <w:vAlign w:val="bottom"/>
          </w:tcPr>
          <w:p>
            <w:pPr>
              <w:pStyle w:val="Normal"/>
              <w:spacing w:lineRule="auto" w:line="240"/>
              <w:rPr>
                <w:rFonts w:ascii="Arial" w:hAnsi="Arial" w:cs="Arial"/>
                <w:b/>
                <w:b/>
                <w:bCs/>
                <w:sz w:val="32"/>
                <w:szCs w:val="32"/>
                <w:lang w:val="fr-FR" w:eastAsia="fr-FR"/>
              </w:rPr>
            </w:pPr>
            <w:r>
              <w:rPr>
                <w:rFonts w:cs="Arial" w:ascii="Arial" w:hAnsi="Arial"/>
                <w:b/>
                <w:bCs/>
                <w:sz w:val="32"/>
                <w:szCs w:val="32"/>
                <w:lang w:val="fr-FR" w:eastAsia="fr-FR"/>
              </w:rPr>
              <w:t> </w:t>
            </w:r>
          </w:p>
        </w:tc>
        <w:tc>
          <w:tcPr>
            <w:tcW w:w="5492" w:type="dxa"/>
            <w:gridSpan w:val="2"/>
            <w:tcBorders/>
            <w:shd w:fill="FFFFFF" w:val="clear"/>
            <w:vAlign w:val="bottom"/>
          </w:tcPr>
          <w:p>
            <w:pPr>
              <w:pStyle w:val="Normal"/>
              <w:spacing w:lineRule="auto" w:line="240"/>
              <w:jc w:val="center"/>
              <w:rPr>
                <w:rFonts w:ascii="Arial" w:hAnsi="Arial" w:cs="Arial"/>
                <w:b/>
                <w:b/>
                <w:bCs/>
                <w:sz w:val="32"/>
                <w:szCs w:val="32"/>
                <w:lang w:val="fr-FR" w:eastAsia="fr-FR"/>
              </w:rPr>
            </w:pPr>
            <w:r>
              <w:rPr>
                <w:rFonts w:cs="Arial" w:ascii="Arial" w:hAnsi="Arial"/>
                <w:b/>
                <w:bCs/>
                <w:sz w:val="32"/>
                <w:szCs w:val="32"/>
                <w:lang w:val="fr-FR" w:eastAsia="fr-FR"/>
              </w:rPr>
              <w:t>Annexe 1</w:t>
            </w:r>
          </w:p>
        </w:tc>
        <w:tc>
          <w:tcPr>
            <w:tcW w:w="808"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808"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r>
      <w:tr>
        <w:trPr>
          <w:trHeight w:val="405" w:hRule="atLeast"/>
        </w:trPr>
        <w:tc>
          <w:tcPr>
            <w:tcW w:w="809"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809"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809"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5296" w:type="dxa"/>
            <w:tcBorders/>
            <w:shd w:fill="FFFFFF" w:val="clear"/>
            <w:vAlign w:val="bottom"/>
          </w:tcPr>
          <w:p>
            <w:pPr>
              <w:pStyle w:val="Normal"/>
              <w:spacing w:lineRule="auto" w:line="240"/>
              <w:rPr>
                <w:rFonts w:ascii="Arial" w:hAnsi="Arial" w:cs="Arial"/>
                <w:b/>
                <w:b/>
                <w:bCs/>
                <w:sz w:val="32"/>
                <w:szCs w:val="32"/>
                <w:lang w:val="fr-FR" w:eastAsia="fr-FR"/>
              </w:rPr>
            </w:pPr>
            <w:r>
              <w:rPr>
                <w:rFonts w:cs="Arial" w:ascii="Arial" w:hAnsi="Arial"/>
                <w:b/>
                <w:bCs/>
                <w:sz w:val="32"/>
                <w:szCs w:val="32"/>
                <w:lang w:val="fr-FR" w:eastAsia="fr-FR"/>
              </w:rPr>
              <w:t> </w:t>
            </w:r>
          </w:p>
        </w:tc>
        <w:tc>
          <w:tcPr>
            <w:tcW w:w="196"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808"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808"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r>
      <w:tr>
        <w:trPr>
          <w:trHeight w:val="405" w:hRule="atLeast"/>
        </w:trPr>
        <w:tc>
          <w:tcPr>
            <w:tcW w:w="809"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809"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809"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5296" w:type="dxa"/>
            <w:tcBorders/>
            <w:shd w:fill="FFFFFF" w:val="clear"/>
            <w:vAlign w:val="bottom"/>
          </w:tcPr>
          <w:p>
            <w:pPr>
              <w:pStyle w:val="Normal"/>
              <w:spacing w:lineRule="auto" w:line="240"/>
              <w:jc w:val="center"/>
              <w:rPr>
                <w:rFonts w:ascii="Arial" w:hAnsi="Arial" w:cs="Arial"/>
                <w:b/>
                <w:b/>
                <w:bCs/>
                <w:sz w:val="32"/>
                <w:szCs w:val="32"/>
                <w:lang w:val="fr-FR" w:eastAsia="fr-FR"/>
              </w:rPr>
            </w:pPr>
            <w:r>
              <w:rPr>
                <w:rFonts w:cs="Arial" w:ascii="Arial" w:hAnsi="Arial"/>
                <w:b/>
                <w:bCs/>
                <w:sz w:val="32"/>
                <w:szCs w:val="32"/>
                <w:lang w:val="fr-FR" w:eastAsia="fr-FR"/>
              </w:rPr>
              <w:t>Pour rappel : Grille des salaires de base applicables</w:t>
            </w:r>
          </w:p>
        </w:tc>
        <w:tc>
          <w:tcPr>
            <w:tcW w:w="196"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808"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808"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r>
      <w:tr>
        <w:trPr>
          <w:trHeight w:val="405" w:hRule="atLeast"/>
        </w:trPr>
        <w:tc>
          <w:tcPr>
            <w:tcW w:w="809"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809"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809"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5296" w:type="dxa"/>
            <w:tcBorders/>
            <w:shd w:fill="FFFFFF" w:val="clear"/>
            <w:vAlign w:val="bottom"/>
          </w:tcPr>
          <w:p>
            <w:pPr>
              <w:pStyle w:val="Normal"/>
              <w:spacing w:lineRule="auto" w:line="240"/>
              <w:rPr>
                <w:rFonts w:ascii="Arial" w:hAnsi="Arial" w:cs="Arial"/>
                <w:b/>
                <w:b/>
                <w:bCs/>
                <w:sz w:val="32"/>
                <w:szCs w:val="32"/>
                <w:lang w:val="fr-FR" w:eastAsia="fr-FR"/>
              </w:rPr>
            </w:pPr>
            <w:r>
              <w:rPr>
                <w:rFonts w:cs="Arial" w:ascii="Arial" w:hAnsi="Arial"/>
                <w:b/>
                <w:bCs/>
                <w:sz w:val="32"/>
                <w:szCs w:val="32"/>
                <w:lang w:val="fr-FR" w:eastAsia="fr-FR"/>
              </w:rPr>
              <w:t> </w:t>
            </w:r>
          </w:p>
        </w:tc>
        <w:tc>
          <w:tcPr>
            <w:tcW w:w="196"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808"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808"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r>
      <w:tr>
        <w:trPr>
          <w:trHeight w:val="405" w:hRule="atLeast"/>
        </w:trPr>
        <w:tc>
          <w:tcPr>
            <w:tcW w:w="809"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809"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809"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5296" w:type="dxa"/>
            <w:tcBorders/>
            <w:shd w:fill="FFFFFF" w:val="clear"/>
            <w:vAlign w:val="bottom"/>
          </w:tcPr>
          <w:p>
            <w:pPr>
              <w:pStyle w:val="Normal"/>
              <w:spacing w:lineRule="auto" w:line="240"/>
              <w:jc w:val="center"/>
              <w:rPr>
                <w:rFonts w:ascii="Arial" w:hAnsi="Arial" w:cs="Arial"/>
                <w:b/>
                <w:b/>
                <w:bCs/>
                <w:sz w:val="32"/>
                <w:szCs w:val="32"/>
                <w:lang w:val="fr-FR" w:eastAsia="fr-FR"/>
              </w:rPr>
            </w:pPr>
            <w:r>
              <w:rPr>
                <w:rFonts w:cs="Arial" w:ascii="Arial" w:hAnsi="Arial"/>
                <w:b/>
                <w:bCs/>
                <w:sz w:val="32"/>
                <w:szCs w:val="32"/>
                <w:lang w:val="fr-FR" w:eastAsia="fr-FR"/>
              </w:rPr>
              <w:t>au 01/01/2022</w:t>
            </w:r>
          </w:p>
        </w:tc>
        <w:tc>
          <w:tcPr>
            <w:tcW w:w="196"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808"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808"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r>
      <w:tr>
        <w:trPr>
          <w:trHeight w:val="405" w:hRule="atLeast"/>
        </w:trPr>
        <w:tc>
          <w:tcPr>
            <w:tcW w:w="809"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809"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809" w:type="dxa"/>
            <w:tcBorders/>
            <w:shd w:fill="FFFFFF" w:val="clear"/>
            <w:vAlign w:val="bottom"/>
          </w:tcPr>
          <w:p>
            <w:pPr>
              <w:pStyle w:val="Normal"/>
              <w:spacing w:lineRule="auto" w:line="240"/>
              <w:rPr>
                <w:rFonts w:ascii="Arial" w:hAnsi="Arial" w:cs="Arial"/>
                <w:sz w:val="20"/>
                <w:lang w:val="fr-FR" w:eastAsia="fr-FR"/>
              </w:rPr>
            </w:pPr>
            <w:r>
              <w:rPr>
                <w:rFonts w:cs="Arial" w:ascii="Arial" w:hAnsi="Arial"/>
                <w:sz w:val="20"/>
                <w:lang w:val="fr-FR" w:eastAsia="fr-FR"/>
              </w:rPr>
              <w:t> </w:t>
            </w:r>
          </w:p>
        </w:tc>
        <w:tc>
          <w:tcPr>
            <w:tcW w:w="5296" w:type="dxa"/>
            <w:tcBorders/>
            <w:shd w:fill="FFFFFF" w:val="clear"/>
            <w:vAlign w:val="bottom"/>
          </w:tcPr>
          <w:p>
            <w:pPr>
              <w:pStyle w:val="Normal"/>
              <w:snapToGrid w:val="false"/>
              <w:spacing w:lineRule="auto" w:line="240"/>
              <w:jc w:val="center"/>
              <w:rPr>
                <w:rFonts w:ascii="Arial" w:hAnsi="Arial" w:cs="Arial"/>
                <w:b/>
                <w:b/>
                <w:bCs/>
                <w:sz w:val="32"/>
                <w:szCs w:val="32"/>
                <w:highlight w:val="yellow"/>
                <w:lang w:val="fr-FR" w:eastAsia="fr-FR"/>
              </w:rPr>
            </w:pPr>
            <w:r>
              <w:rPr>
                <w:rFonts w:cs="Arial" w:ascii="Arial" w:hAnsi="Arial"/>
                <w:b/>
                <w:bCs/>
                <w:sz w:val="32"/>
                <w:szCs w:val="32"/>
                <w:highlight w:val="yellow"/>
                <w:lang w:val="fr-FR" w:eastAsia="fr-FR"/>
              </w:rPr>
            </w:r>
          </w:p>
        </w:tc>
        <w:tc>
          <w:tcPr>
            <w:tcW w:w="196" w:type="dxa"/>
            <w:tcBorders/>
            <w:shd w:fill="FFFFFF" w:val="clear"/>
            <w:vAlign w:val="bottom"/>
          </w:tcPr>
          <w:p>
            <w:pPr>
              <w:pStyle w:val="Normal"/>
              <w:snapToGrid w:val="false"/>
              <w:spacing w:lineRule="auto" w:line="240"/>
              <w:rPr>
                <w:rFonts w:ascii="Arial" w:hAnsi="Arial" w:cs="Arial"/>
                <w:b/>
                <w:b/>
                <w:bCs/>
                <w:sz w:val="20"/>
                <w:szCs w:val="32"/>
                <w:highlight w:val="yellow"/>
                <w:lang w:val="fr-FR" w:eastAsia="fr-FR"/>
              </w:rPr>
            </w:pPr>
            <w:r>
              <w:rPr>
                <w:rFonts w:cs="Arial" w:ascii="Arial" w:hAnsi="Arial"/>
                <w:b/>
                <w:bCs/>
                <w:sz w:val="20"/>
                <w:szCs w:val="32"/>
                <w:highlight w:val="yellow"/>
                <w:lang w:val="fr-FR" w:eastAsia="fr-FR"/>
              </w:rPr>
            </w:r>
          </w:p>
        </w:tc>
        <w:tc>
          <w:tcPr>
            <w:tcW w:w="808" w:type="dxa"/>
            <w:tcBorders/>
            <w:shd w:fill="FFFFFF" w:val="clear"/>
            <w:vAlign w:val="bottom"/>
          </w:tcPr>
          <w:p>
            <w:pPr>
              <w:pStyle w:val="Normal"/>
              <w:snapToGrid w:val="false"/>
              <w:spacing w:lineRule="auto" w:line="240"/>
              <w:rPr>
                <w:rFonts w:ascii="Arial" w:hAnsi="Arial" w:cs="Arial"/>
                <w:sz w:val="20"/>
                <w:lang w:val="fr-FR" w:eastAsia="fr-FR"/>
              </w:rPr>
            </w:pPr>
            <w:r>
              <w:rPr>
                <w:rFonts w:cs="Arial" w:ascii="Arial" w:hAnsi="Arial"/>
                <w:sz w:val="20"/>
                <w:lang w:val="fr-FR" w:eastAsia="fr-FR"/>
              </w:rPr>
            </w:r>
          </w:p>
        </w:tc>
        <w:tc>
          <w:tcPr>
            <w:tcW w:w="808" w:type="dxa"/>
            <w:tcBorders/>
            <w:shd w:fill="FFFFFF" w:val="clear"/>
            <w:vAlign w:val="bottom"/>
          </w:tcPr>
          <w:p>
            <w:pPr>
              <w:pStyle w:val="Normal"/>
              <w:snapToGrid w:val="false"/>
              <w:spacing w:lineRule="auto" w:line="240"/>
              <w:rPr>
                <w:rFonts w:ascii="Arial" w:hAnsi="Arial" w:cs="Arial"/>
                <w:sz w:val="20"/>
                <w:lang w:val="fr-FR" w:eastAsia="fr-FR"/>
              </w:rPr>
            </w:pPr>
            <w:r>
              <w:rPr>
                <w:rFonts w:cs="Arial" w:ascii="Arial" w:hAnsi="Arial"/>
                <w:sz w:val="20"/>
                <w:lang w:val="fr-FR" w:eastAsia="fr-FR"/>
              </w:rPr>
            </w:r>
          </w:p>
        </w:tc>
      </w:tr>
    </w:tbl>
    <w:p>
      <w:pPr>
        <w:pStyle w:val="Normal"/>
        <w:rPr/>
      </w:pPr>
      <w:r>
        <w:rPr/>
      </w:r>
    </w:p>
    <w:p>
      <w:pPr>
        <w:pStyle w:val="Normal"/>
        <w:rPr/>
      </w:pPr>
      <w:r>
        <w:rPr/>
      </w:r>
    </w:p>
    <w:p>
      <w:pPr>
        <w:pStyle w:val="Normal"/>
        <w:rPr/>
      </w:pPr>
      <w:r>
        <w:rPr/>
      </w:r>
    </w:p>
    <w:tbl>
      <w:tblPr>
        <w:tblW w:w="2960" w:type="dxa"/>
        <w:jc w:val="left"/>
        <w:tblInd w:w="3529" w:type="dxa"/>
        <w:tblBorders>
          <w:top w:val="single" w:sz="8" w:space="0" w:color="000000"/>
          <w:left w:val="single" w:sz="8" w:space="0" w:color="000000"/>
          <w:bottom w:val="single" w:sz="4" w:space="0" w:color="000000"/>
          <w:insideH w:val="single" w:sz="4" w:space="0" w:color="000000"/>
        </w:tblBorders>
        <w:tblCellMar>
          <w:top w:w="0" w:type="dxa"/>
          <w:left w:w="60" w:type="dxa"/>
          <w:bottom w:w="0" w:type="dxa"/>
          <w:right w:w="70" w:type="dxa"/>
        </w:tblCellMar>
      </w:tblPr>
      <w:tblGrid>
        <w:gridCol w:w="1180"/>
        <w:gridCol w:w="1780"/>
      </w:tblGrid>
      <w:tr>
        <w:trPr>
          <w:trHeight w:val="1200" w:hRule="atLeast"/>
        </w:trPr>
        <w:tc>
          <w:tcPr>
            <w:tcW w:w="1180" w:type="dxa"/>
            <w:tcBorders>
              <w:top w:val="single" w:sz="8" w:space="0" w:color="000000"/>
              <w:left w:val="single" w:sz="8" w:space="0" w:color="000000"/>
              <w:bottom w:val="single" w:sz="4" w:space="0" w:color="000000"/>
              <w:insideH w:val="single" w:sz="4" w:space="0" w:color="000000"/>
            </w:tcBorders>
            <w:shd w:fill="auto" w:val="clear"/>
            <w:tcMar>
              <w:left w:w="60" w:type="dxa"/>
            </w:tcMar>
            <w:vAlign w:val="center"/>
          </w:tcPr>
          <w:p>
            <w:pPr>
              <w:pStyle w:val="Normal"/>
              <w:spacing w:lineRule="auto" w:line="240"/>
              <w:jc w:val="center"/>
              <w:rPr>
                <w:color w:val="000000"/>
                <w:szCs w:val="22"/>
                <w:lang w:val="fr-FR" w:eastAsia="fr-FR"/>
              </w:rPr>
            </w:pPr>
            <w:r>
              <w:rPr>
                <w:color w:val="000000"/>
                <w:szCs w:val="22"/>
                <w:lang w:val="fr-FR" w:eastAsia="fr-FR"/>
              </w:rPr>
              <w:t>Coef</w:t>
            </w:r>
          </w:p>
        </w:tc>
        <w:tc>
          <w:tcPr>
            <w:tcW w:w="1780"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bottom"/>
          </w:tcPr>
          <w:p>
            <w:pPr>
              <w:pStyle w:val="Normal"/>
              <w:spacing w:lineRule="auto" w:line="240"/>
              <w:jc w:val="center"/>
              <w:rPr>
                <w:b/>
                <w:b/>
                <w:bCs/>
                <w:color w:val="000000"/>
                <w:szCs w:val="22"/>
                <w:lang w:val="fr-FR" w:eastAsia="fr-FR"/>
              </w:rPr>
            </w:pPr>
            <w:r>
              <w:rPr>
                <w:b/>
                <w:bCs/>
                <w:color w:val="000000"/>
                <w:szCs w:val="22"/>
                <w:lang w:val="fr-FR" w:eastAsia="fr-FR"/>
              </w:rPr>
              <w:t>Grille des salaires applicable au 01/01/2022</w:t>
            </w:r>
          </w:p>
        </w:tc>
      </w:tr>
      <w:tr>
        <w:trPr>
          <w:trHeight w:val="278" w:hRule="atLeast"/>
        </w:trPr>
        <w:tc>
          <w:tcPr>
            <w:tcW w:w="1180" w:type="dxa"/>
            <w:tcBorders>
              <w:left w:val="single" w:sz="8" w:space="0" w:color="000000"/>
              <w:bottom w:val="single" w:sz="4" w:space="0" w:color="000000"/>
              <w:insideH w:val="single" w:sz="4" w:space="0" w:color="000000"/>
            </w:tcBorders>
            <w:shd w:fill="auto" w:val="clear"/>
            <w:tcMar>
              <w:left w:w="60" w:type="dxa"/>
            </w:tcMar>
            <w:vAlign w:val="bottom"/>
          </w:tcPr>
          <w:p>
            <w:pPr>
              <w:pStyle w:val="Normal"/>
              <w:spacing w:lineRule="auto" w:line="240"/>
              <w:jc w:val="center"/>
              <w:rPr>
                <w:color w:val="000000"/>
                <w:szCs w:val="22"/>
                <w:lang w:val="fr-FR" w:eastAsia="fr-FR"/>
              </w:rPr>
            </w:pPr>
            <w:r>
              <w:rPr>
                <w:color w:val="000000"/>
                <w:szCs w:val="22"/>
                <w:lang w:val="fr-FR" w:eastAsia="fr-FR"/>
              </w:rPr>
              <w:t>170</w:t>
            </w:r>
          </w:p>
        </w:tc>
        <w:tc>
          <w:tcPr>
            <w:tcW w:w="1780"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bottom"/>
          </w:tcPr>
          <w:p>
            <w:pPr>
              <w:pStyle w:val="Normal"/>
              <w:spacing w:lineRule="auto" w:line="240"/>
              <w:jc w:val="center"/>
              <w:rPr>
                <w:b/>
                <w:b/>
                <w:bCs/>
                <w:color w:val="000000"/>
                <w:szCs w:val="22"/>
                <w:lang w:val="fr-FR" w:eastAsia="fr-FR"/>
              </w:rPr>
            </w:pPr>
            <w:r>
              <w:rPr>
                <w:b/>
                <w:bCs/>
                <w:color w:val="000000"/>
                <w:szCs w:val="22"/>
                <w:lang w:val="fr-FR" w:eastAsia="fr-FR"/>
              </w:rPr>
              <w:t xml:space="preserve">1 673,12  </w:t>
            </w:r>
          </w:p>
        </w:tc>
      </w:tr>
      <w:tr>
        <w:trPr>
          <w:trHeight w:val="278" w:hRule="atLeast"/>
        </w:trPr>
        <w:tc>
          <w:tcPr>
            <w:tcW w:w="1180" w:type="dxa"/>
            <w:tcBorders>
              <w:left w:val="single" w:sz="8" w:space="0" w:color="000000"/>
              <w:bottom w:val="single" w:sz="4" w:space="0" w:color="000000"/>
              <w:insideH w:val="single" w:sz="4" w:space="0" w:color="000000"/>
            </w:tcBorders>
            <w:shd w:fill="auto" w:val="clear"/>
            <w:tcMar>
              <w:left w:w="60" w:type="dxa"/>
            </w:tcMar>
            <w:vAlign w:val="bottom"/>
          </w:tcPr>
          <w:p>
            <w:pPr>
              <w:pStyle w:val="Normal"/>
              <w:spacing w:lineRule="auto" w:line="240"/>
              <w:jc w:val="center"/>
              <w:rPr>
                <w:color w:val="000000"/>
                <w:szCs w:val="22"/>
                <w:lang w:val="fr-FR" w:eastAsia="fr-FR"/>
              </w:rPr>
            </w:pPr>
            <w:r>
              <w:rPr>
                <w:color w:val="000000"/>
                <w:szCs w:val="22"/>
                <w:lang w:val="fr-FR" w:eastAsia="fr-FR"/>
              </w:rPr>
              <w:t>180</w:t>
            </w:r>
          </w:p>
        </w:tc>
        <w:tc>
          <w:tcPr>
            <w:tcW w:w="1780"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bottom"/>
          </w:tcPr>
          <w:p>
            <w:pPr>
              <w:pStyle w:val="Normal"/>
              <w:spacing w:lineRule="auto" w:line="240"/>
              <w:jc w:val="center"/>
              <w:rPr>
                <w:b/>
                <w:b/>
                <w:bCs/>
                <w:color w:val="000000"/>
                <w:szCs w:val="22"/>
                <w:lang w:val="fr-FR" w:eastAsia="fr-FR"/>
              </w:rPr>
            </w:pPr>
            <w:r>
              <w:rPr>
                <w:b/>
                <w:bCs/>
                <w:color w:val="000000"/>
                <w:szCs w:val="22"/>
                <w:lang w:val="fr-FR" w:eastAsia="fr-FR"/>
              </w:rPr>
              <w:t xml:space="preserve">1 706,58  </w:t>
            </w:r>
          </w:p>
        </w:tc>
      </w:tr>
      <w:tr>
        <w:trPr>
          <w:trHeight w:val="278" w:hRule="atLeast"/>
        </w:trPr>
        <w:tc>
          <w:tcPr>
            <w:tcW w:w="1180" w:type="dxa"/>
            <w:tcBorders>
              <w:left w:val="single" w:sz="8" w:space="0" w:color="000000"/>
              <w:bottom w:val="single" w:sz="4" w:space="0" w:color="000000"/>
              <w:insideH w:val="single" w:sz="4" w:space="0" w:color="000000"/>
            </w:tcBorders>
            <w:shd w:fill="auto" w:val="clear"/>
            <w:tcMar>
              <w:left w:w="60" w:type="dxa"/>
            </w:tcMar>
            <w:vAlign w:val="bottom"/>
          </w:tcPr>
          <w:p>
            <w:pPr>
              <w:pStyle w:val="Normal"/>
              <w:spacing w:lineRule="auto" w:line="240"/>
              <w:jc w:val="center"/>
              <w:rPr>
                <w:color w:val="000000"/>
                <w:szCs w:val="22"/>
                <w:lang w:val="fr-FR" w:eastAsia="fr-FR"/>
              </w:rPr>
            </w:pPr>
            <w:r>
              <w:rPr>
                <w:color w:val="000000"/>
                <w:szCs w:val="22"/>
                <w:lang w:val="fr-FR" w:eastAsia="fr-FR"/>
              </w:rPr>
              <w:t>190</w:t>
            </w:r>
          </w:p>
        </w:tc>
        <w:tc>
          <w:tcPr>
            <w:tcW w:w="1780"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bottom"/>
          </w:tcPr>
          <w:p>
            <w:pPr>
              <w:pStyle w:val="Normal"/>
              <w:spacing w:lineRule="auto" w:line="240"/>
              <w:jc w:val="center"/>
              <w:rPr>
                <w:b/>
                <w:b/>
                <w:bCs/>
                <w:color w:val="000000"/>
                <w:szCs w:val="22"/>
                <w:lang w:val="fr-FR" w:eastAsia="fr-FR"/>
              </w:rPr>
            </w:pPr>
            <w:r>
              <w:rPr>
                <w:b/>
                <w:bCs/>
                <w:color w:val="000000"/>
                <w:szCs w:val="22"/>
                <w:lang w:val="fr-FR" w:eastAsia="fr-FR"/>
              </w:rPr>
              <w:t xml:space="preserve">1 740,71  </w:t>
            </w:r>
          </w:p>
        </w:tc>
      </w:tr>
      <w:tr>
        <w:trPr>
          <w:trHeight w:val="278" w:hRule="atLeast"/>
        </w:trPr>
        <w:tc>
          <w:tcPr>
            <w:tcW w:w="1180" w:type="dxa"/>
            <w:tcBorders>
              <w:left w:val="single" w:sz="8" w:space="0" w:color="000000"/>
              <w:bottom w:val="single" w:sz="4" w:space="0" w:color="000000"/>
              <w:insideH w:val="single" w:sz="4" w:space="0" w:color="000000"/>
            </w:tcBorders>
            <w:shd w:fill="auto" w:val="clear"/>
            <w:tcMar>
              <w:left w:w="60" w:type="dxa"/>
            </w:tcMar>
            <w:vAlign w:val="bottom"/>
          </w:tcPr>
          <w:p>
            <w:pPr>
              <w:pStyle w:val="Normal"/>
              <w:spacing w:lineRule="auto" w:line="240"/>
              <w:jc w:val="center"/>
              <w:rPr>
                <w:color w:val="000000"/>
                <w:szCs w:val="22"/>
                <w:lang w:val="fr-FR" w:eastAsia="fr-FR"/>
              </w:rPr>
            </w:pPr>
            <w:r>
              <w:rPr>
                <w:color w:val="000000"/>
                <w:szCs w:val="22"/>
                <w:lang w:val="fr-FR" w:eastAsia="fr-FR"/>
              </w:rPr>
              <w:t>215</w:t>
            </w:r>
          </w:p>
        </w:tc>
        <w:tc>
          <w:tcPr>
            <w:tcW w:w="1780"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bottom"/>
          </w:tcPr>
          <w:p>
            <w:pPr>
              <w:pStyle w:val="Normal"/>
              <w:spacing w:lineRule="auto" w:line="240"/>
              <w:jc w:val="center"/>
              <w:rPr>
                <w:b/>
                <w:b/>
                <w:bCs/>
                <w:color w:val="000000"/>
                <w:szCs w:val="22"/>
                <w:lang w:val="fr-FR" w:eastAsia="fr-FR"/>
              </w:rPr>
            </w:pPr>
            <w:r>
              <w:rPr>
                <w:b/>
                <w:bCs/>
                <w:color w:val="000000"/>
                <w:szCs w:val="22"/>
                <w:lang w:val="fr-FR" w:eastAsia="fr-FR"/>
              </w:rPr>
              <w:t xml:space="preserve">1 775,53  </w:t>
            </w:r>
          </w:p>
        </w:tc>
      </w:tr>
      <w:tr>
        <w:trPr>
          <w:trHeight w:val="278" w:hRule="atLeast"/>
        </w:trPr>
        <w:tc>
          <w:tcPr>
            <w:tcW w:w="1180" w:type="dxa"/>
            <w:tcBorders>
              <w:left w:val="single" w:sz="8" w:space="0" w:color="000000"/>
              <w:bottom w:val="single" w:sz="4" w:space="0" w:color="000000"/>
              <w:insideH w:val="single" w:sz="4" w:space="0" w:color="000000"/>
            </w:tcBorders>
            <w:shd w:fill="auto" w:val="clear"/>
            <w:tcMar>
              <w:left w:w="60" w:type="dxa"/>
            </w:tcMar>
            <w:vAlign w:val="bottom"/>
          </w:tcPr>
          <w:p>
            <w:pPr>
              <w:pStyle w:val="Normal"/>
              <w:spacing w:lineRule="auto" w:line="240"/>
              <w:jc w:val="center"/>
              <w:rPr>
                <w:color w:val="000000"/>
                <w:szCs w:val="22"/>
                <w:lang w:val="fr-FR" w:eastAsia="fr-FR"/>
              </w:rPr>
            </w:pPr>
            <w:r>
              <w:rPr>
                <w:color w:val="000000"/>
                <w:szCs w:val="22"/>
                <w:lang w:val="fr-FR" w:eastAsia="fr-FR"/>
              </w:rPr>
              <w:t>225</w:t>
            </w:r>
          </w:p>
        </w:tc>
        <w:tc>
          <w:tcPr>
            <w:tcW w:w="1780"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bottom"/>
          </w:tcPr>
          <w:p>
            <w:pPr>
              <w:pStyle w:val="Normal"/>
              <w:spacing w:lineRule="auto" w:line="240"/>
              <w:jc w:val="center"/>
              <w:rPr>
                <w:b/>
                <w:b/>
                <w:bCs/>
                <w:color w:val="000000"/>
                <w:szCs w:val="22"/>
                <w:lang w:val="fr-FR" w:eastAsia="fr-FR"/>
              </w:rPr>
            </w:pPr>
            <w:r>
              <w:rPr>
                <w:b/>
                <w:bCs/>
                <w:color w:val="000000"/>
                <w:szCs w:val="22"/>
                <w:lang w:val="fr-FR" w:eastAsia="fr-FR"/>
              </w:rPr>
              <w:t xml:space="preserve">1 811,04  </w:t>
            </w:r>
          </w:p>
        </w:tc>
      </w:tr>
      <w:tr>
        <w:trPr>
          <w:trHeight w:val="278" w:hRule="atLeast"/>
        </w:trPr>
        <w:tc>
          <w:tcPr>
            <w:tcW w:w="1180" w:type="dxa"/>
            <w:tcBorders>
              <w:left w:val="single" w:sz="8" w:space="0" w:color="000000"/>
              <w:bottom w:val="single" w:sz="4" w:space="0" w:color="000000"/>
              <w:insideH w:val="single" w:sz="4" w:space="0" w:color="000000"/>
            </w:tcBorders>
            <w:shd w:fill="auto" w:val="clear"/>
            <w:tcMar>
              <w:left w:w="60" w:type="dxa"/>
            </w:tcMar>
            <w:vAlign w:val="bottom"/>
          </w:tcPr>
          <w:p>
            <w:pPr>
              <w:pStyle w:val="Normal"/>
              <w:spacing w:lineRule="auto" w:line="240"/>
              <w:jc w:val="center"/>
              <w:rPr>
                <w:color w:val="000000"/>
                <w:szCs w:val="22"/>
                <w:lang w:val="fr-FR" w:eastAsia="fr-FR"/>
              </w:rPr>
            </w:pPr>
            <w:r>
              <w:rPr>
                <w:color w:val="000000"/>
                <w:szCs w:val="22"/>
                <w:lang w:val="fr-FR" w:eastAsia="fr-FR"/>
              </w:rPr>
              <w:t>240</w:t>
            </w:r>
          </w:p>
        </w:tc>
        <w:tc>
          <w:tcPr>
            <w:tcW w:w="1780"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bottom"/>
          </w:tcPr>
          <w:p>
            <w:pPr>
              <w:pStyle w:val="Normal"/>
              <w:spacing w:lineRule="auto" w:line="240"/>
              <w:jc w:val="center"/>
              <w:rPr>
                <w:b/>
                <w:b/>
                <w:bCs/>
                <w:color w:val="000000"/>
                <w:szCs w:val="22"/>
                <w:lang w:val="fr-FR" w:eastAsia="fr-FR"/>
              </w:rPr>
            </w:pPr>
            <w:r>
              <w:rPr>
                <w:b/>
                <w:bCs/>
                <w:color w:val="000000"/>
                <w:szCs w:val="22"/>
                <w:lang w:val="fr-FR" w:eastAsia="fr-FR"/>
              </w:rPr>
              <w:t xml:space="preserve">1 847,26  </w:t>
            </w:r>
          </w:p>
        </w:tc>
      </w:tr>
      <w:tr>
        <w:trPr>
          <w:trHeight w:val="278" w:hRule="atLeast"/>
        </w:trPr>
        <w:tc>
          <w:tcPr>
            <w:tcW w:w="1180" w:type="dxa"/>
            <w:tcBorders>
              <w:left w:val="single" w:sz="8" w:space="0" w:color="000000"/>
              <w:bottom w:val="single" w:sz="4" w:space="0" w:color="000000"/>
              <w:insideH w:val="single" w:sz="4" w:space="0" w:color="000000"/>
            </w:tcBorders>
            <w:shd w:fill="auto" w:val="clear"/>
            <w:tcMar>
              <w:left w:w="60" w:type="dxa"/>
            </w:tcMar>
            <w:vAlign w:val="bottom"/>
          </w:tcPr>
          <w:p>
            <w:pPr>
              <w:pStyle w:val="Normal"/>
              <w:spacing w:lineRule="auto" w:line="240"/>
              <w:jc w:val="center"/>
              <w:rPr>
                <w:color w:val="000000"/>
                <w:szCs w:val="22"/>
                <w:lang w:val="fr-FR" w:eastAsia="fr-FR"/>
              </w:rPr>
            </w:pPr>
            <w:r>
              <w:rPr>
                <w:color w:val="000000"/>
                <w:szCs w:val="22"/>
                <w:lang w:val="fr-FR" w:eastAsia="fr-FR"/>
              </w:rPr>
              <w:t>255</w:t>
            </w:r>
          </w:p>
        </w:tc>
        <w:tc>
          <w:tcPr>
            <w:tcW w:w="1780"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bottom"/>
          </w:tcPr>
          <w:p>
            <w:pPr>
              <w:pStyle w:val="Normal"/>
              <w:spacing w:lineRule="auto" w:line="240"/>
              <w:jc w:val="center"/>
              <w:rPr>
                <w:b/>
                <w:b/>
                <w:bCs/>
                <w:color w:val="000000"/>
                <w:szCs w:val="22"/>
                <w:lang w:val="fr-FR" w:eastAsia="fr-FR"/>
              </w:rPr>
            </w:pPr>
            <w:r>
              <w:rPr>
                <w:b/>
                <w:bCs/>
                <w:color w:val="000000"/>
                <w:szCs w:val="22"/>
                <w:lang w:val="fr-FR" w:eastAsia="fr-FR"/>
              </w:rPr>
              <w:t xml:space="preserve">1 921,04  </w:t>
            </w:r>
          </w:p>
        </w:tc>
      </w:tr>
      <w:tr>
        <w:trPr>
          <w:trHeight w:val="278" w:hRule="atLeast"/>
        </w:trPr>
        <w:tc>
          <w:tcPr>
            <w:tcW w:w="1180" w:type="dxa"/>
            <w:tcBorders>
              <w:left w:val="single" w:sz="8" w:space="0" w:color="000000"/>
              <w:bottom w:val="single" w:sz="4" w:space="0" w:color="000000"/>
              <w:insideH w:val="single" w:sz="4" w:space="0" w:color="000000"/>
            </w:tcBorders>
            <w:shd w:fill="auto" w:val="clear"/>
            <w:tcMar>
              <w:left w:w="60" w:type="dxa"/>
            </w:tcMar>
            <w:vAlign w:val="bottom"/>
          </w:tcPr>
          <w:p>
            <w:pPr>
              <w:pStyle w:val="Normal"/>
              <w:spacing w:lineRule="auto" w:line="240"/>
              <w:jc w:val="center"/>
              <w:rPr>
                <w:color w:val="000000"/>
                <w:szCs w:val="22"/>
                <w:lang w:val="fr-FR" w:eastAsia="fr-FR"/>
              </w:rPr>
            </w:pPr>
            <w:r>
              <w:rPr>
                <w:color w:val="000000"/>
                <w:szCs w:val="22"/>
                <w:lang w:val="fr-FR" w:eastAsia="fr-FR"/>
              </w:rPr>
              <w:t>270</w:t>
            </w:r>
          </w:p>
        </w:tc>
        <w:tc>
          <w:tcPr>
            <w:tcW w:w="1780"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bottom"/>
          </w:tcPr>
          <w:p>
            <w:pPr>
              <w:pStyle w:val="Normal"/>
              <w:spacing w:lineRule="auto" w:line="240"/>
              <w:jc w:val="center"/>
              <w:rPr>
                <w:b/>
                <w:b/>
                <w:bCs/>
                <w:color w:val="000000"/>
                <w:szCs w:val="22"/>
                <w:lang w:val="fr-FR" w:eastAsia="fr-FR"/>
              </w:rPr>
            </w:pPr>
            <w:r>
              <w:rPr>
                <w:b/>
                <w:bCs/>
                <w:color w:val="000000"/>
                <w:szCs w:val="22"/>
                <w:lang w:val="fr-FR" w:eastAsia="fr-FR"/>
              </w:rPr>
              <w:t xml:space="preserve">2 018,67  </w:t>
            </w:r>
          </w:p>
        </w:tc>
      </w:tr>
      <w:tr>
        <w:trPr>
          <w:trHeight w:val="278" w:hRule="atLeast"/>
        </w:trPr>
        <w:tc>
          <w:tcPr>
            <w:tcW w:w="1180" w:type="dxa"/>
            <w:tcBorders>
              <w:left w:val="single" w:sz="8" w:space="0" w:color="000000"/>
              <w:bottom w:val="single" w:sz="4" w:space="0" w:color="000000"/>
              <w:insideH w:val="single" w:sz="4" w:space="0" w:color="000000"/>
            </w:tcBorders>
            <w:shd w:fill="auto" w:val="clear"/>
            <w:tcMar>
              <w:left w:w="60" w:type="dxa"/>
            </w:tcMar>
            <w:vAlign w:val="bottom"/>
          </w:tcPr>
          <w:p>
            <w:pPr>
              <w:pStyle w:val="Normal"/>
              <w:spacing w:lineRule="auto" w:line="240"/>
              <w:jc w:val="center"/>
              <w:rPr>
                <w:color w:val="000000"/>
                <w:szCs w:val="22"/>
                <w:lang w:val="fr-FR" w:eastAsia="fr-FR"/>
              </w:rPr>
            </w:pPr>
            <w:r>
              <w:rPr>
                <w:color w:val="000000"/>
                <w:szCs w:val="22"/>
                <w:lang w:val="fr-FR" w:eastAsia="fr-FR"/>
              </w:rPr>
              <w:t>285</w:t>
            </w:r>
          </w:p>
        </w:tc>
        <w:tc>
          <w:tcPr>
            <w:tcW w:w="1780"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bottom"/>
          </w:tcPr>
          <w:p>
            <w:pPr>
              <w:pStyle w:val="Normal"/>
              <w:spacing w:lineRule="auto" w:line="240"/>
              <w:jc w:val="center"/>
              <w:rPr>
                <w:b/>
                <w:b/>
                <w:bCs/>
                <w:color w:val="000000"/>
                <w:szCs w:val="22"/>
                <w:lang w:val="fr-FR" w:eastAsia="fr-FR"/>
              </w:rPr>
            </w:pPr>
            <w:r>
              <w:rPr>
                <w:b/>
                <w:bCs/>
                <w:color w:val="000000"/>
                <w:szCs w:val="22"/>
                <w:lang w:val="fr-FR" w:eastAsia="fr-FR"/>
              </w:rPr>
              <w:t xml:space="preserve">2 117,46  </w:t>
            </w:r>
          </w:p>
        </w:tc>
      </w:tr>
      <w:tr>
        <w:trPr>
          <w:trHeight w:val="278" w:hRule="atLeast"/>
        </w:trPr>
        <w:tc>
          <w:tcPr>
            <w:tcW w:w="1180" w:type="dxa"/>
            <w:tcBorders>
              <w:left w:val="single" w:sz="8" w:space="0" w:color="000000"/>
              <w:bottom w:val="single" w:sz="4" w:space="0" w:color="000000"/>
              <w:insideH w:val="single" w:sz="4" w:space="0" w:color="000000"/>
            </w:tcBorders>
            <w:shd w:fill="auto" w:val="clear"/>
            <w:tcMar>
              <w:left w:w="60" w:type="dxa"/>
            </w:tcMar>
            <w:vAlign w:val="bottom"/>
          </w:tcPr>
          <w:p>
            <w:pPr>
              <w:pStyle w:val="Normal"/>
              <w:spacing w:lineRule="auto" w:line="240"/>
              <w:jc w:val="center"/>
              <w:rPr>
                <w:color w:val="000000"/>
                <w:szCs w:val="22"/>
                <w:lang w:val="fr-FR" w:eastAsia="fr-FR"/>
              </w:rPr>
            </w:pPr>
            <w:r>
              <w:rPr>
                <w:color w:val="000000"/>
                <w:szCs w:val="22"/>
                <w:lang w:val="fr-FR" w:eastAsia="fr-FR"/>
              </w:rPr>
              <w:t>305</w:t>
            </w:r>
          </w:p>
        </w:tc>
        <w:tc>
          <w:tcPr>
            <w:tcW w:w="1780"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bottom"/>
          </w:tcPr>
          <w:p>
            <w:pPr>
              <w:pStyle w:val="Normal"/>
              <w:spacing w:lineRule="auto" w:line="240"/>
              <w:jc w:val="center"/>
              <w:rPr>
                <w:b/>
                <w:b/>
                <w:bCs/>
                <w:color w:val="000000"/>
                <w:szCs w:val="22"/>
                <w:lang w:val="fr-FR" w:eastAsia="fr-FR"/>
              </w:rPr>
            </w:pPr>
            <w:r>
              <w:rPr>
                <w:b/>
                <w:bCs/>
                <w:color w:val="000000"/>
                <w:szCs w:val="22"/>
                <w:lang w:val="fr-FR" w:eastAsia="fr-FR"/>
              </w:rPr>
              <w:t xml:space="preserve">2 215,11  </w:t>
            </w:r>
          </w:p>
        </w:tc>
      </w:tr>
      <w:tr>
        <w:trPr>
          <w:trHeight w:val="278" w:hRule="atLeast"/>
        </w:trPr>
        <w:tc>
          <w:tcPr>
            <w:tcW w:w="1180" w:type="dxa"/>
            <w:tcBorders>
              <w:left w:val="single" w:sz="8" w:space="0" w:color="000000"/>
              <w:bottom w:val="single" w:sz="4" w:space="0" w:color="000000"/>
              <w:insideH w:val="single" w:sz="4" w:space="0" w:color="000000"/>
            </w:tcBorders>
            <w:shd w:fill="auto" w:val="clear"/>
            <w:tcMar>
              <w:left w:w="60" w:type="dxa"/>
            </w:tcMar>
            <w:vAlign w:val="bottom"/>
          </w:tcPr>
          <w:p>
            <w:pPr>
              <w:pStyle w:val="Normal"/>
              <w:spacing w:lineRule="auto" w:line="240"/>
              <w:jc w:val="center"/>
              <w:rPr>
                <w:color w:val="000000"/>
                <w:szCs w:val="22"/>
                <w:lang w:val="fr-FR" w:eastAsia="fr-FR"/>
              </w:rPr>
            </w:pPr>
            <w:r>
              <w:rPr>
                <w:color w:val="000000"/>
                <w:szCs w:val="22"/>
                <w:lang w:val="fr-FR" w:eastAsia="fr-FR"/>
              </w:rPr>
              <w:t>335</w:t>
            </w:r>
          </w:p>
        </w:tc>
        <w:tc>
          <w:tcPr>
            <w:tcW w:w="1780"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bottom"/>
          </w:tcPr>
          <w:p>
            <w:pPr>
              <w:pStyle w:val="Normal"/>
              <w:spacing w:lineRule="auto" w:line="240"/>
              <w:jc w:val="center"/>
              <w:rPr>
                <w:b/>
                <w:b/>
                <w:bCs/>
                <w:color w:val="000000"/>
                <w:szCs w:val="22"/>
                <w:lang w:val="fr-FR" w:eastAsia="fr-FR"/>
              </w:rPr>
            </w:pPr>
            <w:r>
              <w:rPr>
                <w:b/>
                <w:bCs/>
                <w:color w:val="000000"/>
                <w:szCs w:val="22"/>
                <w:lang w:val="fr-FR" w:eastAsia="fr-FR"/>
              </w:rPr>
              <w:t xml:space="preserve">2 326,55  </w:t>
            </w:r>
          </w:p>
        </w:tc>
      </w:tr>
      <w:tr>
        <w:trPr>
          <w:trHeight w:val="278" w:hRule="atLeast"/>
        </w:trPr>
        <w:tc>
          <w:tcPr>
            <w:tcW w:w="1180" w:type="dxa"/>
            <w:tcBorders>
              <w:left w:val="single" w:sz="8" w:space="0" w:color="000000"/>
              <w:bottom w:val="single" w:sz="4" w:space="0" w:color="000000"/>
              <w:insideH w:val="single" w:sz="4" w:space="0" w:color="000000"/>
            </w:tcBorders>
            <w:shd w:fill="auto" w:val="clear"/>
            <w:tcMar>
              <w:left w:w="60" w:type="dxa"/>
            </w:tcMar>
            <w:vAlign w:val="bottom"/>
          </w:tcPr>
          <w:p>
            <w:pPr>
              <w:pStyle w:val="Normal"/>
              <w:spacing w:lineRule="auto" w:line="240"/>
              <w:jc w:val="center"/>
              <w:rPr>
                <w:color w:val="000000"/>
                <w:szCs w:val="22"/>
                <w:lang w:val="fr-FR" w:eastAsia="fr-FR"/>
              </w:rPr>
            </w:pPr>
            <w:r>
              <w:rPr>
                <w:color w:val="000000"/>
                <w:szCs w:val="22"/>
                <w:lang w:val="fr-FR" w:eastAsia="fr-FR"/>
              </w:rPr>
              <w:t>365</w:t>
            </w:r>
          </w:p>
        </w:tc>
        <w:tc>
          <w:tcPr>
            <w:tcW w:w="1780"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tcMar>
              <w:left w:w="60" w:type="dxa"/>
            </w:tcMar>
            <w:vAlign w:val="bottom"/>
          </w:tcPr>
          <w:p>
            <w:pPr>
              <w:pStyle w:val="Normal"/>
              <w:spacing w:lineRule="auto" w:line="240"/>
              <w:jc w:val="center"/>
              <w:rPr>
                <w:b/>
                <w:b/>
                <w:bCs/>
                <w:color w:val="000000"/>
                <w:szCs w:val="22"/>
                <w:lang w:val="fr-FR" w:eastAsia="fr-FR"/>
              </w:rPr>
            </w:pPr>
            <w:r>
              <w:rPr>
                <w:b/>
                <w:bCs/>
                <w:color w:val="000000"/>
                <w:szCs w:val="22"/>
                <w:lang w:val="fr-FR" w:eastAsia="fr-FR"/>
              </w:rPr>
              <w:t xml:space="preserve">2 450,24  </w:t>
            </w:r>
          </w:p>
        </w:tc>
      </w:tr>
      <w:tr>
        <w:trPr>
          <w:trHeight w:val="289" w:hRule="atLeast"/>
        </w:trPr>
        <w:tc>
          <w:tcPr>
            <w:tcW w:w="1180" w:type="dxa"/>
            <w:tcBorders>
              <w:left w:val="single" w:sz="8" w:space="0" w:color="000000"/>
              <w:bottom w:val="single" w:sz="8" w:space="0" w:color="000000"/>
              <w:insideH w:val="single" w:sz="8" w:space="0" w:color="000000"/>
            </w:tcBorders>
            <w:shd w:fill="auto" w:val="clear"/>
            <w:tcMar>
              <w:left w:w="60" w:type="dxa"/>
            </w:tcMar>
            <w:vAlign w:val="bottom"/>
          </w:tcPr>
          <w:p>
            <w:pPr>
              <w:pStyle w:val="Normal"/>
              <w:spacing w:lineRule="auto" w:line="240"/>
              <w:jc w:val="center"/>
              <w:rPr>
                <w:color w:val="000000"/>
                <w:szCs w:val="22"/>
                <w:lang w:val="fr-FR" w:eastAsia="fr-FR"/>
              </w:rPr>
            </w:pPr>
            <w:r>
              <w:rPr>
                <w:color w:val="000000"/>
                <w:szCs w:val="22"/>
                <w:lang w:val="fr-FR" w:eastAsia="fr-FR"/>
              </w:rPr>
              <w:t>395</w:t>
            </w:r>
          </w:p>
        </w:tc>
        <w:tc>
          <w:tcPr>
            <w:tcW w:w="178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60" w:type="dxa"/>
            </w:tcMar>
            <w:vAlign w:val="bottom"/>
          </w:tcPr>
          <w:p>
            <w:pPr>
              <w:pStyle w:val="Normal"/>
              <w:spacing w:lineRule="auto" w:line="240"/>
              <w:jc w:val="center"/>
              <w:rPr>
                <w:b/>
                <w:b/>
                <w:bCs/>
                <w:color w:val="000000"/>
                <w:szCs w:val="22"/>
                <w:lang w:val="fr-FR" w:eastAsia="fr-FR"/>
              </w:rPr>
            </w:pPr>
            <w:r>
              <w:rPr>
                <w:b/>
                <w:bCs/>
                <w:color w:val="000000"/>
                <w:szCs w:val="22"/>
                <w:lang w:val="fr-FR" w:eastAsia="fr-FR"/>
              </w:rPr>
              <w:t xml:space="preserve">2 588,71  </w:t>
            </w:r>
          </w:p>
        </w:tc>
      </w:tr>
    </w:tbl>
    <w:p>
      <w:pPr>
        <w:pStyle w:val="Normal"/>
        <w:jc w:val="center"/>
        <w:rPr/>
      </w:pPr>
      <w:r>
        <w:rPr/>
      </w:r>
    </w:p>
    <w:p>
      <w:pPr>
        <w:pStyle w:val="Normal"/>
        <w:spacing w:lineRule="auto" w:line="360"/>
        <w:jc w:val="center"/>
        <w:rPr>
          <w:b/>
          <w:b/>
          <w:sz w:val="32"/>
          <w:szCs w:val="32"/>
          <w:lang w:val="fr-FR"/>
        </w:rPr>
      </w:pPr>
      <w:r>
        <w:rPr>
          <w:b/>
          <w:sz w:val="32"/>
          <w:szCs w:val="32"/>
          <w:lang w:val="fr-FR"/>
        </w:rPr>
      </w:r>
    </w:p>
    <w:p>
      <w:pPr>
        <w:pStyle w:val="Normal"/>
        <w:spacing w:lineRule="auto" w:line="360"/>
        <w:jc w:val="center"/>
        <w:rPr>
          <w:b/>
          <w:b/>
          <w:sz w:val="32"/>
          <w:szCs w:val="32"/>
          <w:lang w:val="fr-FR"/>
        </w:rPr>
      </w:pPr>
      <w:r>
        <w:rPr>
          <w:b/>
          <w:sz w:val="32"/>
          <w:szCs w:val="32"/>
          <w:lang w:val="fr-F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sectPr>
          <w:headerReference w:type="default" r:id="rId3"/>
          <w:footerReference w:type="default" r:id="rId4"/>
          <w:type w:val="nextPage"/>
          <w:pgSz w:w="11906" w:h="16838"/>
          <w:pgMar w:left="1366" w:right="851" w:header="714" w:top="1560" w:footer="340" w:bottom="1134" w:gutter="0"/>
          <w:pgNumType w:fmt="decimal"/>
          <w:formProt w:val="false"/>
          <w:textDirection w:val="lrTb"/>
          <w:docGrid w:type="default" w:linePitch="299" w:charSpace="0"/>
        </w:sectPr>
        <w:pStyle w:val="Normal"/>
        <w:spacing w:lineRule="auto" w:line="360"/>
        <w:jc w:val="center"/>
        <w:rPr/>
      </w:pPr>
      <w:r>
        <w:rPr/>
      </w:r>
    </w:p>
    <w:p>
      <w:pPr>
        <w:pStyle w:val="Normal"/>
        <w:spacing w:lineRule="auto" w:line="360"/>
        <w:jc w:val="center"/>
        <w:rPr/>
      </w:pPr>
      <w:r>
        <w:rPr/>
      </w:r>
    </w:p>
    <w:p>
      <w:pPr>
        <w:pStyle w:val="Normal"/>
        <w:spacing w:lineRule="auto" w:line="360"/>
        <w:jc w:val="center"/>
        <w:rPr>
          <w:rFonts w:ascii="Arial" w:hAnsi="Arial" w:cs="Arial"/>
          <w:b/>
          <w:b/>
          <w:bCs/>
          <w:sz w:val="32"/>
          <w:szCs w:val="32"/>
          <w:lang w:val="fr-FR" w:eastAsia="fr-FR"/>
        </w:rPr>
      </w:pPr>
      <w:r>
        <w:rPr>
          <w:rFonts w:cs="Arial" w:ascii="Arial" w:hAnsi="Arial"/>
          <w:b/>
          <w:bCs/>
          <w:sz w:val="32"/>
          <w:szCs w:val="32"/>
          <w:lang w:val="fr-FR" w:eastAsia="fr-FR"/>
        </w:rPr>
        <w:t>Annexe 2</w:t>
      </w:r>
    </w:p>
    <w:p>
      <w:pPr>
        <w:pStyle w:val="Normal"/>
        <w:spacing w:lineRule="auto" w:line="360"/>
        <w:jc w:val="center"/>
        <w:rPr>
          <w:rFonts w:ascii="Arial" w:hAnsi="Arial" w:cs="Arial"/>
          <w:b/>
          <w:b/>
          <w:bCs/>
          <w:sz w:val="32"/>
          <w:szCs w:val="32"/>
          <w:lang w:val="fr-FR" w:eastAsia="fr-FR"/>
        </w:rPr>
      </w:pPr>
      <w:r>
        <w:rPr>
          <w:rFonts w:cs="Arial" w:ascii="Arial" w:hAnsi="Arial"/>
          <w:b/>
          <w:bCs/>
          <w:sz w:val="32"/>
          <w:szCs w:val="32"/>
          <w:lang w:val="fr-FR" w:eastAsia="fr-FR"/>
        </w:rPr>
        <w:t>Modalité de calcul de la prime exceptionnelle relative à la qualité (article 6)</w:t>
      </w:r>
    </w:p>
    <w:p>
      <w:pPr>
        <w:pStyle w:val="Normal"/>
        <w:spacing w:lineRule="auto" w:line="360"/>
        <w:jc w:val="center"/>
        <w:rPr>
          <w:rFonts w:ascii="Arial" w:hAnsi="Arial" w:cs="Arial"/>
          <w:b/>
          <w:b/>
          <w:bCs/>
          <w:sz w:val="32"/>
          <w:szCs w:val="32"/>
          <w:lang w:val="fr-FR" w:eastAsia="fr-FR"/>
        </w:rPr>
      </w:pPr>
      <w:r>
        <w:rPr>
          <w:rFonts w:cs="Arial" w:ascii="Arial" w:hAnsi="Arial"/>
          <w:b/>
          <w:bCs/>
          <w:sz w:val="32"/>
          <w:szCs w:val="32"/>
          <w:lang w:val="fr-FR" w:eastAsia="fr-FR"/>
        </w:rPr>
      </w:r>
    </w:p>
    <w:tbl>
      <w:tblPr>
        <w:tblW w:w="14733" w:type="dxa"/>
        <w:jc w:val="left"/>
        <w:tblInd w:w="-644" w:type="dxa"/>
        <w:tblBorders/>
        <w:tblCellMar>
          <w:top w:w="0" w:type="dxa"/>
          <w:left w:w="70" w:type="dxa"/>
          <w:bottom w:w="0" w:type="dxa"/>
          <w:right w:w="70" w:type="dxa"/>
        </w:tblCellMar>
      </w:tblPr>
      <w:tblGrid>
        <w:gridCol w:w="1297"/>
        <w:gridCol w:w="1297"/>
        <w:gridCol w:w="1017"/>
        <w:gridCol w:w="1017"/>
        <w:gridCol w:w="1635"/>
        <w:gridCol w:w="1983"/>
        <w:gridCol w:w="1495"/>
        <w:gridCol w:w="1571"/>
        <w:gridCol w:w="1016"/>
        <w:gridCol w:w="1019"/>
        <w:gridCol w:w="1376"/>
        <w:gridCol w:w="10"/>
      </w:tblGrid>
      <w:tr>
        <w:trPr>
          <w:trHeight w:val="250" w:hRule="atLeast"/>
        </w:trPr>
        <w:tc>
          <w:tcPr>
            <w:tcW w:w="1297" w:type="dxa"/>
            <w:tcBorders/>
            <w:shd w:fill="auto" w:val="clear"/>
            <w:vAlign w:val="bottom"/>
          </w:tcPr>
          <w:p>
            <w:pPr>
              <w:pStyle w:val="Normal"/>
              <w:snapToGrid w:val="false"/>
              <w:spacing w:lineRule="auto" w:line="240"/>
              <w:rPr>
                <w:rFonts w:ascii="Times New Roman" w:hAnsi="Times New Roman" w:cs="Times New Roman"/>
                <w:sz w:val="20"/>
                <w:szCs w:val="24"/>
                <w:lang w:val="fr-FR" w:eastAsia="fr-FR"/>
              </w:rPr>
            </w:pPr>
            <w:r>
              <w:rPr>
                <w:rFonts w:cs="Times New Roman" w:ascii="Times New Roman" w:hAnsi="Times New Roman"/>
                <w:sz w:val="20"/>
                <w:szCs w:val="24"/>
                <w:lang w:val="fr-FR" w:eastAsia="fr-FR"/>
              </w:rPr>
            </w:r>
          </w:p>
        </w:tc>
        <w:tc>
          <w:tcPr>
            <w:tcW w:w="1297" w:type="dxa"/>
            <w:tcBorders/>
            <w:shd w:fill="auto" w:val="clear"/>
            <w:vAlign w:val="bottom"/>
          </w:tcPr>
          <w:p>
            <w:pPr>
              <w:pStyle w:val="Normal"/>
              <w:snapToGrid w:val="false"/>
              <w:spacing w:lineRule="auto" w:line="240"/>
              <w:rPr>
                <w:rFonts w:ascii="Times New Roman" w:hAnsi="Times New Roman" w:cs="Times New Roman"/>
                <w:sz w:val="20"/>
                <w:szCs w:val="24"/>
                <w:lang w:val="fr-FR" w:eastAsia="fr-FR"/>
              </w:rPr>
            </w:pPr>
            <w:r>
              <w:rPr>
                <w:rFonts w:cs="Times New Roman" w:ascii="Times New Roman" w:hAnsi="Times New Roman"/>
                <w:sz w:val="20"/>
                <w:szCs w:val="24"/>
                <w:lang w:val="fr-FR" w:eastAsia="fr-FR"/>
              </w:rPr>
            </w:r>
          </w:p>
        </w:tc>
        <w:tc>
          <w:tcPr>
            <w:tcW w:w="10753" w:type="dxa"/>
            <w:gridSpan w:val="8"/>
            <w:tcBorders/>
            <w:shd w:fill="auto" w:val="clear"/>
            <w:vAlign w:val="bottom"/>
          </w:tcPr>
          <w:p>
            <w:pPr>
              <w:pStyle w:val="Normal"/>
              <w:spacing w:lineRule="auto" w:line="240"/>
              <w:rPr>
                <w:b/>
                <w:b/>
                <w:bCs/>
                <w:color w:val="000000"/>
                <w:szCs w:val="22"/>
                <w:lang w:val="fr-FR" w:eastAsia="fr-FR"/>
              </w:rPr>
            </w:pPr>
            <w:r>
              <w:rPr>
                <w:b/>
                <w:bCs/>
                <w:color w:val="000000"/>
                <w:szCs w:val="22"/>
                <w:lang w:val="fr-FR" w:eastAsia="fr-FR"/>
              </w:rPr>
              <w:t>produit de référence : 77 maximum (qualité emballée indépendamment  de la commande 1er choix)</w:t>
            </w:r>
          </w:p>
        </w:tc>
        <w:tc>
          <w:tcPr>
            <w:tcW w:w="1376" w:type="dxa"/>
            <w:tcBorders/>
            <w:shd w:fill="auto" w:val="clear"/>
            <w:vAlign w:val="bottom"/>
          </w:tcPr>
          <w:p>
            <w:pPr>
              <w:pStyle w:val="Normal"/>
              <w:snapToGrid w:val="false"/>
              <w:spacing w:lineRule="auto" w:line="240"/>
              <w:rPr>
                <w:b/>
                <w:b/>
                <w:bCs/>
                <w:color w:val="000000"/>
                <w:szCs w:val="22"/>
                <w:lang w:val="fr-FR" w:eastAsia="fr-FR"/>
              </w:rPr>
            </w:pPr>
            <w:r>
              <w:rPr>
                <w:b/>
                <w:bCs/>
                <w:color w:val="000000"/>
                <w:szCs w:val="22"/>
                <w:lang w:val="fr-FR" w:eastAsia="fr-FR"/>
              </w:rPr>
            </w:r>
          </w:p>
        </w:tc>
      </w:tr>
      <w:tr>
        <w:trPr>
          <w:trHeight w:val="250" w:hRule="atLeast"/>
        </w:trPr>
        <w:tc>
          <w:tcPr>
            <w:tcW w:w="1297" w:type="dxa"/>
            <w:tcBorders/>
            <w:shd w:fill="auto" w:val="clear"/>
            <w:vAlign w:val="bottom"/>
          </w:tcPr>
          <w:p>
            <w:pPr>
              <w:pStyle w:val="Normal"/>
              <w:snapToGrid w:val="false"/>
              <w:spacing w:lineRule="auto" w:line="240"/>
              <w:rPr>
                <w:rFonts w:ascii="Times New Roman" w:hAnsi="Times New Roman" w:cs="Times New Roman"/>
                <w:b/>
                <w:b/>
                <w:bCs/>
                <w:color w:val="000000"/>
                <w:sz w:val="20"/>
                <w:szCs w:val="22"/>
                <w:lang w:val="fr-FR" w:eastAsia="fr-FR"/>
              </w:rPr>
            </w:pPr>
            <w:r>
              <w:rPr>
                <w:rFonts w:cs="Times New Roman" w:ascii="Times New Roman" w:hAnsi="Times New Roman"/>
                <w:b/>
                <w:bCs/>
                <w:color w:val="000000"/>
                <w:sz w:val="20"/>
                <w:szCs w:val="22"/>
                <w:lang w:val="fr-FR" w:eastAsia="fr-FR"/>
              </w:rPr>
            </w:r>
          </w:p>
        </w:tc>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635"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983"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495"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571"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6"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9"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376"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r>
      <w:tr>
        <w:trPr>
          <w:trHeight w:val="240" w:hRule="atLeast"/>
        </w:trPr>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635"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983"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495"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571"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6"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9"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376"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r>
      <w:tr>
        <w:trPr>
          <w:trHeight w:val="240" w:hRule="atLeast"/>
        </w:trPr>
        <w:tc>
          <w:tcPr>
            <w:tcW w:w="1297" w:type="dxa"/>
            <w:tcBorders/>
            <w:shd w:fill="auto" w:val="clear"/>
            <w:vAlign w:val="center"/>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297" w:type="dxa"/>
            <w:tcBorders>
              <w:top w:val="single" w:sz="8" w:space="0" w:color="000000"/>
              <w:left w:val="single" w:sz="8" w:space="0" w:color="000000"/>
              <w:bottom w:val="single" w:sz="8" w:space="0" w:color="000000"/>
              <w:insideH w:val="single" w:sz="8" w:space="0" w:color="000000"/>
            </w:tcBorders>
            <w:shd w:fill="00A0F5" w:val="clear"/>
            <w:tcMar>
              <w:left w:w="60" w:type="dxa"/>
            </w:tcMar>
            <w:vAlign w:val="center"/>
          </w:tcPr>
          <w:p>
            <w:pPr>
              <w:pStyle w:val="Normal"/>
              <w:spacing w:lineRule="auto" w:line="240"/>
              <w:jc w:val="center"/>
              <w:rPr>
                <w:b/>
                <w:b/>
                <w:bCs/>
                <w:color w:val="FFFFFF"/>
                <w:szCs w:val="22"/>
                <w:lang w:val="fr-FR" w:eastAsia="fr-FR"/>
              </w:rPr>
            </w:pPr>
            <w:r>
              <w:rPr>
                <w:b/>
                <w:bCs/>
                <w:color w:val="FFFFFF"/>
                <w:szCs w:val="22"/>
                <w:lang w:val="fr-FR" w:eastAsia="fr-FR"/>
              </w:rPr>
              <w:t>mars-22</w:t>
            </w:r>
          </w:p>
        </w:tc>
        <w:tc>
          <w:tcPr>
            <w:tcW w:w="1017" w:type="dxa"/>
            <w:tcBorders>
              <w:top w:val="single" w:sz="8" w:space="0" w:color="000000"/>
              <w:left w:val="single" w:sz="8" w:space="0" w:color="000000"/>
              <w:bottom w:val="single" w:sz="8" w:space="0" w:color="000000"/>
              <w:insideH w:val="single" w:sz="8" w:space="0" w:color="000000"/>
            </w:tcBorders>
            <w:shd w:fill="00A0F5" w:val="clear"/>
            <w:tcMar>
              <w:left w:w="60" w:type="dxa"/>
            </w:tcMar>
            <w:vAlign w:val="center"/>
          </w:tcPr>
          <w:p>
            <w:pPr>
              <w:pStyle w:val="Normal"/>
              <w:spacing w:lineRule="auto" w:line="240"/>
              <w:jc w:val="center"/>
              <w:rPr>
                <w:b/>
                <w:b/>
                <w:bCs/>
                <w:color w:val="FFFFFF"/>
                <w:szCs w:val="22"/>
                <w:lang w:val="fr-FR" w:eastAsia="fr-FR"/>
              </w:rPr>
            </w:pPr>
            <w:r>
              <w:rPr>
                <w:b/>
                <w:bCs/>
                <w:color w:val="FFFFFF"/>
                <w:szCs w:val="22"/>
                <w:lang w:val="fr-FR" w:eastAsia="fr-FR"/>
              </w:rPr>
              <w:t>avr-22</w:t>
            </w:r>
          </w:p>
        </w:tc>
        <w:tc>
          <w:tcPr>
            <w:tcW w:w="1017" w:type="dxa"/>
            <w:tcBorders>
              <w:top w:val="single" w:sz="8" w:space="0" w:color="000000"/>
              <w:left w:val="single" w:sz="8" w:space="0" w:color="000000"/>
              <w:bottom w:val="single" w:sz="8" w:space="0" w:color="000000"/>
              <w:insideH w:val="single" w:sz="8" w:space="0" w:color="000000"/>
            </w:tcBorders>
            <w:shd w:fill="00A0F5" w:val="clear"/>
            <w:tcMar>
              <w:left w:w="60" w:type="dxa"/>
            </w:tcMar>
            <w:vAlign w:val="center"/>
          </w:tcPr>
          <w:p>
            <w:pPr>
              <w:pStyle w:val="Normal"/>
              <w:spacing w:lineRule="auto" w:line="240"/>
              <w:jc w:val="center"/>
              <w:rPr>
                <w:b/>
                <w:b/>
                <w:bCs/>
                <w:color w:val="FFFFFF"/>
                <w:szCs w:val="22"/>
                <w:lang w:val="fr-FR" w:eastAsia="fr-FR"/>
              </w:rPr>
            </w:pPr>
            <w:r>
              <w:rPr>
                <w:b/>
                <w:bCs/>
                <w:color w:val="FFFFFF"/>
                <w:szCs w:val="22"/>
                <w:lang w:val="fr-FR" w:eastAsia="fr-FR"/>
              </w:rPr>
              <w:t>mai-22</w:t>
            </w:r>
          </w:p>
        </w:tc>
        <w:tc>
          <w:tcPr>
            <w:tcW w:w="1635" w:type="dxa"/>
            <w:tcBorders>
              <w:top w:val="single" w:sz="8" w:space="0" w:color="000000"/>
              <w:left w:val="single" w:sz="8" w:space="0" w:color="000000"/>
              <w:bottom w:val="single" w:sz="8" w:space="0" w:color="000000"/>
              <w:insideH w:val="single" w:sz="8" w:space="0" w:color="000000"/>
            </w:tcBorders>
            <w:shd w:fill="00A0F5" w:val="clear"/>
            <w:tcMar>
              <w:left w:w="60" w:type="dxa"/>
            </w:tcMar>
            <w:vAlign w:val="center"/>
          </w:tcPr>
          <w:p>
            <w:pPr>
              <w:pStyle w:val="Normal"/>
              <w:spacing w:lineRule="auto" w:line="240"/>
              <w:jc w:val="center"/>
              <w:rPr>
                <w:b/>
                <w:b/>
                <w:bCs/>
                <w:color w:val="FFFFFF"/>
                <w:szCs w:val="22"/>
                <w:lang w:val="fr-FR" w:eastAsia="fr-FR"/>
              </w:rPr>
            </w:pPr>
            <w:r>
              <w:rPr>
                <w:b/>
                <w:bCs/>
                <w:color w:val="FFFFFF"/>
                <w:szCs w:val="22"/>
                <w:lang w:val="fr-FR" w:eastAsia="fr-FR"/>
              </w:rPr>
              <w:t>juin-22</w:t>
            </w:r>
          </w:p>
        </w:tc>
        <w:tc>
          <w:tcPr>
            <w:tcW w:w="1983" w:type="dxa"/>
            <w:tcBorders>
              <w:top w:val="single" w:sz="8" w:space="0" w:color="000000"/>
              <w:left w:val="single" w:sz="8" w:space="0" w:color="000000"/>
              <w:bottom w:val="single" w:sz="8" w:space="0" w:color="000000"/>
              <w:insideH w:val="single" w:sz="8" w:space="0" w:color="000000"/>
            </w:tcBorders>
            <w:shd w:fill="00A0F5" w:val="clear"/>
            <w:tcMar>
              <w:left w:w="60" w:type="dxa"/>
            </w:tcMar>
            <w:vAlign w:val="center"/>
          </w:tcPr>
          <w:p>
            <w:pPr>
              <w:pStyle w:val="Normal"/>
              <w:spacing w:lineRule="auto" w:line="240"/>
              <w:jc w:val="center"/>
              <w:rPr>
                <w:b/>
                <w:b/>
                <w:bCs/>
                <w:color w:val="FFFFFF"/>
                <w:szCs w:val="22"/>
                <w:lang w:val="fr-FR" w:eastAsia="fr-FR"/>
              </w:rPr>
            </w:pPr>
            <w:r>
              <w:rPr>
                <w:b/>
                <w:bCs/>
                <w:color w:val="FFFFFF"/>
                <w:szCs w:val="22"/>
                <w:lang w:val="fr-FR" w:eastAsia="fr-FR"/>
              </w:rPr>
              <w:t>juil-22</w:t>
            </w:r>
          </w:p>
        </w:tc>
        <w:tc>
          <w:tcPr>
            <w:tcW w:w="1495" w:type="dxa"/>
            <w:tcBorders>
              <w:top w:val="single" w:sz="8" w:space="0" w:color="000000"/>
              <w:left w:val="single" w:sz="8" w:space="0" w:color="000000"/>
              <w:bottom w:val="single" w:sz="8" w:space="0" w:color="000000"/>
              <w:insideH w:val="single" w:sz="8" w:space="0" w:color="000000"/>
            </w:tcBorders>
            <w:shd w:fill="00A0F5" w:val="clear"/>
            <w:tcMar>
              <w:left w:w="60" w:type="dxa"/>
            </w:tcMar>
            <w:vAlign w:val="center"/>
          </w:tcPr>
          <w:p>
            <w:pPr>
              <w:pStyle w:val="Normal"/>
              <w:spacing w:lineRule="auto" w:line="240"/>
              <w:jc w:val="center"/>
              <w:rPr>
                <w:b/>
                <w:b/>
                <w:bCs/>
                <w:color w:val="FFFFFF"/>
                <w:szCs w:val="22"/>
                <w:lang w:val="fr-FR" w:eastAsia="fr-FR"/>
              </w:rPr>
            </w:pPr>
            <w:r>
              <w:rPr>
                <w:b/>
                <w:bCs/>
                <w:color w:val="FFFFFF"/>
                <w:szCs w:val="22"/>
                <w:lang w:val="fr-FR" w:eastAsia="fr-FR"/>
              </w:rPr>
              <w:t>août-22</w:t>
            </w:r>
          </w:p>
        </w:tc>
        <w:tc>
          <w:tcPr>
            <w:tcW w:w="1571" w:type="dxa"/>
            <w:tcBorders>
              <w:top w:val="single" w:sz="8" w:space="0" w:color="000000"/>
              <w:left w:val="single" w:sz="8" w:space="0" w:color="000000"/>
              <w:bottom w:val="single" w:sz="8" w:space="0" w:color="000000"/>
              <w:insideH w:val="single" w:sz="8" w:space="0" w:color="000000"/>
            </w:tcBorders>
            <w:shd w:fill="00A0F5" w:val="clear"/>
            <w:tcMar>
              <w:left w:w="60" w:type="dxa"/>
            </w:tcMar>
            <w:vAlign w:val="center"/>
          </w:tcPr>
          <w:p>
            <w:pPr>
              <w:pStyle w:val="Normal"/>
              <w:spacing w:lineRule="auto" w:line="240"/>
              <w:jc w:val="center"/>
              <w:rPr>
                <w:b/>
                <w:b/>
                <w:bCs/>
                <w:color w:val="FFFFFF"/>
                <w:szCs w:val="22"/>
                <w:lang w:val="fr-FR" w:eastAsia="fr-FR"/>
              </w:rPr>
            </w:pPr>
            <w:r>
              <w:rPr>
                <w:b/>
                <w:bCs/>
                <w:color w:val="FFFFFF"/>
                <w:szCs w:val="22"/>
                <w:lang w:val="fr-FR" w:eastAsia="fr-FR"/>
              </w:rPr>
              <w:t>sept-22</w:t>
            </w:r>
          </w:p>
        </w:tc>
        <w:tc>
          <w:tcPr>
            <w:tcW w:w="1016" w:type="dxa"/>
            <w:tcBorders>
              <w:top w:val="single" w:sz="8" w:space="0" w:color="000000"/>
              <w:left w:val="single" w:sz="8" w:space="0" w:color="000000"/>
              <w:bottom w:val="single" w:sz="8" w:space="0" w:color="000000"/>
              <w:insideH w:val="single" w:sz="8" w:space="0" w:color="000000"/>
            </w:tcBorders>
            <w:shd w:fill="00A0F5" w:val="clear"/>
            <w:tcMar>
              <w:left w:w="60" w:type="dxa"/>
            </w:tcMar>
            <w:vAlign w:val="center"/>
          </w:tcPr>
          <w:p>
            <w:pPr>
              <w:pStyle w:val="Normal"/>
              <w:spacing w:lineRule="auto" w:line="240"/>
              <w:jc w:val="center"/>
              <w:rPr>
                <w:b/>
                <w:b/>
                <w:bCs/>
                <w:color w:val="FFFFFF"/>
                <w:szCs w:val="22"/>
                <w:lang w:val="fr-FR" w:eastAsia="fr-FR"/>
              </w:rPr>
            </w:pPr>
            <w:r>
              <w:rPr>
                <w:b/>
                <w:bCs/>
                <w:color w:val="FFFFFF"/>
                <w:szCs w:val="22"/>
                <w:lang w:val="fr-FR" w:eastAsia="fr-FR"/>
              </w:rPr>
              <w:t>oct-22</w:t>
            </w:r>
          </w:p>
        </w:tc>
        <w:tc>
          <w:tcPr>
            <w:tcW w:w="1019" w:type="dxa"/>
            <w:tcBorders>
              <w:top w:val="single" w:sz="8" w:space="0" w:color="000000"/>
              <w:left w:val="single" w:sz="8" w:space="0" w:color="000000"/>
              <w:bottom w:val="single" w:sz="8" w:space="0" w:color="000000"/>
              <w:insideH w:val="single" w:sz="8" w:space="0" w:color="000000"/>
            </w:tcBorders>
            <w:shd w:fill="00A0F5" w:val="clear"/>
            <w:tcMar>
              <w:left w:w="60" w:type="dxa"/>
            </w:tcMar>
            <w:vAlign w:val="center"/>
          </w:tcPr>
          <w:p>
            <w:pPr>
              <w:pStyle w:val="Normal"/>
              <w:spacing w:lineRule="auto" w:line="240"/>
              <w:jc w:val="center"/>
              <w:rPr>
                <w:b/>
                <w:b/>
                <w:bCs/>
                <w:color w:val="FFFFFF"/>
                <w:szCs w:val="22"/>
                <w:lang w:val="fr-FR" w:eastAsia="fr-FR"/>
              </w:rPr>
            </w:pPr>
            <w:r>
              <w:rPr>
                <w:b/>
                <w:bCs/>
                <w:color w:val="FFFFFF"/>
                <w:szCs w:val="22"/>
                <w:lang w:val="fr-FR" w:eastAsia="fr-FR"/>
              </w:rPr>
              <w:t>nov-22</w:t>
            </w:r>
          </w:p>
        </w:tc>
        <w:tc>
          <w:tcPr>
            <w:tcW w:w="1376" w:type="dxa"/>
            <w:tcBorders>
              <w:left w:val="single" w:sz="8" w:space="0" w:color="000000"/>
            </w:tcBorders>
            <w:shd w:fill="auto" w:val="clear"/>
            <w:tcMar>
              <w:left w:w="60" w:type="dxa"/>
            </w:tcMar>
            <w:vAlign w:val="bottom"/>
          </w:tcPr>
          <w:p>
            <w:pPr>
              <w:pStyle w:val="Normal"/>
              <w:snapToGrid w:val="false"/>
              <w:spacing w:lineRule="auto" w:line="240"/>
              <w:jc w:val="center"/>
              <w:rPr>
                <w:b/>
                <w:b/>
                <w:bCs/>
                <w:color w:val="FFFFFF"/>
                <w:szCs w:val="22"/>
                <w:lang w:val="fr-FR" w:eastAsia="fr-FR"/>
              </w:rPr>
            </w:pPr>
            <w:r>
              <w:rPr>
                <w:b/>
                <w:bCs/>
                <w:color w:val="FFFFFF"/>
                <w:szCs w:val="22"/>
                <w:lang w:val="fr-FR" w:eastAsia="fr-FR"/>
              </w:rPr>
            </w:r>
          </w:p>
        </w:tc>
      </w:tr>
      <w:tr>
        <w:trPr>
          <w:trHeight w:val="262" w:hRule="atLeast"/>
        </w:trPr>
        <w:tc>
          <w:tcPr>
            <w:tcW w:w="1297" w:type="dxa"/>
            <w:tcBorders>
              <w:top w:val="single" w:sz="8" w:space="0" w:color="000000"/>
              <w:left w:val="single" w:sz="8" w:space="0" w:color="000000"/>
              <w:bottom w:val="single" w:sz="8" w:space="0" w:color="000000"/>
              <w:insideH w:val="single" w:sz="8" w:space="0" w:color="000000"/>
            </w:tcBorders>
            <w:shd w:fill="00A0F5" w:val="clear"/>
            <w:tcMar>
              <w:left w:w="60" w:type="dxa"/>
            </w:tcMar>
            <w:vAlign w:val="center"/>
          </w:tcPr>
          <w:p>
            <w:pPr>
              <w:pStyle w:val="Normal"/>
              <w:spacing w:lineRule="auto" w:line="240"/>
              <w:jc w:val="center"/>
              <w:rPr>
                <w:b/>
                <w:b/>
                <w:bCs/>
                <w:color w:val="FFFFFF"/>
                <w:szCs w:val="22"/>
                <w:lang w:val="fr-FR" w:eastAsia="fr-FR"/>
              </w:rPr>
            </w:pPr>
            <w:r>
              <w:rPr>
                <w:b/>
                <w:bCs/>
                <w:color w:val="FFFFFF"/>
                <w:szCs w:val="22"/>
                <w:lang w:val="fr-FR" w:eastAsia="fr-FR"/>
              </w:rPr>
              <w:t>IA</w:t>
            </w:r>
          </w:p>
        </w:tc>
        <w:tc>
          <w:tcPr>
            <w:tcW w:w="1297"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5902</w:t>
            </w:r>
          </w:p>
        </w:tc>
        <w:tc>
          <w:tcPr>
            <w:tcW w:w="1017"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5902</w:t>
            </w:r>
          </w:p>
        </w:tc>
        <w:tc>
          <w:tcPr>
            <w:tcW w:w="1017"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5902</w:t>
            </w:r>
          </w:p>
        </w:tc>
        <w:tc>
          <w:tcPr>
            <w:tcW w:w="1635"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5902</w:t>
            </w:r>
          </w:p>
        </w:tc>
        <w:tc>
          <w:tcPr>
            <w:tcW w:w="1983"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4131</w:t>
            </w:r>
          </w:p>
        </w:tc>
        <w:tc>
          <w:tcPr>
            <w:tcW w:w="1495"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3064</w:t>
            </w:r>
          </w:p>
        </w:tc>
        <w:tc>
          <w:tcPr>
            <w:tcW w:w="1571"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5902</w:t>
            </w:r>
          </w:p>
        </w:tc>
        <w:tc>
          <w:tcPr>
            <w:tcW w:w="1016"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5839</w:t>
            </w:r>
          </w:p>
        </w:tc>
        <w:tc>
          <w:tcPr>
            <w:tcW w:w="1019"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5839</w:t>
            </w:r>
          </w:p>
        </w:tc>
        <w:tc>
          <w:tcPr>
            <w:tcW w:w="1376" w:type="dxa"/>
            <w:tcBorders>
              <w:left w:val="single" w:sz="8" w:space="0" w:color="000000"/>
            </w:tcBorders>
            <w:shd w:fill="auto" w:val="clear"/>
            <w:tcMar>
              <w:left w:w="60" w:type="dxa"/>
            </w:tcMar>
            <w:vAlign w:val="bottom"/>
          </w:tcPr>
          <w:p>
            <w:pPr>
              <w:pStyle w:val="Normal"/>
              <w:snapToGrid w:val="false"/>
              <w:spacing w:lineRule="auto" w:line="240"/>
              <w:jc w:val="center"/>
              <w:rPr>
                <w:color w:val="4B5564"/>
                <w:szCs w:val="22"/>
                <w:lang w:val="fr-FR" w:eastAsia="fr-FR"/>
              </w:rPr>
            </w:pPr>
            <w:r>
              <w:rPr>
                <w:color w:val="4B5564"/>
                <w:szCs w:val="22"/>
                <w:lang w:val="fr-FR" w:eastAsia="fr-FR"/>
              </w:rPr>
            </w:r>
          </w:p>
        </w:tc>
      </w:tr>
      <w:tr>
        <w:trPr>
          <w:trHeight w:val="240" w:hRule="atLeast"/>
        </w:trPr>
        <w:tc>
          <w:tcPr>
            <w:tcW w:w="1297" w:type="dxa"/>
            <w:tcBorders>
              <w:left w:val="single" w:sz="8" w:space="0" w:color="000000"/>
              <w:bottom w:val="single" w:sz="8" w:space="0" w:color="000000"/>
              <w:insideH w:val="single" w:sz="8" w:space="0" w:color="000000"/>
            </w:tcBorders>
            <w:shd w:fill="00A0F5" w:val="clear"/>
            <w:tcMar>
              <w:left w:w="60" w:type="dxa"/>
            </w:tcMar>
            <w:vAlign w:val="center"/>
          </w:tcPr>
          <w:p>
            <w:pPr>
              <w:pStyle w:val="Normal"/>
              <w:spacing w:lineRule="auto" w:line="240"/>
              <w:jc w:val="center"/>
              <w:rPr>
                <w:b/>
                <w:b/>
                <w:bCs/>
                <w:color w:val="FFFFFF"/>
                <w:szCs w:val="22"/>
                <w:lang w:val="fr-FR" w:eastAsia="fr-FR"/>
              </w:rPr>
            </w:pPr>
            <w:r>
              <w:rPr>
                <w:b/>
                <w:bCs/>
                <w:color w:val="FFFFFF"/>
                <w:szCs w:val="22"/>
                <w:lang w:val="fr-FR" w:eastAsia="fr-FR"/>
              </w:rPr>
              <w:t>IIA</w:t>
            </w:r>
          </w:p>
        </w:tc>
        <w:tc>
          <w:tcPr>
            <w:tcW w:w="1297"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971</w:t>
            </w:r>
          </w:p>
        </w:tc>
        <w:tc>
          <w:tcPr>
            <w:tcW w:w="1017"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971</w:t>
            </w:r>
          </w:p>
        </w:tc>
        <w:tc>
          <w:tcPr>
            <w:tcW w:w="1017"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971</w:t>
            </w:r>
          </w:p>
        </w:tc>
        <w:tc>
          <w:tcPr>
            <w:tcW w:w="1635"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971</w:t>
            </w:r>
          </w:p>
        </w:tc>
        <w:tc>
          <w:tcPr>
            <w:tcW w:w="1983"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680</w:t>
            </w:r>
          </w:p>
        </w:tc>
        <w:tc>
          <w:tcPr>
            <w:tcW w:w="1495"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504</w:t>
            </w:r>
          </w:p>
        </w:tc>
        <w:tc>
          <w:tcPr>
            <w:tcW w:w="1571"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971</w:t>
            </w:r>
          </w:p>
        </w:tc>
        <w:tc>
          <w:tcPr>
            <w:tcW w:w="1016"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1070</w:t>
            </w:r>
          </w:p>
        </w:tc>
        <w:tc>
          <w:tcPr>
            <w:tcW w:w="1019"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1070</w:t>
            </w:r>
          </w:p>
        </w:tc>
        <w:tc>
          <w:tcPr>
            <w:tcW w:w="13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spacing w:lineRule="auto" w:line="240"/>
              <w:rPr>
                <w:b/>
                <w:b/>
                <w:bCs/>
                <w:color w:val="000000"/>
                <w:szCs w:val="22"/>
                <w:lang w:val="fr-FR" w:eastAsia="fr-FR"/>
              </w:rPr>
            </w:pPr>
            <w:r>
              <w:rPr>
                <w:rFonts w:eastAsia="TKTypeRegular"/>
                <w:b/>
                <w:bCs/>
                <w:color w:val="000000"/>
                <w:szCs w:val="22"/>
                <w:lang w:val="fr-FR" w:eastAsia="fr-FR"/>
              </w:rPr>
              <w:t xml:space="preserve">        </w:t>
            </w:r>
            <w:r>
              <w:rPr>
                <w:b/>
                <w:bCs/>
                <w:color w:val="000000"/>
                <w:szCs w:val="22"/>
                <w:lang w:val="fr-FR" w:eastAsia="fr-FR"/>
              </w:rPr>
              <w:t xml:space="preserve">56 562   </w:t>
            </w:r>
          </w:p>
        </w:tc>
      </w:tr>
      <w:tr>
        <w:trPr>
          <w:trHeight w:val="240" w:hRule="atLeast"/>
        </w:trPr>
        <w:tc>
          <w:tcPr>
            <w:tcW w:w="1297" w:type="dxa"/>
            <w:tcBorders>
              <w:left w:val="single" w:sz="8" w:space="0" w:color="000000"/>
              <w:bottom w:val="single" w:sz="8" w:space="0" w:color="000000"/>
              <w:insideH w:val="single" w:sz="8" w:space="0" w:color="000000"/>
            </w:tcBorders>
            <w:shd w:fill="00A0F5" w:val="clear"/>
            <w:tcMar>
              <w:left w:w="60" w:type="dxa"/>
            </w:tcMar>
            <w:vAlign w:val="center"/>
          </w:tcPr>
          <w:p>
            <w:pPr>
              <w:pStyle w:val="Normal"/>
              <w:spacing w:lineRule="auto" w:line="240"/>
              <w:jc w:val="center"/>
              <w:rPr>
                <w:b/>
                <w:b/>
                <w:bCs/>
                <w:color w:val="FFFFFF"/>
                <w:szCs w:val="22"/>
                <w:lang w:val="fr-FR" w:eastAsia="fr-FR"/>
              </w:rPr>
            </w:pPr>
            <w:r>
              <w:rPr>
                <w:b/>
                <w:bCs/>
                <w:color w:val="FFFFFF"/>
                <w:szCs w:val="22"/>
                <w:lang w:val="fr-FR" w:eastAsia="fr-FR"/>
              </w:rPr>
              <w:t> </w:t>
            </w:r>
          </w:p>
        </w:tc>
        <w:tc>
          <w:tcPr>
            <w:tcW w:w="1297"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 </w:t>
            </w:r>
          </w:p>
        </w:tc>
        <w:tc>
          <w:tcPr>
            <w:tcW w:w="1017"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 </w:t>
            </w:r>
          </w:p>
        </w:tc>
        <w:tc>
          <w:tcPr>
            <w:tcW w:w="1017"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 </w:t>
            </w:r>
          </w:p>
        </w:tc>
        <w:tc>
          <w:tcPr>
            <w:tcW w:w="1635"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 </w:t>
            </w:r>
          </w:p>
        </w:tc>
        <w:tc>
          <w:tcPr>
            <w:tcW w:w="1983"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 </w:t>
            </w:r>
          </w:p>
        </w:tc>
        <w:tc>
          <w:tcPr>
            <w:tcW w:w="1495"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 </w:t>
            </w:r>
          </w:p>
        </w:tc>
        <w:tc>
          <w:tcPr>
            <w:tcW w:w="1571"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 </w:t>
            </w:r>
          </w:p>
        </w:tc>
        <w:tc>
          <w:tcPr>
            <w:tcW w:w="1016"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 </w:t>
            </w:r>
          </w:p>
        </w:tc>
        <w:tc>
          <w:tcPr>
            <w:tcW w:w="1019"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 </w:t>
            </w:r>
          </w:p>
        </w:tc>
        <w:tc>
          <w:tcPr>
            <w:tcW w:w="1376" w:type="dxa"/>
            <w:tcBorders>
              <w:left w:val="single" w:sz="8" w:space="0" w:color="000000"/>
            </w:tcBorders>
            <w:shd w:fill="auto" w:val="clear"/>
            <w:tcMar>
              <w:left w:w="60" w:type="dxa"/>
            </w:tcMar>
            <w:vAlign w:val="bottom"/>
          </w:tcPr>
          <w:p>
            <w:pPr>
              <w:pStyle w:val="Normal"/>
              <w:snapToGrid w:val="false"/>
              <w:spacing w:lineRule="auto" w:line="240"/>
              <w:jc w:val="center"/>
              <w:rPr>
                <w:color w:val="4B5564"/>
                <w:szCs w:val="22"/>
                <w:lang w:val="fr-FR" w:eastAsia="fr-FR"/>
              </w:rPr>
            </w:pPr>
            <w:r>
              <w:rPr>
                <w:color w:val="4B5564"/>
                <w:szCs w:val="22"/>
                <w:lang w:val="fr-FR" w:eastAsia="fr-FR"/>
              </w:rPr>
            </w:r>
          </w:p>
        </w:tc>
      </w:tr>
      <w:tr>
        <w:trPr>
          <w:trHeight w:val="240" w:hRule="atLeast"/>
        </w:trPr>
        <w:tc>
          <w:tcPr>
            <w:tcW w:w="1297" w:type="dxa"/>
            <w:tcBorders>
              <w:left w:val="single" w:sz="8" w:space="0" w:color="000000"/>
              <w:bottom w:val="single" w:sz="8" w:space="0" w:color="000000"/>
              <w:insideH w:val="single" w:sz="8" w:space="0" w:color="000000"/>
            </w:tcBorders>
            <w:shd w:fill="00A0F5" w:val="clear"/>
            <w:tcMar>
              <w:left w:w="60" w:type="dxa"/>
            </w:tcMar>
            <w:vAlign w:val="center"/>
          </w:tcPr>
          <w:p>
            <w:pPr>
              <w:pStyle w:val="Normal"/>
              <w:spacing w:lineRule="auto" w:line="240"/>
              <w:jc w:val="center"/>
              <w:rPr>
                <w:b/>
                <w:b/>
                <w:bCs/>
                <w:color w:val="FFFFFF"/>
                <w:szCs w:val="22"/>
                <w:lang w:val="fr-FR" w:eastAsia="fr-FR"/>
              </w:rPr>
            </w:pPr>
            <w:r>
              <w:rPr>
                <w:b/>
                <w:bCs/>
                <w:color w:val="FFFFFF"/>
                <w:szCs w:val="22"/>
                <w:lang w:val="fr-FR" w:eastAsia="fr-FR"/>
              </w:rPr>
              <w:t>23 IA+IIA</w:t>
            </w:r>
          </w:p>
        </w:tc>
        <w:tc>
          <w:tcPr>
            <w:tcW w:w="1297"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6549</w:t>
            </w:r>
          </w:p>
        </w:tc>
        <w:tc>
          <w:tcPr>
            <w:tcW w:w="1017"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6549</w:t>
            </w:r>
          </w:p>
        </w:tc>
        <w:tc>
          <w:tcPr>
            <w:tcW w:w="1017"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6549</w:t>
            </w:r>
          </w:p>
        </w:tc>
        <w:tc>
          <w:tcPr>
            <w:tcW w:w="1635"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6549</w:t>
            </w:r>
          </w:p>
        </w:tc>
        <w:tc>
          <w:tcPr>
            <w:tcW w:w="1983"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4584</w:t>
            </w:r>
          </w:p>
        </w:tc>
        <w:tc>
          <w:tcPr>
            <w:tcW w:w="1495"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3406</w:t>
            </w:r>
          </w:p>
        </w:tc>
        <w:tc>
          <w:tcPr>
            <w:tcW w:w="1571"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6549</w:t>
            </w:r>
          </w:p>
        </w:tc>
        <w:tc>
          <w:tcPr>
            <w:tcW w:w="1016"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6791</w:t>
            </w:r>
          </w:p>
        </w:tc>
        <w:tc>
          <w:tcPr>
            <w:tcW w:w="1019"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6791</w:t>
            </w:r>
          </w:p>
        </w:tc>
        <w:tc>
          <w:tcPr>
            <w:tcW w:w="1376" w:type="dxa"/>
            <w:tcBorders>
              <w:left w:val="single" w:sz="8" w:space="0" w:color="000000"/>
            </w:tcBorders>
            <w:shd w:fill="auto" w:val="clear"/>
            <w:tcMar>
              <w:left w:w="60" w:type="dxa"/>
            </w:tcMar>
            <w:vAlign w:val="bottom"/>
          </w:tcPr>
          <w:p>
            <w:pPr>
              <w:pStyle w:val="Normal"/>
              <w:snapToGrid w:val="false"/>
              <w:spacing w:lineRule="auto" w:line="240"/>
              <w:jc w:val="center"/>
              <w:rPr>
                <w:color w:val="4B5564"/>
                <w:szCs w:val="22"/>
                <w:lang w:val="fr-FR" w:eastAsia="fr-FR"/>
              </w:rPr>
            </w:pPr>
            <w:r>
              <w:rPr>
                <w:color w:val="4B5564"/>
                <w:szCs w:val="22"/>
                <w:lang w:val="fr-FR" w:eastAsia="fr-FR"/>
              </w:rPr>
            </w:r>
          </w:p>
        </w:tc>
      </w:tr>
      <w:tr>
        <w:trPr>
          <w:trHeight w:val="700" w:hRule="atLeast"/>
        </w:trPr>
        <w:tc>
          <w:tcPr>
            <w:tcW w:w="1297" w:type="dxa"/>
            <w:tcBorders>
              <w:left w:val="single" w:sz="8" w:space="0" w:color="000000"/>
              <w:bottom w:val="single" w:sz="8" w:space="0" w:color="000000"/>
              <w:insideH w:val="single" w:sz="8" w:space="0" w:color="000000"/>
            </w:tcBorders>
            <w:shd w:fill="00A0F5" w:val="clear"/>
            <w:tcMar>
              <w:left w:w="60" w:type="dxa"/>
            </w:tcMar>
            <w:vAlign w:val="center"/>
          </w:tcPr>
          <w:p>
            <w:pPr>
              <w:pStyle w:val="Normal"/>
              <w:spacing w:lineRule="auto" w:line="240"/>
              <w:jc w:val="center"/>
              <w:rPr>
                <w:b/>
                <w:b/>
                <w:bCs/>
                <w:color w:val="FFFFFF"/>
                <w:szCs w:val="22"/>
                <w:lang w:val="fr-FR" w:eastAsia="fr-FR"/>
              </w:rPr>
            </w:pPr>
            <w:r>
              <w:rPr>
                <w:b/>
                <w:bCs/>
                <w:color w:val="FFFFFF"/>
                <w:szCs w:val="22"/>
                <w:lang w:val="fr-FR" w:eastAsia="fr-FR"/>
              </w:rPr>
              <w:t>% TopG dans IA+IIA 23</w:t>
            </w:r>
          </w:p>
        </w:tc>
        <w:tc>
          <w:tcPr>
            <w:tcW w:w="1297"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50,00%</w:t>
            </w:r>
          </w:p>
        </w:tc>
        <w:tc>
          <w:tcPr>
            <w:tcW w:w="1017"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50,00%</w:t>
            </w:r>
          </w:p>
        </w:tc>
        <w:tc>
          <w:tcPr>
            <w:tcW w:w="1017"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50,00%</w:t>
            </w:r>
          </w:p>
        </w:tc>
        <w:tc>
          <w:tcPr>
            <w:tcW w:w="1635"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50,00%</w:t>
            </w:r>
          </w:p>
        </w:tc>
        <w:tc>
          <w:tcPr>
            <w:tcW w:w="1983"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50,00%</w:t>
            </w:r>
          </w:p>
        </w:tc>
        <w:tc>
          <w:tcPr>
            <w:tcW w:w="1495"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50,00%</w:t>
            </w:r>
          </w:p>
        </w:tc>
        <w:tc>
          <w:tcPr>
            <w:tcW w:w="1571"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50,00%</w:t>
            </w:r>
          </w:p>
        </w:tc>
        <w:tc>
          <w:tcPr>
            <w:tcW w:w="1016"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57,50%</w:t>
            </w:r>
          </w:p>
        </w:tc>
        <w:tc>
          <w:tcPr>
            <w:tcW w:w="1019"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57,50%</w:t>
            </w:r>
          </w:p>
        </w:tc>
        <w:tc>
          <w:tcPr>
            <w:tcW w:w="1376" w:type="dxa"/>
            <w:tcBorders>
              <w:left w:val="single" w:sz="8" w:space="0" w:color="000000"/>
            </w:tcBorders>
            <w:shd w:fill="auto" w:val="clear"/>
            <w:tcMar>
              <w:left w:w="60" w:type="dxa"/>
            </w:tcMar>
            <w:vAlign w:val="bottom"/>
          </w:tcPr>
          <w:p>
            <w:pPr>
              <w:pStyle w:val="Normal"/>
              <w:snapToGrid w:val="false"/>
              <w:spacing w:lineRule="auto" w:line="240"/>
              <w:jc w:val="center"/>
              <w:rPr>
                <w:color w:val="4B5564"/>
                <w:szCs w:val="22"/>
                <w:lang w:val="fr-FR" w:eastAsia="fr-FR"/>
              </w:rPr>
            </w:pPr>
            <w:r>
              <w:rPr>
                <w:color w:val="4B5564"/>
                <w:szCs w:val="22"/>
                <w:lang w:val="fr-FR" w:eastAsia="fr-FR"/>
              </w:rPr>
            </w:r>
          </w:p>
        </w:tc>
      </w:tr>
      <w:tr>
        <w:trPr>
          <w:trHeight w:val="240" w:hRule="atLeast"/>
        </w:trPr>
        <w:tc>
          <w:tcPr>
            <w:tcW w:w="1297" w:type="dxa"/>
            <w:tcBorders>
              <w:left w:val="single" w:sz="8" w:space="0" w:color="000000"/>
              <w:bottom w:val="single" w:sz="8" w:space="0" w:color="000000"/>
              <w:insideH w:val="single" w:sz="8" w:space="0" w:color="000000"/>
            </w:tcBorders>
            <w:shd w:fill="00A0F5" w:val="clear"/>
            <w:tcMar>
              <w:left w:w="60" w:type="dxa"/>
            </w:tcMar>
            <w:vAlign w:val="center"/>
          </w:tcPr>
          <w:p>
            <w:pPr>
              <w:pStyle w:val="Normal"/>
              <w:spacing w:lineRule="auto" w:line="240"/>
              <w:jc w:val="center"/>
              <w:rPr>
                <w:b/>
                <w:b/>
                <w:bCs/>
                <w:color w:val="FFFFFF"/>
                <w:szCs w:val="22"/>
                <w:lang w:val="fr-FR" w:eastAsia="fr-FR"/>
              </w:rPr>
            </w:pPr>
            <w:r>
              <w:rPr>
                <w:b/>
                <w:bCs/>
                <w:color w:val="FFFFFF"/>
                <w:szCs w:val="22"/>
                <w:lang w:val="fr-FR" w:eastAsia="fr-FR"/>
              </w:rPr>
              <w:t>TopG IA 23</w:t>
            </w:r>
          </w:p>
        </w:tc>
        <w:tc>
          <w:tcPr>
            <w:tcW w:w="1297"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3274</w:t>
            </w:r>
          </w:p>
        </w:tc>
        <w:tc>
          <w:tcPr>
            <w:tcW w:w="1017"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3274</w:t>
            </w:r>
          </w:p>
        </w:tc>
        <w:tc>
          <w:tcPr>
            <w:tcW w:w="1017"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3274</w:t>
            </w:r>
          </w:p>
        </w:tc>
        <w:tc>
          <w:tcPr>
            <w:tcW w:w="1635"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3274</w:t>
            </w:r>
          </w:p>
        </w:tc>
        <w:tc>
          <w:tcPr>
            <w:tcW w:w="1983"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pPr>
            <w:r>
              <w:rPr>
                <w:color w:val="4B5564"/>
                <w:szCs w:val="22"/>
                <w:lang w:val="fr-FR" w:eastAsia="fr-FR"/>
              </w:rPr>
              <w:t>2292</w:t>
            </w:r>
          </w:p>
        </w:tc>
        <w:tc>
          <w:tcPr>
            <w:tcW w:w="1495"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1703</w:t>
            </w:r>
          </w:p>
        </w:tc>
        <w:tc>
          <w:tcPr>
            <w:tcW w:w="1571"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3274</w:t>
            </w:r>
          </w:p>
        </w:tc>
        <w:tc>
          <w:tcPr>
            <w:tcW w:w="1016"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3905</w:t>
            </w:r>
          </w:p>
        </w:tc>
        <w:tc>
          <w:tcPr>
            <w:tcW w:w="1019" w:type="dxa"/>
            <w:tcBorders>
              <w:left w:val="single" w:sz="8" w:space="0" w:color="000000"/>
              <w:bottom w:val="single" w:sz="8" w:space="0" w:color="000000"/>
              <w:insideH w:val="single" w:sz="8" w:space="0" w:color="000000"/>
            </w:tcBorders>
            <w:shd w:fill="auto" w:val="clear"/>
            <w:tcMar>
              <w:left w:w="60" w:type="dxa"/>
            </w:tcMar>
            <w:vAlign w:val="center"/>
          </w:tcPr>
          <w:p>
            <w:pPr>
              <w:pStyle w:val="Normal"/>
              <w:spacing w:lineRule="auto" w:line="240"/>
              <w:jc w:val="center"/>
              <w:rPr>
                <w:color w:val="4B5564"/>
                <w:szCs w:val="22"/>
                <w:lang w:val="fr-FR" w:eastAsia="fr-FR"/>
              </w:rPr>
            </w:pPr>
            <w:r>
              <w:rPr>
                <w:color w:val="4B5564"/>
                <w:szCs w:val="22"/>
                <w:lang w:val="fr-FR" w:eastAsia="fr-FR"/>
              </w:rPr>
              <w:t>3905</w:t>
            </w:r>
          </w:p>
        </w:tc>
        <w:tc>
          <w:tcPr>
            <w:tcW w:w="1386"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Mar>
              <w:left w:w="60" w:type="dxa"/>
            </w:tcMar>
            <w:vAlign w:val="center"/>
          </w:tcPr>
          <w:p>
            <w:pPr>
              <w:pStyle w:val="Normal"/>
              <w:spacing w:lineRule="auto" w:line="240"/>
              <w:rPr>
                <w:b/>
                <w:b/>
                <w:bCs/>
                <w:color w:val="000000"/>
                <w:szCs w:val="22"/>
                <w:lang w:val="fr-FR" w:eastAsia="fr-FR"/>
              </w:rPr>
            </w:pPr>
            <w:r>
              <w:rPr>
                <w:rFonts w:eastAsia="TKTypeRegular"/>
                <w:b/>
                <w:bCs/>
                <w:color w:val="000000"/>
                <w:szCs w:val="22"/>
                <w:lang w:val="fr-FR" w:eastAsia="fr-FR"/>
              </w:rPr>
              <w:t xml:space="preserve">        </w:t>
            </w:r>
            <w:r>
              <w:rPr>
                <w:b/>
                <w:bCs/>
                <w:color w:val="000000"/>
                <w:szCs w:val="22"/>
                <w:lang w:val="fr-FR" w:eastAsia="fr-FR"/>
              </w:rPr>
              <w:t xml:space="preserve">28 175   </w:t>
            </w:r>
          </w:p>
        </w:tc>
      </w:tr>
      <w:tr>
        <w:trPr>
          <w:trHeight w:val="250" w:hRule="atLeast"/>
        </w:trPr>
        <w:tc>
          <w:tcPr>
            <w:tcW w:w="1297" w:type="dxa"/>
            <w:tcBorders/>
            <w:shd w:fill="auto" w:val="clear"/>
            <w:vAlign w:val="bottom"/>
          </w:tcPr>
          <w:p>
            <w:pPr>
              <w:pStyle w:val="Normal"/>
              <w:snapToGrid w:val="false"/>
              <w:spacing w:lineRule="auto" w:line="240"/>
              <w:rPr>
                <w:rFonts w:ascii="Times New Roman" w:hAnsi="Times New Roman" w:cs="Times New Roman"/>
                <w:b/>
                <w:b/>
                <w:bCs/>
                <w:color w:val="000000"/>
                <w:sz w:val="20"/>
                <w:szCs w:val="22"/>
                <w:lang w:val="fr-FR" w:eastAsia="fr-FR"/>
              </w:rPr>
            </w:pPr>
            <w:r>
              <w:rPr>
                <w:rFonts w:cs="Times New Roman" w:ascii="Times New Roman" w:hAnsi="Times New Roman"/>
                <w:b/>
                <w:bCs/>
                <w:color w:val="000000"/>
                <w:sz w:val="20"/>
                <w:szCs w:val="22"/>
                <w:lang w:val="fr-FR" w:eastAsia="fr-FR"/>
              </w:rPr>
            </w:r>
          </w:p>
        </w:tc>
        <w:tc>
          <w:tcPr>
            <w:tcW w:w="1297" w:type="dxa"/>
            <w:tcBorders/>
            <w:shd w:fill="auto" w:val="clear"/>
            <w:vAlign w:val="bottom"/>
          </w:tcPr>
          <w:p>
            <w:pPr>
              <w:pStyle w:val="Normal"/>
              <w:snapToGrid w:val="false"/>
              <w:spacing w:lineRule="auto" w:line="240"/>
              <w:rPr>
                <w:rFonts w:ascii="Times New Roman" w:hAnsi="Times New Roman" w:cs="Times New Roman"/>
                <w:b/>
                <w:b/>
                <w:bCs/>
                <w:color w:val="000000"/>
                <w:sz w:val="20"/>
                <w:szCs w:val="22"/>
                <w:lang w:val="fr-FR" w:eastAsia="fr-FR"/>
              </w:rPr>
            </w:pPr>
            <w:r>
              <w:rPr>
                <w:rFonts w:cs="Times New Roman" w:ascii="Times New Roman" w:hAnsi="Times New Roman"/>
                <w:b/>
                <w:bCs/>
                <w:color w:val="000000"/>
                <w:sz w:val="20"/>
                <w:szCs w:val="22"/>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635"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983"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495"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571"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6"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9"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376"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r>
      <w:tr>
        <w:trPr>
          <w:trHeight w:val="250" w:hRule="atLeast"/>
        </w:trPr>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635"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983"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495"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571"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6"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9"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376"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r>
      <w:tr>
        <w:trPr>
          <w:trHeight w:val="500" w:hRule="atLeast"/>
        </w:trPr>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635" w:type="dxa"/>
            <w:tcBorders>
              <w:bottom w:val="single" w:sz="4" w:space="0" w:color="000000"/>
              <w:insideH w:val="single" w:sz="4" w:space="0" w:color="000000"/>
            </w:tcBorders>
            <w:shd w:fill="auto" w:val="clear"/>
            <w:vAlign w:val="bottom"/>
          </w:tcPr>
          <w:p>
            <w:pPr>
              <w:pStyle w:val="Normal"/>
              <w:spacing w:lineRule="auto" w:line="240"/>
              <w:rPr>
                <w:color w:val="000000"/>
                <w:szCs w:val="22"/>
                <w:lang w:val="fr-FR" w:eastAsia="fr-FR"/>
              </w:rPr>
            </w:pPr>
            <w:r>
              <w:rPr>
                <w:color w:val="000000"/>
                <w:szCs w:val="22"/>
                <w:lang w:val="fr-FR" w:eastAsia="fr-FR"/>
              </w:rPr>
              <w:t> </w:t>
            </w:r>
          </w:p>
        </w:tc>
        <w:tc>
          <w:tcPr>
            <w:tcW w:w="1983"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jc w:val="center"/>
              <w:rPr>
                <w:b/>
                <w:b/>
                <w:bCs/>
                <w:color w:val="000000"/>
                <w:szCs w:val="22"/>
                <w:lang w:val="fr-FR" w:eastAsia="fr-FR"/>
              </w:rPr>
            </w:pPr>
            <w:r>
              <w:rPr>
                <w:b/>
                <w:bCs/>
                <w:color w:val="000000"/>
                <w:szCs w:val="22"/>
                <w:lang w:val="fr-FR" w:eastAsia="fr-FR"/>
              </w:rPr>
              <w:t>Tonnage IA + IIA</w:t>
            </w:r>
          </w:p>
        </w:tc>
        <w:tc>
          <w:tcPr>
            <w:tcW w:w="1495"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jc w:val="center"/>
              <w:rPr>
                <w:b/>
                <w:b/>
                <w:bCs/>
                <w:color w:val="000000"/>
                <w:szCs w:val="22"/>
                <w:lang w:val="fr-FR" w:eastAsia="fr-FR"/>
              </w:rPr>
            </w:pPr>
            <w:r>
              <w:rPr>
                <w:b/>
                <w:bCs/>
                <w:color w:val="000000"/>
                <w:szCs w:val="22"/>
                <w:lang w:val="fr-FR" w:eastAsia="fr-FR"/>
              </w:rPr>
              <w:t>Tonnage TopG IA 23</w:t>
            </w:r>
          </w:p>
        </w:tc>
        <w:tc>
          <w:tcPr>
            <w:tcW w:w="1571"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jc w:val="center"/>
              <w:rPr/>
            </w:pPr>
            <w:r>
              <w:rPr>
                <w:b/>
                <w:bCs/>
                <w:color w:val="000000"/>
                <w:szCs w:val="22"/>
                <w:lang w:val="fr-FR" w:eastAsia="fr-FR"/>
              </w:rPr>
              <w:t>Attribution prime € brut</w:t>
            </w:r>
          </w:p>
        </w:tc>
        <w:tc>
          <w:tcPr>
            <w:tcW w:w="1016" w:type="dxa"/>
            <w:tcBorders>
              <w:left w:val="single" w:sz="4" w:space="0" w:color="000000"/>
            </w:tcBorders>
            <w:shd w:fill="auto" w:val="clear"/>
            <w:tcMar>
              <w:left w:w="65" w:type="dxa"/>
            </w:tcMar>
            <w:vAlign w:val="bottom"/>
          </w:tcPr>
          <w:p>
            <w:pPr>
              <w:pStyle w:val="Normal"/>
              <w:snapToGrid w:val="false"/>
              <w:spacing w:lineRule="auto" w:line="240"/>
              <w:jc w:val="center"/>
              <w:rPr>
                <w:b/>
                <w:b/>
                <w:bCs/>
                <w:color w:val="000000"/>
                <w:szCs w:val="22"/>
                <w:lang w:val="fr-FR" w:eastAsia="fr-FR"/>
              </w:rPr>
            </w:pPr>
            <w:r>
              <w:rPr>
                <w:b/>
                <w:bCs/>
                <w:color w:val="000000"/>
                <w:szCs w:val="22"/>
                <w:lang w:val="fr-FR" w:eastAsia="fr-FR"/>
              </w:rPr>
            </w:r>
          </w:p>
        </w:tc>
        <w:tc>
          <w:tcPr>
            <w:tcW w:w="1019" w:type="dxa"/>
            <w:tcBorders/>
            <w:shd w:fill="auto" w:val="clear"/>
            <w:vAlign w:val="bottom"/>
          </w:tcPr>
          <w:p>
            <w:pPr>
              <w:pStyle w:val="Normal"/>
              <w:snapToGrid w:val="false"/>
              <w:spacing w:lineRule="auto" w:line="240"/>
              <w:rPr>
                <w:rFonts w:ascii="Times New Roman" w:hAnsi="Times New Roman" w:cs="Times New Roman"/>
                <w:b/>
                <w:b/>
                <w:bCs/>
                <w:color w:val="000000"/>
                <w:sz w:val="20"/>
                <w:szCs w:val="22"/>
                <w:lang w:val="fr-FR" w:eastAsia="fr-FR"/>
              </w:rPr>
            </w:pPr>
            <w:r>
              <w:rPr>
                <w:rFonts w:cs="Times New Roman" w:ascii="Times New Roman" w:hAnsi="Times New Roman"/>
                <w:b/>
                <w:bCs/>
                <w:color w:val="000000"/>
                <w:sz w:val="20"/>
                <w:szCs w:val="22"/>
                <w:lang w:val="fr-FR" w:eastAsia="fr-FR"/>
              </w:rPr>
            </w:r>
          </w:p>
        </w:tc>
        <w:tc>
          <w:tcPr>
            <w:tcW w:w="1376"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r>
      <w:tr>
        <w:trPr>
          <w:trHeight w:val="250" w:hRule="atLeast"/>
        </w:trPr>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635"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jc w:val="center"/>
              <w:rPr>
                <w:b/>
                <w:b/>
                <w:bCs/>
                <w:color w:val="000000"/>
                <w:szCs w:val="22"/>
                <w:lang w:val="fr-FR" w:eastAsia="fr-FR"/>
              </w:rPr>
            </w:pPr>
            <w:r>
              <w:rPr>
                <w:b/>
                <w:bCs/>
                <w:color w:val="000000"/>
                <w:szCs w:val="22"/>
                <w:lang w:val="fr-FR" w:eastAsia="fr-FR"/>
              </w:rPr>
              <w:t>90% production</w:t>
            </w:r>
          </w:p>
        </w:tc>
        <w:tc>
          <w:tcPr>
            <w:tcW w:w="1983"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jc w:val="center"/>
              <w:rPr>
                <w:color w:val="000000"/>
                <w:szCs w:val="22"/>
                <w:lang w:val="fr-FR" w:eastAsia="fr-FR"/>
              </w:rPr>
            </w:pPr>
            <w:r>
              <w:rPr>
                <w:rFonts w:eastAsia="TKTypeRegular"/>
                <w:color w:val="000000"/>
                <w:szCs w:val="22"/>
                <w:lang w:val="fr-FR" w:eastAsia="fr-FR"/>
              </w:rPr>
              <w:t xml:space="preserve">           </w:t>
            </w:r>
            <w:r>
              <w:rPr>
                <w:color w:val="000000"/>
                <w:szCs w:val="22"/>
                <w:lang w:val="fr-FR" w:eastAsia="fr-FR"/>
              </w:rPr>
              <w:t xml:space="preserve">50 906   </w:t>
            </w:r>
          </w:p>
        </w:tc>
        <w:tc>
          <w:tcPr>
            <w:tcW w:w="1495" w:type="dxa"/>
            <w:vMerge w:val="restart"/>
            <w:tcBorders>
              <w:left w:val="single" w:sz="4" w:space="0" w:color="000000"/>
              <w:bottom w:val="single" w:sz="4" w:space="0" w:color="000000"/>
              <w:insideH w:val="single" w:sz="4" w:space="0" w:color="000000"/>
            </w:tcBorders>
            <w:shd w:fill="auto" w:val="clear"/>
            <w:tcMar>
              <w:left w:w="65" w:type="dxa"/>
            </w:tcMar>
            <w:vAlign w:val="bottom"/>
          </w:tcPr>
          <w:p>
            <w:pPr>
              <w:pStyle w:val="Normal"/>
              <w:spacing w:lineRule="auto" w:line="240"/>
              <w:jc w:val="center"/>
              <w:rPr>
                <w:color w:val="000000"/>
                <w:szCs w:val="22"/>
                <w:lang w:val="fr-FR" w:eastAsia="fr-FR"/>
              </w:rPr>
            </w:pPr>
            <w:r>
              <w:rPr>
                <w:color w:val="000000"/>
                <w:szCs w:val="22"/>
                <w:lang w:val="fr-FR" w:eastAsia="fr-FR"/>
              </w:rPr>
              <w:t> </w:t>
            </w:r>
          </w:p>
        </w:tc>
        <w:tc>
          <w:tcPr>
            <w:tcW w:w="1571"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jc w:val="center"/>
              <w:rPr>
                <w:color w:val="000000"/>
                <w:szCs w:val="22"/>
                <w:lang w:val="fr-FR" w:eastAsia="fr-FR"/>
              </w:rPr>
            </w:pPr>
            <w:r>
              <w:rPr>
                <w:color w:val="000000"/>
                <w:szCs w:val="22"/>
                <w:lang w:val="fr-FR" w:eastAsia="fr-FR"/>
              </w:rPr>
              <w:t>100 euros</w:t>
            </w:r>
          </w:p>
        </w:tc>
        <w:tc>
          <w:tcPr>
            <w:tcW w:w="1016" w:type="dxa"/>
            <w:tcBorders>
              <w:left w:val="single" w:sz="4" w:space="0" w:color="000000"/>
            </w:tcBorders>
            <w:shd w:fill="auto" w:val="clear"/>
            <w:tcMar>
              <w:left w:w="65" w:type="dxa"/>
            </w:tcMar>
            <w:vAlign w:val="bottom"/>
          </w:tcPr>
          <w:p>
            <w:pPr>
              <w:pStyle w:val="Normal"/>
              <w:snapToGrid w:val="false"/>
              <w:spacing w:lineRule="auto" w:line="240"/>
              <w:jc w:val="center"/>
              <w:rPr>
                <w:color w:val="000000"/>
                <w:szCs w:val="22"/>
                <w:lang w:val="fr-FR" w:eastAsia="fr-FR"/>
              </w:rPr>
            </w:pPr>
            <w:r>
              <w:rPr>
                <w:color w:val="000000"/>
                <w:szCs w:val="22"/>
                <w:lang w:val="fr-FR" w:eastAsia="fr-FR"/>
              </w:rPr>
            </w:r>
          </w:p>
        </w:tc>
        <w:tc>
          <w:tcPr>
            <w:tcW w:w="1019" w:type="dxa"/>
            <w:tcBorders/>
            <w:shd w:fill="auto" w:val="clear"/>
            <w:vAlign w:val="bottom"/>
          </w:tcPr>
          <w:p>
            <w:pPr>
              <w:pStyle w:val="Normal"/>
              <w:snapToGrid w:val="false"/>
              <w:spacing w:lineRule="auto" w:line="240"/>
              <w:rPr>
                <w:rFonts w:ascii="Times New Roman" w:hAnsi="Times New Roman" w:cs="Times New Roman"/>
                <w:color w:val="000000"/>
                <w:sz w:val="20"/>
                <w:szCs w:val="22"/>
                <w:lang w:val="fr-FR" w:eastAsia="fr-FR"/>
              </w:rPr>
            </w:pPr>
            <w:r>
              <w:rPr>
                <w:rFonts w:cs="Times New Roman" w:ascii="Times New Roman" w:hAnsi="Times New Roman"/>
                <w:color w:val="000000"/>
                <w:sz w:val="20"/>
                <w:szCs w:val="22"/>
                <w:lang w:val="fr-FR" w:eastAsia="fr-FR"/>
              </w:rPr>
            </w:r>
          </w:p>
        </w:tc>
        <w:tc>
          <w:tcPr>
            <w:tcW w:w="1376"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r>
      <w:tr>
        <w:trPr>
          <w:trHeight w:val="250" w:hRule="atLeast"/>
        </w:trPr>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635"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rFonts w:ascii="Times New Roman" w:hAnsi="Times New Roman" w:cs="Times New Roman"/>
                <w:b/>
                <w:b/>
                <w:bCs/>
                <w:color w:val="000000"/>
                <w:sz w:val="20"/>
                <w:szCs w:val="22"/>
                <w:lang w:val="fr-FR" w:eastAsia="fr-FR"/>
              </w:rPr>
            </w:pPr>
            <w:r>
              <w:rPr>
                <w:rFonts w:cs="Times New Roman" w:ascii="Times New Roman" w:hAnsi="Times New Roman"/>
                <w:b/>
                <w:bCs/>
                <w:color w:val="000000"/>
                <w:sz w:val="20"/>
                <w:szCs w:val="22"/>
                <w:lang w:val="fr-FR" w:eastAsia="fr-FR"/>
              </w:rPr>
            </w:r>
          </w:p>
        </w:tc>
        <w:tc>
          <w:tcPr>
            <w:tcW w:w="1983"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b/>
                <w:b/>
                <w:bCs/>
                <w:color w:val="000000"/>
                <w:szCs w:val="22"/>
                <w:lang w:val="fr-FR" w:eastAsia="fr-FR"/>
              </w:rPr>
            </w:pPr>
            <w:r>
              <w:rPr>
                <w:b/>
                <w:bCs/>
                <w:color w:val="000000"/>
                <w:szCs w:val="22"/>
                <w:lang w:val="fr-FR" w:eastAsia="fr-FR"/>
              </w:rPr>
            </w:r>
          </w:p>
        </w:tc>
        <w:tc>
          <w:tcPr>
            <w:tcW w:w="1495"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color w:val="000000"/>
                <w:szCs w:val="22"/>
                <w:lang w:val="fr-FR" w:eastAsia="fr-FR"/>
              </w:rPr>
            </w:pPr>
            <w:r>
              <w:rPr>
                <w:color w:val="000000"/>
                <w:szCs w:val="22"/>
                <w:lang w:val="fr-FR" w:eastAsia="fr-FR"/>
              </w:rPr>
            </w:r>
          </w:p>
        </w:tc>
        <w:tc>
          <w:tcPr>
            <w:tcW w:w="1571"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color w:val="000000"/>
                <w:szCs w:val="22"/>
                <w:lang w:val="fr-FR" w:eastAsia="fr-FR"/>
              </w:rPr>
            </w:pPr>
            <w:r>
              <w:rPr>
                <w:color w:val="000000"/>
                <w:szCs w:val="22"/>
                <w:lang w:val="fr-FR" w:eastAsia="fr-FR"/>
              </w:rPr>
            </w:r>
          </w:p>
        </w:tc>
        <w:tc>
          <w:tcPr>
            <w:tcW w:w="1016" w:type="dxa"/>
            <w:tcBorders>
              <w:left w:val="single" w:sz="4" w:space="0" w:color="000000"/>
            </w:tcBorders>
            <w:shd w:fill="auto" w:val="clear"/>
            <w:tcMar>
              <w:left w:w="65" w:type="dxa"/>
            </w:tcMar>
            <w:vAlign w:val="bottom"/>
          </w:tcPr>
          <w:p>
            <w:pPr>
              <w:pStyle w:val="Normal"/>
              <w:snapToGrid w:val="false"/>
              <w:spacing w:lineRule="auto" w:line="240"/>
              <w:rPr>
                <w:rFonts w:ascii="Times New Roman" w:hAnsi="Times New Roman" w:cs="Times New Roman"/>
                <w:color w:val="000000"/>
                <w:sz w:val="20"/>
                <w:szCs w:val="22"/>
                <w:lang w:val="fr-FR" w:eastAsia="fr-FR"/>
              </w:rPr>
            </w:pPr>
            <w:r>
              <w:rPr>
                <w:rFonts w:cs="Times New Roman" w:ascii="Times New Roman" w:hAnsi="Times New Roman"/>
                <w:color w:val="000000"/>
                <w:sz w:val="20"/>
                <w:szCs w:val="22"/>
                <w:lang w:val="fr-FR" w:eastAsia="fr-FR"/>
              </w:rPr>
            </w:r>
          </w:p>
        </w:tc>
        <w:tc>
          <w:tcPr>
            <w:tcW w:w="1019"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376"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r>
      <w:tr>
        <w:trPr>
          <w:trHeight w:val="250" w:hRule="atLeast"/>
        </w:trPr>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635"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rFonts w:ascii="Times New Roman" w:hAnsi="Times New Roman" w:cs="Times New Roman"/>
                <w:b/>
                <w:b/>
                <w:bCs/>
                <w:color w:val="000000"/>
                <w:sz w:val="20"/>
                <w:szCs w:val="22"/>
                <w:lang w:val="fr-FR" w:eastAsia="fr-FR"/>
              </w:rPr>
            </w:pPr>
            <w:r>
              <w:rPr>
                <w:rFonts w:cs="Times New Roman" w:ascii="Times New Roman" w:hAnsi="Times New Roman"/>
                <w:b/>
                <w:bCs/>
                <w:color w:val="000000"/>
                <w:sz w:val="20"/>
                <w:szCs w:val="22"/>
                <w:lang w:val="fr-FR" w:eastAsia="fr-FR"/>
              </w:rPr>
            </w:r>
          </w:p>
        </w:tc>
        <w:tc>
          <w:tcPr>
            <w:tcW w:w="1983"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b/>
                <w:b/>
                <w:bCs/>
                <w:color w:val="000000"/>
                <w:szCs w:val="22"/>
                <w:lang w:val="fr-FR" w:eastAsia="fr-FR"/>
              </w:rPr>
            </w:pPr>
            <w:r>
              <w:rPr>
                <w:b/>
                <w:bCs/>
                <w:color w:val="000000"/>
                <w:szCs w:val="22"/>
                <w:lang w:val="fr-FR" w:eastAsia="fr-FR"/>
              </w:rPr>
            </w:r>
          </w:p>
        </w:tc>
        <w:tc>
          <w:tcPr>
            <w:tcW w:w="1495"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color w:val="000000"/>
                <w:szCs w:val="22"/>
                <w:lang w:val="fr-FR" w:eastAsia="fr-FR"/>
              </w:rPr>
            </w:pPr>
            <w:r>
              <w:rPr>
                <w:color w:val="000000"/>
                <w:szCs w:val="22"/>
                <w:lang w:val="fr-FR" w:eastAsia="fr-FR"/>
              </w:rPr>
            </w:r>
          </w:p>
        </w:tc>
        <w:tc>
          <w:tcPr>
            <w:tcW w:w="1571"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color w:val="000000"/>
                <w:szCs w:val="22"/>
                <w:lang w:val="fr-FR" w:eastAsia="fr-FR"/>
              </w:rPr>
            </w:pPr>
            <w:r>
              <w:rPr>
                <w:color w:val="000000"/>
                <w:szCs w:val="22"/>
                <w:lang w:val="fr-FR" w:eastAsia="fr-FR"/>
              </w:rPr>
            </w:r>
          </w:p>
        </w:tc>
        <w:tc>
          <w:tcPr>
            <w:tcW w:w="1016" w:type="dxa"/>
            <w:tcBorders>
              <w:left w:val="single" w:sz="4" w:space="0" w:color="000000"/>
            </w:tcBorders>
            <w:shd w:fill="auto" w:val="clear"/>
            <w:tcMar>
              <w:left w:w="65" w:type="dxa"/>
            </w:tcMar>
            <w:vAlign w:val="bottom"/>
          </w:tcPr>
          <w:p>
            <w:pPr>
              <w:pStyle w:val="Normal"/>
              <w:snapToGrid w:val="false"/>
              <w:spacing w:lineRule="auto" w:line="240"/>
              <w:rPr>
                <w:rFonts w:ascii="Times New Roman" w:hAnsi="Times New Roman" w:cs="Times New Roman"/>
                <w:color w:val="000000"/>
                <w:sz w:val="20"/>
                <w:szCs w:val="22"/>
                <w:lang w:val="fr-FR" w:eastAsia="fr-FR"/>
              </w:rPr>
            </w:pPr>
            <w:r>
              <w:rPr>
                <w:rFonts w:cs="Times New Roman" w:ascii="Times New Roman" w:hAnsi="Times New Roman"/>
                <w:color w:val="000000"/>
                <w:sz w:val="20"/>
                <w:szCs w:val="22"/>
                <w:lang w:val="fr-FR" w:eastAsia="fr-FR"/>
              </w:rPr>
            </w:r>
          </w:p>
        </w:tc>
        <w:tc>
          <w:tcPr>
            <w:tcW w:w="1019"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376"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r>
      <w:tr>
        <w:trPr>
          <w:trHeight w:val="250" w:hRule="atLeast"/>
        </w:trPr>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635"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jc w:val="center"/>
              <w:rPr>
                <w:b/>
                <w:b/>
                <w:bCs/>
                <w:color w:val="000000"/>
                <w:szCs w:val="22"/>
                <w:lang w:val="fr-FR" w:eastAsia="fr-FR"/>
              </w:rPr>
            </w:pPr>
            <w:r>
              <w:rPr>
                <w:b/>
                <w:bCs/>
                <w:color w:val="000000"/>
                <w:szCs w:val="22"/>
                <w:lang w:val="fr-FR" w:eastAsia="fr-FR"/>
              </w:rPr>
              <w:t>90% production et 85% tp</w:t>
            </w:r>
          </w:p>
        </w:tc>
        <w:tc>
          <w:tcPr>
            <w:tcW w:w="1983"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jc w:val="center"/>
              <w:rPr/>
            </w:pPr>
            <w:r>
              <w:rPr>
                <w:rFonts w:eastAsia="TKTypeRegular"/>
                <w:color w:val="000000"/>
                <w:szCs w:val="22"/>
                <w:lang w:val="fr-FR" w:eastAsia="fr-FR"/>
              </w:rPr>
              <w:t xml:space="preserve">           </w:t>
            </w:r>
            <w:r>
              <w:rPr>
                <w:color w:val="000000"/>
                <w:szCs w:val="22"/>
                <w:lang w:val="fr-FR" w:eastAsia="fr-FR"/>
              </w:rPr>
              <w:t xml:space="preserve">50 906   </w:t>
            </w:r>
          </w:p>
        </w:tc>
        <w:tc>
          <w:tcPr>
            <w:tcW w:w="1495"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jc w:val="center"/>
              <w:rPr>
                <w:color w:val="000000"/>
                <w:szCs w:val="22"/>
                <w:lang w:val="fr-FR" w:eastAsia="fr-FR"/>
              </w:rPr>
            </w:pPr>
            <w:r>
              <w:rPr>
                <w:rFonts w:eastAsia="TKTypeRegular"/>
                <w:color w:val="000000"/>
                <w:szCs w:val="22"/>
                <w:lang w:val="fr-FR" w:eastAsia="fr-FR"/>
              </w:rPr>
              <w:t xml:space="preserve">      </w:t>
            </w:r>
            <w:r>
              <w:rPr>
                <w:color w:val="000000"/>
                <w:szCs w:val="22"/>
                <w:lang w:val="fr-FR" w:eastAsia="fr-FR"/>
              </w:rPr>
              <w:t xml:space="preserve">23 949   </w:t>
            </w:r>
          </w:p>
        </w:tc>
        <w:tc>
          <w:tcPr>
            <w:tcW w:w="1571"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jc w:val="center"/>
              <w:rPr>
                <w:color w:val="000000"/>
                <w:szCs w:val="22"/>
                <w:lang w:val="fr-FR" w:eastAsia="fr-FR"/>
              </w:rPr>
            </w:pPr>
            <w:r>
              <w:rPr>
                <w:color w:val="000000"/>
                <w:szCs w:val="22"/>
                <w:lang w:val="fr-FR" w:eastAsia="fr-FR"/>
              </w:rPr>
              <w:t>200 euros</w:t>
            </w:r>
          </w:p>
        </w:tc>
        <w:tc>
          <w:tcPr>
            <w:tcW w:w="1016" w:type="dxa"/>
            <w:tcBorders>
              <w:left w:val="single" w:sz="4" w:space="0" w:color="000000"/>
            </w:tcBorders>
            <w:shd w:fill="auto" w:val="clear"/>
            <w:tcMar>
              <w:left w:w="65" w:type="dxa"/>
            </w:tcMar>
            <w:vAlign w:val="bottom"/>
          </w:tcPr>
          <w:p>
            <w:pPr>
              <w:pStyle w:val="Normal"/>
              <w:snapToGrid w:val="false"/>
              <w:spacing w:lineRule="auto" w:line="240"/>
              <w:jc w:val="center"/>
              <w:rPr>
                <w:color w:val="000000"/>
                <w:szCs w:val="22"/>
                <w:lang w:val="fr-FR" w:eastAsia="fr-FR"/>
              </w:rPr>
            </w:pPr>
            <w:r>
              <w:rPr>
                <w:color w:val="000000"/>
                <w:szCs w:val="22"/>
                <w:lang w:val="fr-FR" w:eastAsia="fr-FR"/>
              </w:rPr>
            </w:r>
          </w:p>
        </w:tc>
        <w:tc>
          <w:tcPr>
            <w:tcW w:w="1019" w:type="dxa"/>
            <w:tcBorders/>
            <w:shd w:fill="auto" w:val="clear"/>
            <w:vAlign w:val="bottom"/>
          </w:tcPr>
          <w:p>
            <w:pPr>
              <w:pStyle w:val="Normal"/>
              <w:snapToGrid w:val="false"/>
              <w:spacing w:lineRule="auto" w:line="240"/>
              <w:rPr>
                <w:rFonts w:ascii="Times New Roman" w:hAnsi="Times New Roman" w:cs="Times New Roman"/>
                <w:color w:val="000000"/>
                <w:sz w:val="20"/>
                <w:szCs w:val="22"/>
                <w:lang w:val="fr-FR" w:eastAsia="fr-FR"/>
              </w:rPr>
            </w:pPr>
            <w:r>
              <w:rPr>
                <w:rFonts w:cs="Times New Roman" w:ascii="Times New Roman" w:hAnsi="Times New Roman"/>
                <w:color w:val="000000"/>
                <w:sz w:val="20"/>
                <w:szCs w:val="22"/>
                <w:lang w:val="fr-FR" w:eastAsia="fr-FR"/>
              </w:rPr>
            </w:r>
          </w:p>
        </w:tc>
        <w:tc>
          <w:tcPr>
            <w:tcW w:w="1376"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r>
      <w:tr>
        <w:trPr>
          <w:trHeight w:val="250" w:hRule="atLeast"/>
        </w:trPr>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635"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rFonts w:ascii="Times New Roman" w:hAnsi="Times New Roman" w:cs="Times New Roman"/>
                <w:b/>
                <w:b/>
                <w:bCs/>
                <w:color w:val="000000"/>
                <w:sz w:val="20"/>
                <w:szCs w:val="22"/>
                <w:lang w:val="fr-FR" w:eastAsia="fr-FR"/>
              </w:rPr>
            </w:pPr>
            <w:r>
              <w:rPr>
                <w:rFonts w:cs="Times New Roman" w:ascii="Times New Roman" w:hAnsi="Times New Roman"/>
                <w:b/>
                <w:bCs/>
                <w:color w:val="000000"/>
                <w:sz w:val="20"/>
                <w:szCs w:val="22"/>
                <w:lang w:val="fr-FR" w:eastAsia="fr-FR"/>
              </w:rPr>
            </w:r>
          </w:p>
        </w:tc>
        <w:tc>
          <w:tcPr>
            <w:tcW w:w="1983"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b/>
                <w:b/>
                <w:bCs/>
                <w:color w:val="000000"/>
                <w:szCs w:val="22"/>
                <w:lang w:val="fr-FR" w:eastAsia="fr-FR"/>
              </w:rPr>
            </w:pPr>
            <w:r>
              <w:rPr>
                <w:b/>
                <w:bCs/>
                <w:color w:val="000000"/>
                <w:szCs w:val="22"/>
                <w:lang w:val="fr-FR" w:eastAsia="fr-FR"/>
              </w:rPr>
            </w:r>
          </w:p>
        </w:tc>
        <w:tc>
          <w:tcPr>
            <w:tcW w:w="1495"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color w:val="000000"/>
                <w:szCs w:val="22"/>
                <w:lang w:val="fr-FR" w:eastAsia="fr-FR"/>
              </w:rPr>
            </w:pPr>
            <w:r>
              <w:rPr>
                <w:color w:val="000000"/>
                <w:szCs w:val="22"/>
                <w:lang w:val="fr-FR" w:eastAsia="fr-FR"/>
              </w:rPr>
            </w:r>
          </w:p>
        </w:tc>
        <w:tc>
          <w:tcPr>
            <w:tcW w:w="1571"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color w:val="000000"/>
                <w:szCs w:val="22"/>
                <w:lang w:val="fr-FR" w:eastAsia="fr-FR"/>
              </w:rPr>
            </w:pPr>
            <w:r>
              <w:rPr>
                <w:color w:val="000000"/>
                <w:szCs w:val="22"/>
                <w:lang w:val="fr-FR" w:eastAsia="fr-FR"/>
              </w:rPr>
            </w:r>
          </w:p>
        </w:tc>
        <w:tc>
          <w:tcPr>
            <w:tcW w:w="1016" w:type="dxa"/>
            <w:tcBorders>
              <w:left w:val="single" w:sz="4" w:space="0" w:color="000000"/>
            </w:tcBorders>
            <w:shd w:fill="auto" w:val="clear"/>
            <w:tcMar>
              <w:left w:w="65" w:type="dxa"/>
            </w:tcMar>
            <w:vAlign w:val="bottom"/>
          </w:tcPr>
          <w:p>
            <w:pPr>
              <w:pStyle w:val="Normal"/>
              <w:snapToGrid w:val="false"/>
              <w:spacing w:lineRule="auto" w:line="240"/>
              <w:rPr>
                <w:rFonts w:ascii="Times New Roman" w:hAnsi="Times New Roman" w:cs="Times New Roman"/>
                <w:color w:val="000000"/>
                <w:sz w:val="20"/>
                <w:szCs w:val="22"/>
                <w:lang w:val="fr-FR" w:eastAsia="fr-FR"/>
              </w:rPr>
            </w:pPr>
            <w:r>
              <w:rPr>
                <w:rFonts w:cs="Times New Roman" w:ascii="Times New Roman" w:hAnsi="Times New Roman"/>
                <w:color w:val="000000"/>
                <w:sz w:val="20"/>
                <w:szCs w:val="22"/>
                <w:lang w:val="fr-FR" w:eastAsia="fr-FR"/>
              </w:rPr>
            </w:r>
          </w:p>
        </w:tc>
        <w:tc>
          <w:tcPr>
            <w:tcW w:w="1019"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376"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r>
      <w:tr>
        <w:trPr>
          <w:trHeight w:val="250" w:hRule="atLeast"/>
        </w:trPr>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635"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rFonts w:ascii="Times New Roman" w:hAnsi="Times New Roman" w:cs="Times New Roman"/>
                <w:b/>
                <w:b/>
                <w:bCs/>
                <w:color w:val="000000"/>
                <w:sz w:val="20"/>
                <w:szCs w:val="22"/>
                <w:lang w:val="fr-FR" w:eastAsia="fr-FR"/>
              </w:rPr>
            </w:pPr>
            <w:r>
              <w:rPr>
                <w:rFonts w:cs="Times New Roman" w:ascii="Times New Roman" w:hAnsi="Times New Roman"/>
                <w:b/>
                <w:bCs/>
                <w:color w:val="000000"/>
                <w:sz w:val="20"/>
                <w:szCs w:val="22"/>
                <w:lang w:val="fr-FR" w:eastAsia="fr-FR"/>
              </w:rPr>
            </w:r>
          </w:p>
        </w:tc>
        <w:tc>
          <w:tcPr>
            <w:tcW w:w="1983"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b/>
                <w:b/>
                <w:bCs/>
                <w:color w:val="000000"/>
                <w:szCs w:val="22"/>
                <w:lang w:val="fr-FR" w:eastAsia="fr-FR"/>
              </w:rPr>
            </w:pPr>
            <w:r>
              <w:rPr>
                <w:b/>
                <w:bCs/>
                <w:color w:val="000000"/>
                <w:szCs w:val="22"/>
                <w:lang w:val="fr-FR" w:eastAsia="fr-FR"/>
              </w:rPr>
            </w:r>
          </w:p>
        </w:tc>
        <w:tc>
          <w:tcPr>
            <w:tcW w:w="1495"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color w:val="000000"/>
                <w:szCs w:val="22"/>
                <w:lang w:val="fr-FR" w:eastAsia="fr-FR"/>
              </w:rPr>
            </w:pPr>
            <w:r>
              <w:rPr>
                <w:color w:val="000000"/>
                <w:szCs w:val="22"/>
                <w:lang w:val="fr-FR" w:eastAsia="fr-FR"/>
              </w:rPr>
            </w:r>
          </w:p>
        </w:tc>
        <w:tc>
          <w:tcPr>
            <w:tcW w:w="1571"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color w:val="000000"/>
                <w:szCs w:val="22"/>
                <w:lang w:val="fr-FR" w:eastAsia="fr-FR"/>
              </w:rPr>
            </w:pPr>
            <w:r>
              <w:rPr>
                <w:color w:val="000000"/>
                <w:szCs w:val="22"/>
                <w:lang w:val="fr-FR" w:eastAsia="fr-FR"/>
              </w:rPr>
            </w:r>
          </w:p>
        </w:tc>
        <w:tc>
          <w:tcPr>
            <w:tcW w:w="1016" w:type="dxa"/>
            <w:tcBorders>
              <w:left w:val="single" w:sz="4" w:space="0" w:color="000000"/>
            </w:tcBorders>
            <w:shd w:fill="auto" w:val="clear"/>
            <w:tcMar>
              <w:left w:w="65" w:type="dxa"/>
            </w:tcMar>
            <w:vAlign w:val="bottom"/>
          </w:tcPr>
          <w:p>
            <w:pPr>
              <w:pStyle w:val="Normal"/>
              <w:snapToGrid w:val="false"/>
              <w:spacing w:lineRule="auto" w:line="240"/>
              <w:rPr>
                <w:rFonts w:ascii="Times New Roman" w:hAnsi="Times New Roman" w:cs="Times New Roman"/>
                <w:color w:val="000000"/>
                <w:sz w:val="20"/>
                <w:szCs w:val="22"/>
                <w:lang w:val="fr-FR" w:eastAsia="fr-FR"/>
              </w:rPr>
            </w:pPr>
            <w:r>
              <w:rPr>
                <w:rFonts w:cs="Times New Roman" w:ascii="Times New Roman" w:hAnsi="Times New Roman"/>
                <w:color w:val="000000"/>
                <w:sz w:val="20"/>
                <w:szCs w:val="22"/>
                <w:lang w:val="fr-FR" w:eastAsia="fr-FR"/>
              </w:rPr>
            </w:r>
          </w:p>
        </w:tc>
        <w:tc>
          <w:tcPr>
            <w:tcW w:w="1019"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376"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r>
      <w:tr>
        <w:trPr>
          <w:trHeight w:val="250" w:hRule="atLeast"/>
        </w:trPr>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635"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jc w:val="center"/>
              <w:rPr>
                <w:b/>
                <w:b/>
                <w:bCs/>
                <w:color w:val="000000"/>
                <w:szCs w:val="22"/>
                <w:lang w:val="fr-FR" w:eastAsia="fr-FR"/>
              </w:rPr>
            </w:pPr>
            <w:r>
              <w:rPr>
                <w:b/>
                <w:bCs/>
                <w:color w:val="000000"/>
                <w:szCs w:val="22"/>
                <w:lang w:val="fr-FR" w:eastAsia="fr-FR"/>
              </w:rPr>
              <w:t>95% production et 90% tp</w:t>
            </w:r>
          </w:p>
        </w:tc>
        <w:tc>
          <w:tcPr>
            <w:tcW w:w="1983"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jc w:val="center"/>
              <w:rPr>
                <w:color w:val="000000"/>
                <w:szCs w:val="22"/>
                <w:lang w:val="fr-FR" w:eastAsia="fr-FR"/>
              </w:rPr>
            </w:pPr>
            <w:r>
              <w:rPr>
                <w:rFonts w:eastAsia="TKTypeRegular"/>
                <w:color w:val="000000"/>
                <w:szCs w:val="22"/>
                <w:lang w:val="fr-FR" w:eastAsia="fr-FR"/>
              </w:rPr>
              <w:t xml:space="preserve">           </w:t>
            </w:r>
            <w:r>
              <w:rPr>
                <w:color w:val="000000"/>
                <w:szCs w:val="22"/>
                <w:lang w:val="fr-FR" w:eastAsia="fr-FR"/>
              </w:rPr>
              <w:t xml:space="preserve">53 734   </w:t>
            </w:r>
          </w:p>
        </w:tc>
        <w:tc>
          <w:tcPr>
            <w:tcW w:w="1495"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jc w:val="center"/>
              <w:rPr>
                <w:color w:val="000000"/>
                <w:szCs w:val="22"/>
                <w:lang w:val="fr-FR" w:eastAsia="fr-FR"/>
              </w:rPr>
            </w:pPr>
            <w:r>
              <w:rPr>
                <w:rFonts w:eastAsia="TKTypeRegular"/>
                <w:color w:val="000000"/>
                <w:szCs w:val="22"/>
                <w:lang w:val="fr-FR" w:eastAsia="fr-FR"/>
              </w:rPr>
              <w:t xml:space="preserve">      </w:t>
            </w:r>
            <w:r>
              <w:rPr>
                <w:color w:val="000000"/>
                <w:szCs w:val="22"/>
                <w:lang w:val="fr-FR" w:eastAsia="fr-FR"/>
              </w:rPr>
              <w:t xml:space="preserve">25 358   </w:t>
            </w:r>
          </w:p>
        </w:tc>
        <w:tc>
          <w:tcPr>
            <w:tcW w:w="1571"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jc w:val="center"/>
              <w:rPr>
                <w:color w:val="000000"/>
                <w:szCs w:val="22"/>
                <w:lang w:val="fr-FR" w:eastAsia="fr-FR"/>
              </w:rPr>
            </w:pPr>
            <w:r>
              <w:rPr>
                <w:color w:val="000000"/>
                <w:szCs w:val="22"/>
                <w:lang w:val="fr-FR" w:eastAsia="fr-FR"/>
              </w:rPr>
              <w:t>300 euros</w:t>
            </w:r>
          </w:p>
        </w:tc>
        <w:tc>
          <w:tcPr>
            <w:tcW w:w="1016" w:type="dxa"/>
            <w:tcBorders>
              <w:left w:val="single" w:sz="4" w:space="0" w:color="000000"/>
            </w:tcBorders>
            <w:shd w:fill="auto" w:val="clear"/>
            <w:tcMar>
              <w:left w:w="65" w:type="dxa"/>
            </w:tcMar>
            <w:vAlign w:val="bottom"/>
          </w:tcPr>
          <w:p>
            <w:pPr>
              <w:pStyle w:val="Normal"/>
              <w:snapToGrid w:val="false"/>
              <w:spacing w:lineRule="auto" w:line="240"/>
              <w:jc w:val="center"/>
              <w:rPr>
                <w:color w:val="000000"/>
                <w:szCs w:val="22"/>
                <w:lang w:val="fr-FR" w:eastAsia="fr-FR"/>
              </w:rPr>
            </w:pPr>
            <w:r>
              <w:rPr>
                <w:color w:val="000000"/>
                <w:szCs w:val="22"/>
                <w:lang w:val="fr-FR" w:eastAsia="fr-FR"/>
              </w:rPr>
            </w:r>
          </w:p>
        </w:tc>
        <w:tc>
          <w:tcPr>
            <w:tcW w:w="1019" w:type="dxa"/>
            <w:tcBorders/>
            <w:shd w:fill="auto" w:val="clear"/>
            <w:vAlign w:val="bottom"/>
          </w:tcPr>
          <w:p>
            <w:pPr>
              <w:pStyle w:val="Normal"/>
              <w:snapToGrid w:val="false"/>
              <w:spacing w:lineRule="auto" w:line="240"/>
              <w:rPr>
                <w:rFonts w:ascii="Times New Roman" w:hAnsi="Times New Roman" w:cs="Times New Roman"/>
                <w:color w:val="000000"/>
                <w:sz w:val="20"/>
                <w:szCs w:val="22"/>
                <w:lang w:val="fr-FR" w:eastAsia="fr-FR"/>
              </w:rPr>
            </w:pPr>
            <w:r>
              <w:rPr>
                <w:rFonts w:cs="Times New Roman" w:ascii="Times New Roman" w:hAnsi="Times New Roman"/>
                <w:color w:val="000000"/>
                <w:sz w:val="20"/>
                <w:szCs w:val="22"/>
                <w:lang w:val="fr-FR" w:eastAsia="fr-FR"/>
              </w:rPr>
            </w:r>
          </w:p>
        </w:tc>
        <w:tc>
          <w:tcPr>
            <w:tcW w:w="1376"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r>
      <w:tr>
        <w:trPr>
          <w:trHeight w:val="250" w:hRule="atLeast"/>
        </w:trPr>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635"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rFonts w:ascii="Times New Roman" w:hAnsi="Times New Roman" w:cs="Times New Roman"/>
                <w:b/>
                <w:b/>
                <w:bCs/>
                <w:color w:val="000000"/>
                <w:sz w:val="20"/>
                <w:szCs w:val="22"/>
                <w:lang w:val="fr-FR" w:eastAsia="fr-FR"/>
              </w:rPr>
            </w:pPr>
            <w:r>
              <w:rPr>
                <w:rFonts w:cs="Times New Roman" w:ascii="Times New Roman" w:hAnsi="Times New Roman"/>
                <w:b/>
                <w:bCs/>
                <w:color w:val="000000"/>
                <w:sz w:val="20"/>
                <w:szCs w:val="22"/>
                <w:lang w:val="fr-FR" w:eastAsia="fr-FR"/>
              </w:rPr>
            </w:r>
          </w:p>
        </w:tc>
        <w:tc>
          <w:tcPr>
            <w:tcW w:w="1983"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b/>
                <w:b/>
                <w:bCs/>
                <w:color w:val="000000"/>
                <w:szCs w:val="22"/>
                <w:lang w:val="fr-FR" w:eastAsia="fr-FR"/>
              </w:rPr>
            </w:pPr>
            <w:r>
              <w:rPr>
                <w:b/>
                <w:bCs/>
                <w:color w:val="000000"/>
                <w:szCs w:val="22"/>
                <w:lang w:val="fr-FR" w:eastAsia="fr-FR"/>
              </w:rPr>
            </w:r>
          </w:p>
        </w:tc>
        <w:tc>
          <w:tcPr>
            <w:tcW w:w="1495"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color w:val="000000"/>
                <w:szCs w:val="22"/>
                <w:lang w:val="fr-FR" w:eastAsia="fr-FR"/>
              </w:rPr>
            </w:pPr>
            <w:r>
              <w:rPr>
                <w:color w:val="000000"/>
                <w:szCs w:val="22"/>
                <w:lang w:val="fr-FR" w:eastAsia="fr-FR"/>
              </w:rPr>
            </w:r>
          </w:p>
        </w:tc>
        <w:tc>
          <w:tcPr>
            <w:tcW w:w="1571"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color w:val="000000"/>
                <w:szCs w:val="22"/>
                <w:lang w:val="fr-FR" w:eastAsia="fr-FR"/>
              </w:rPr>
            </w:pPr>
            <w:r>
              <w:rPr>
                <w:color w:val="000000"/>
                <w:szCs w:val="22"/>
                <w:lang w:val="fr-FR" w:eastAsia="fr-FR"/>
              </w:rPr>
            </w:r>
          </w:p>
        </w:tc>
        <w:tc>
          <w:tcPr>
            <w:tcW w:w="1016" w:type="dxa"/>
            <w:tcBorders>
              <w:left w:val="single" w:sz="4" w:space="0" w:color="000000"/>
            </w:tcBorders>
            <w:shd w:fill="auto" w:val="clear"/>
            <w:tcMar>
              <w:left w:w="65" w:type="dxa"/>
            </w:tcMar>
            <w:vAlign w:val="bottom"/>
          </w:tcPr>
          <w:p>
            <w:pPr>
              <w:pStyle w:val="Normal"/>
              <w:snapToGrid w:val="false"/>
              <w:spacing w:lineRule="auto" w:line="240"/>
              <w:rPr>
                <w:rFonts w:ascii="Times New Roman" w:hAnsi="Times New Roman" w:cs="Times New Roman"/>
                <w:color w:val="000000"/>
                <w:sz w:val="20"/>
                <w:szCs w:val="22"/>
                <w:lang w:val="fr-FR" w:eastAsia="fr-FR"/>
              </w:rPr>
            </w:pPr>
            <w:r>
              <w:rPr>
                <w:rFonts w:cs="Times New Roman" w:ascii="Times New Roman" w:hAnsi="Times New Roman"/>
                <w:color w:val="000000"/>
                <w:sz w:val="20"/>
                <w:szCs w:val="22"/>
                <w:lang w:val="fr-FR" w:eastAsia="fr-FR"/>
              </w:rPr>
            </w:r>
          </w:p>
        </w:tc>
        <w:tc>
          <w:tcPr>
            <w:tcW w:w="1019"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376"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r>
      <w:tr>
        <w:trPr>
          <w:trHeight w:val="250" w:hRule="atLeast"/>
        </w:trPr>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29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017"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635"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rFonts w:ascii="Times New Roman" w:hAnsi="Times New Roman" w:cs="Times New Roman"/>
                <w:b/>
                <w:b/>
                <w:bCs/>
                <w:color w:val="000000"/>
                <w:sz w:val="20"/>
                <w:szCs w:val="22"/>
                <w:lang w:val="fr-FR" w:eastAsia="fr-FR"/>
              </w:rPr>
            </w:pPr>
            <w:r>
              <w:rPr>
                <w:rFonts w:cs="Times New Roman" w:ascii="Times New Roman" w:hAnsi="Times New Roman"/>
                <w:b/>
                <w:bCs/>
                <w:color w:val="000000"/>
                <w:sz w:val="20"/>
                <w:szCs w:val="22"/>
                <w:lang w:val="fr-FR" w:eastAsia="fr-FR"/>
              </w:rPr>
            </w:r>
          </w:p>
        </w:tc>
        <w:tc>
          <w:tcPr>
            <w:tcW w:w="1983"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b/>
                <w:b/>
                <w:bCs/>
                <w:color w:val="000000"/>
                <w:szCs w:val="22"/>
                <w:lang w:val="fr-FR" w:eastAsia="fr-FR"/>
              </w:rPr>
            </w:pPr>
            <w:r>
              <w:rPr>
                <w:b/>
                <w:bCs/>
                <w:color w:val="000000"/>
                <w:szCs w:val="22"/>
                <w:lang w:val="fr-FR" w:eastAsia="fr-FR"/>
              </w:rPr>
            </w:r>
          </w:p>
        </w:tc>
        <w:tc>
          <w:tcPr>
            <w:tcW w:w="1495"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color w:val="000000"/>
                <w:szCs w:val="22"/>
                <w:lang w:val="fr-FR" w:eastAsia="fr-FR"/>
              </w:rPr>
            </w:pPr>
            <w:r>
              <w:rPr>
                <w:color w:val="000000"/>
                <w:szCs w:val="22"/>
                <w:lang w:val="fr-FR" w:eastAsia="fr-FR"/>
              </w:rPr>
            </w:r>
          </w:p>
        </w:tc>
        <w:tc>
          <w:tcPr>
            <w:tcW w:w="1571" w:type="dxa"/>
            <w:vMerge w:val="continue"/>
            <w:tcBorders>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spacing w:lineRule="auto" w:line="240"/>
              <w:rPr>
                <w:color w:val="000000"/>
                <w:szCs w:val="22"/>
                <w:lang w:val="fr-FR" w:eastAsia="fr-FR"/>
              </w:rPr>
            </w:pPr>
            <w:r>
              <w:rPr>
                <w:color w:val="000000"/>
                <w:szCs w:val="22"/>
                <w:lang w:val="fr-FR" w:eastAsia="fr-FR"/>
              </w:rPr>
            </w:r>
          </w:p>
        </w:tc>
        <w:tc>
          <w:tcPr>
            <w:tcW w:w="1016" w:type="dxa"/>
            <w:tcBorders>
              <w:left w:val="single" w:sz="4" w:space="0" w:color="000000"/>
            </w:tcBorders>
            <w:shd w:fill="auto" w:val="clear"/>
            <w:tcMar>
              <w:left w:w="65" w:type="dxa"/>
            </w:tcMar>
            <w:vAlign w:val="bottom"/>
          </w:tcPr>
          <w:p>
            <w:pPr>
              <w:pStyle w:val="Normal"/>
              <w:snapToGrid w:val="false"/>
              <w:spacing w:lineRule="auto" w:line="240"/>
              <w:rPr>
                <w:rFonts w:ascii="Times New Roman" w:hAnsi="Times New Roman" w:cs="Times New Roman"/>
                <w:color w:val="000000"/>
                <w:sz w:val="20"/>
                <w:szCs w:val="22"/>
                <w:lang w:val="fr-FR" w:eastAsia="fr-FR"/>
              </w:rPr>
            </w:pPr>
            <w:r>
              <w:rPr>
                <w:rFonts w:cs="Times New Roman" w:ascii="Times New Roman" w:hAnsi="Times New Roman"/>
                <w:color w:val="000000"/>
                <w:sz w:val="20"/>
                <w:szCs w:val="22"/>
                <w:lang w:val="fr-FR" w:eastAsia="fr-FR"/>
              </w:rPr>
            </w:r>
          </w:p>
        </w:tc>
        <w:tc>
          <w:tcPr>
            <w:tcW w:w="1019"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c>
          <w:tcPr>
            <w:tcW w:w="1376" w:type="dxa"/>
            <w:tcBorders/>
            <w:shd w:fill="auto" w:val="clear"/>
            <w:vAlign w:val="bottom"/>
          </w:tcPr>
          <w:p>
            <w:pPr>
              <w:pStyle w:val="Normal"/>
              <w:snapToGrid w:val="false"/>
              <w:spacing w:lineRule="auto" w:line="240"/>
              <w:rPr>
                <w:rFonts w:ascii="Times New Roman" w:hAnsi="Times New Roman" w:cs="Times New Roman"/>
                <w:sz w:val="20"/>
                <w:lang w:val="fr-FR" w:eastAsia="fr-FR"/>
              </w:rPr>
            </w:pPr>
            <w:r>
              <w:rPr>
                <w:rFonts w:cs="Times New Roman" w:ascii="Times New Roman" w:hAnsi="Times New Roman"/>
                <w:sz w:val="20"/>
                <w:lang w:val="fr-FR" w:eastAsia="fr-FR"/>
              </w:rPr>
            </w:r>
          </w:p>
        </w:tc>
      </w:tr>
    </w:tbl>
    <w:p>
      <w:pPr>
        <w:pStyle w:val="Normal"/>
        <w:spacing w:lineRule="auto" w:line="360"/>
        <w:rPr>
          <w:lang w:val="fr-FR"/>
        </w:rPr>
      </w:pPr>
      <w:r>
        <w:rPr>
          <w:lang w:val="fr-FR"/>
        </w:rPr>
      </w:r>
    </w:p>
    <w:sectPr>
      <w:headerReference w:type="default" r:id="rId5"/>
      <w:footerReference w:type="default" r:id="rId6"/>
      <w:type w:val="nextPage"/>
      <w:pgSz w:orient="landscape" w:w="16838" w:h="11906"/>
      <w:pgMar w:left="1560" w:right="1134" w:header="714" w:top="851" w:footer="340" w:bottom="1366"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KTypeRegular">
    <w:charset w:val="00"/>
    <w:family w:val="swiss"/>
    <w:pitch w:val="variable"/>
  </w:font>
  <w:font w:name="TKTypeBold">
    <w:charset w:val="00"/>
    <w:family w:val="swiss"/>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Arial Narrow">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contextualSpacing/>
      <w:rPr/>
    </w:pPr>
    <w:r>
      <w:rPr>
        <w:i/>
        <w:sz w:val="18"/>
        <w:szCs w:val="18"/>
        <w:lang w:val="en-US"/>
      </w:rPr>
      <w:t>Protocole d’accord NAO 2022 – thyssenkrupp Electrical Steel UGO S.A.S.</w:t>
    </w:r>
  </w:p>
  <w:p>
    <w:pPr>
      <w:pStyle w:val="Footer"/>
      <w:spacing w:lineRule="auto" w:line="240" w:before="0" w:after="0"/>
      <w:contextualSpacing/>
      <w:rPr>
        <w:i/>
        <w:i/>
        <w:sz w:val="4"/>
        <w:szCs w:val="4"/>
        <w:lang w:val="en-US"/>
      </w:rPr>
    </w:pPr>
    <w:r>
      <w:rPr>
        <w:i/>
        <w:sz w:val="4"/>
        <w:szCs w:val="4"/>
        <w:lang w:val="en-US"/>
      </w:rPr>
    </w:r>
  </w:p>
  <w:p>
    <w:pPr>
      <w:pStyle w:val="Footer"/>
      <w:spacing w:lineRule="auto" w:line="240" w:before="0" w:after="0"/>
      <w:contextualSpacing/>
      <w:rPr>
        <w:i/>
        <w:i/>
        <w:sz w:val="4"/>
        <w:szCs w:val="4"/>
        <w:lang w:val="en-US"/>
      </w:rPr>
    </w:pPr>
    <w:r>
      <w:rPr>
        <w:i/>
        <w:sz w:val="4"/>
        <w:szCs w:val="4"/>
        <w:lang w:val="en-US"/>
      </w:rPr>
    </w:r>
  </w:p>
  <w:p>
    <w:pPr>
      <w:pStyle w:val="Footer"/>
      <w:jc w:val="center"/>
      <w:rPr/>
    </w:pPr>
    <w:r>
      <w:rPr>
        <w:lang w:val="fr-FR"/>
      </w:rPr>
      <w:t xml:space="preserve">Page </w:t>
    </w:r>
    <w:r>
      <w:rPr>
        <w:b/>
        <w:bCs/>
        <w:sz w:val="24"/>
        <w:szCs w:val="24"/>
      </w:rPr>
      <w:fldChar w:fldCharType="begin"/>
    </w:r>
    <w:r>
      <w:instrText> PAGE </w:instrText>
    </w:r>
    <w:r>
      <w:fldChar w:fldCharType="separate"/>
    </w:r>
    <w:r>
      <w:t>7</w:t>
    </w:r>
    <w:r>
      <w:fldChar w:fldCharType="end"/>
    </w:r>
    <w:r>
      <w:rPr>
        <w:lang w:val="fr-FR"/>
      </w:rPr>
      <w:t xml:space="preserve"> sur </w:t>
    </w:r>
    <w:r>
      <w:rPr>
        <w:b/>
        <w:bCs/>
        <w:sz w:val="24"/>
        <w:szCs w:val="24"/>
      </w:rPr>
      <w:fldChar w:fldCharType="begin"/>
    </w:r>
    <w:r>
      <w:instrText> NUMPAGES \* ARABIC </w:instrText>
    </w:r>
    <w:r>
      <w:fldChar w:fldCharType="separate"/>
    </w:r>
    <w:r>
      <w:t>9</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contextualSpacing/>
      <w:rPr/>
    </w:pPr>
    <w:r>
      <w:rPr>
        <w:i/>
        <w:sz w:val="18"/>
        <w:szCs w:val="18"/>
        <w:lang w:val="en-US"/>
      </w:rPr>
      <w:t>Protocole d’accord NAO 2022 – thyssenkrupp Electrical Steel UGO S.A.S.</w:t>
    </w:r>
  </w:p>
  <w:p>
    <w:pPr>
      <w:pStyle w:val="Footer"/>
      <w:spacing w:lineRule="auto" w:line="240" w:before="0" w:after="0"/>
      <w:contextualSpacing/>
      <w:rPr>
        <w:i/>
        <w:i/>
        <w:sz w:val="4"/>
        <w:szCs w:val="4"/>
        <w:lang w:val="en-US"/>
      </w:rPr>
    </w:pPr>
    <w:r>
      <w:rPr>
        <w:i/>
        <w:sz w:val="4"/>
        <w:szCs w:val="4"/>
        <w:lang w:val="en-US"/>
      </w:rPr>
    </w:r>
  </w:p>
  <w:p>
    <w:pPr>
      <w:pStyle w:val="Footer"/>
      <w:spacing w:lineRule="auto" w:line="240" w:before="0" w:after="0"/>
      <w:contextualSpacing/>
      <w:rPr>
        <w:i/>
        <w:i/>
        <w:sz w:val="4"/>
        <w:szCs w:val="4"/>
        <w:lang w:val="en-US"/>
      </w:rPr>
    </w:pPr>
    <w:r>
      <w:rPr>
        <w:i/>
        <w:sz w:val="4"/>
        <w:szCs w:val="4"/>
        <w:lang w:val="en-US"/>
      </w:rPr>
    </w:r>
  </w:p>
  <w:p>
    <w:pPr>
      <w:pStyle w:val="Footer"/>
      <w:jc w:val="center"/>
      <w:rPr/>
    </w:pPr>
    <w:r>
      <w:rPr>
        <w:lang w:val="fr-FR"/>
      </w:rPr>
      <w:t xml:space="preserve">Page </w:t>
    </w:r>
    <w:r>
      <w:rPr>
        <w:b/>
        <w:bCs/>
        <w:sz w:val="24"/>
        <w:szCs w:val="24"/>
      </w:rPr>
      <w:fldChar w:fldCharType="begin"/>
    </w:r>
    <w:r>
      <w:instrText> PAGE </w:instrText>
    </w:r>
    <w:r>
      <w:fldChar w:fldCharType="separate"/>
    </w:r>
    <w:r>
      <w:t>9</w:t>
    </w:r>
    <w:r>
      <w:fldChar w:fldCharType="end"/>
    </w:r>
    <w:r>
      <w:rPr>
        <w:lang w:val="fr-FR"/>
      </w:rPr>
      <w:t xml:space="preserve"> sur </w:t>
    </w:r>
    <w:r>
      <w:rPr>
        <w:b/>
        <w:bCs/>
        <w:sz w:val="24"/>
        <w:szCs w:val="24"/>
      </w:rPr>
      <w:fldChar w:fldCharType="begin"/>
    </w:r>
    <w:r>
      <w:instrText> NUMPAGES \* ARABIC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bullet"/>
      <w:lvlText w:val="-"/>
      <w:lvlJc w:val="left"/>
      <w:pPr>
        <w:tabs>
          <w:tab w:val="num" w:pos="360"/>
        </w:tabs>
        <w:ind w:left="360" w:hanging="360"/>
      </w:pPr>
      <w:rPr>
        <w:rFonts w:ascii="Times New Roman" w:hAnsi="Times New Roman" w:cs="Times New Roman" w:hint="default"/>
        <w:rFonts w:cs="Times New Roman"/>
        <w:lang w:val="fr-F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spacing w:lineRule="exact" w:line="280"/>
    </w:pPr>
    <w:rPr>
      <w:rFonts w:ascii="TKTypeRegular" w:hAnsi="TKTypeRegular" w:eastAsia="Times New Roman" w:cs="TKTypeRegular"/>
      <w:color w:val="auto"/>
      <w:sz w:val="22"/>
      <w:szCs w:val="20"/>
      <w:lang w:val="de-DE" w:bidi="ar-SA" w:eastAsia="zh-CN"/>
    </w:rPr>
  </w:style>
  <w:style w:type="paragraph" w:styleId="Heading1">
    <w:name w:val="Heading 1"/>
    <w:basedOn w:val="Normal"/>
    <w:next w:val="Normal"/>
    <w:qFormat/>
    <w:pPr>
      <w:keepNext w:val="true"/>
      <w:numPr>
        <w:ilvl w:val="0"/>
        <w:numId w:val="1"/>
      </w:numPr>
      <w:spacing w:lineRule="auto" w:line="240"/>
      <w:outlineLvl w:val="0"/>
    </w:pPr>
    <w:rPr>
      <w:rFonts w:ascii="TKTypeBold" w:hAnsi="TKTypeBold" w:cs="TKTypeBold"/>
      <w:color w:val="000000"/>
      <w:sz w:val="36"/>
    </w:rPr>
  </w:style>
  <w:style w:type="paragraph" w:styleId="Heading2">
    <w:name w:val="Heading 2"/>
    <w:basedOn w:val="Normal"/>
    <w:next w:val="Normal"/>
    <w:qFormat/>
    <w:pPr>
      <w:keepNext w:val="true"/>
      <w:numPr>
        <w:ilvl w:val="1"/>
        <w:numId w:val="1"/>
      </w:numPr>
      <w:spacing w:lineRule="auto" w:line="300"/>
      <w:outlineLvl w:val="1"/>
    </w:pPr>
    <w:rPr>
      <w:rFonts w:ascii="Times New Roman" w:hAnsi="Times New Roman" w:cs="Times New Roman"/>
      <w:b/>
      <w:sz w:val="24"/>
      <w:lang w:val="en-GB"/>
    </w:rPr>
  </w:style>
  <w:style w:type="paragraph" w:styleId="Heading3">
    <w:name w:val="Heading 3"/>
    <w:basedOn w:val="Normal"/>
    <w:next w:val="Normal"/>
    <w:qFormat/>
    <w:pPr>
      <w:keepNext w:val="true"/>
      <w:numPr>
        <w:ilvl w:val="2"/>
        <w:numId w:val="1"/>
      </w:numPr>
      <w:tabs>
        <w:tab w:val="left" w:pos="1701" w:leader="none"/>
        <w:tab w:val="left" w:pos="1985" w:leader="none"/>
        <w:tab w:val="left" w:pos="3686" w:leader="none"/>
        <w:tab w:val="left" w:pos="6521" w:leader="none"/>
        <w:tab w:val="left" w:pos="7938" w:leader="none"/>
      </w:tabs>
      <w:spacing w:lineRule="auto" w:line="300"/>
      <w:jc w:val="center"/>
      <w:outlineLvl w:val="2"/>
    </w:pPr>
    <w:rPr>
      <w:b/>
      <w:sz w:val="24"/>
      <w:u w:val="single"/>
      <w:lang w:val="en-GB"/>
    </w:rPr>
  </w:style>
  <w:style w:type="character" w:styleId="WW8Num1z0">
    <w:name w:val="WW8Num1z0"/>
    <w:qFormat/>
    <w:rPr>
      <w:rFonts w:ascii="Times New Roman" w:hAnsi="Times New Roman" w:cs="Times New Roman"/>
    </w:rPr>
  </w:style>
  <w:style w:type="character" w:styleId="WW8Num2z0">
    <w:name w:val="WW8Num2z0"/>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6z0">
    <w:name w:val="WW8Num6z0"/>
    <w:qFormat/>
    <w:rPr>
      <w:rFonts w:ascii="Symbol" w:hAnsi="Symbol" w:cs="Symbol"/>
      <w:color w:val="00000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TKTypeRegular" w:hAnsi="TKTypeRegular" w:eastAsia="Times New Roman" w:cs="Aria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rFonts w:ascii="Times New Roman" w:hAnsi="Times New Roman" w:cs="Times New Roman"/>
      <w:lang w:val="fr-FR"/>
    </w:rPr>
  </w:style>
  <w:style w:type="character" w:styleId="WW8Num15z0">
    <w:name w:val="WW8Num15z0"/>
    <w:qFormat/>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color w:val="00000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19z1">
    <w:name w:val="WW8Num19z1"/>
    <w:qFormat/>
    <w:rPr>
      <w:rFonts w:ascii="Symbol" w:hAnsi="Symbol" w:cs="Symbol"/>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Symbol" w:hAnsi="Symbol"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Arial" w:hAnsi="Arial" w:cs="Arial"/>
    </w:rPr>
  </w:style>
  <w:style w:type="character" w:styleId="WW8Num27z0">
    <w:name w:val="WW8Num27z0"/>
    <w:qFormat/>
    <w:rPr>
      <w:rFonts w:ascii="Times New Roman" w:hAnsi="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9z0">
    <w:name w:val="WW8Num29z0"/>
    <w:qFormat/>
    <w:rPr>
      <w:rFonts w:ascii="Wingdings" w:hAnsi="Wingdings" w:cs="Wingdings"/>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Policepardfaut">
    <w:name w:val="Police par défaut"/>
    <w:qFormat/>
    <w:rPr/>
  </w:style>
  <w:style w:type="character" w:styleId="PageNumber">
    <w:name w:val="Page Number"/>
    <w:basedOn w:val="Policepardfaut"/>
    <w:rPr/>
  </w:style>
  <w:style w:type="character" w:styleId="FliesstextZchn">
    <w:name w:val="Fliesstext Zchn"/>
    <w:qFormat/>
    <w:rPr>
      <w:rFonts w:ascii="TKTypeRegular" w:hAnsi="TKTypeRegular" w:cs="TKTypeRegular"/>
      <w:sz w:val="22"/>
      <w:lang w:val="de-DE" w:bidi="ar-SA"/>
    </w:rPr>
  </w:style>
  <w:style w:type="character" w:styleId="FootnoteCharacters">
    <w:name w:val="Footnote Characters"/>
    <w:qFormat/>
    <w:rPr>
      <w:vertAlign w:val="superscript"/>
    </w:rPr>
  </w:style>
  <w:style w:type="character" w:styleId="Marquedecommentaire">
    <w:name w:val="Marque de commentaire"/>
    <w:qFormat/>
    <w:rPr>
      <w:sz w:val="16"/>
      <w:szCs w:val="16"/>
    </w:rPr>
  </w:style>
  <w:style w:type="character" w:styleId="CommentaireCar">
    <w:name w:val="Commentaire Car"/>
    <w:qFormat/>
    <w:rPr>
      <w:rFonts w:ascii="TKTypeRegular" w:hAnsi="TKTypeRegular" w:cs="TKTypeRegular"/>
      <w:lang w:val="de-DE"/>
    </w:rPr>
  </w:style>
  <w:style w:type="character" w:styleId="ObjetducommentaireCar">
    <w:name w:val="Objet du commentaire Car"/>
    <w:qFormat/>
    <w:rPr>
      <w:rFonts w:ascii="TKTypeRegular" w:hAnsi="TKTypeRegular" w:cs="TKTypeRegular"/>
      <w:b/>
      <w:bCs/>
      <w:lang w:val="de-DE"/>
    </w:rPr>
  </w:style>
  <w:style w:type="character" w:styleId="EntteCar">
    <w:name w:val="En-tête Car"/>
    <w:qFormat/>
    <w:rPr>
      <w:rFonts w:ascii="TKTypeRegular" w:hAnsi="TKTypeRegular" w:cs="TKTypeRegular"/>
      <w:sz w:val="22"/>
      <w:lang w:val="de-DE"/>
    </w:rPr>
  </w:style>
  <w:style w:type="character" w:styleId="PieddepageCar">
    <w:name w:val="Pied de page Car"/>
    <w:qFormat/>
    <w:rPr>
      <w:rFonts w:ascii="TKTypeRegular" w:hAnsi="TKTypeRegular" w:cs="TKTypeRegular"/>
      <w:sz w:val="22"/>
      <w:lang w:val="de-DE"/>
    </w:rPr>
  </w:style>
  <w:style w:type="character" w:styleId="CorpsdetexteCar">
    <w:name w:val="Corps de texte Car"/>
    <w:qFormat/>
    <w:rPr>
      <w:rFonts w:ascii="TKTypeRegular" w:hAnsi="TKTypeRegular" w:cs="TKTypeRegular"/>
      <w:sz w:val="2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40"/>
    </w:pPr>
    <w:rPr>
      <w:sz w:val="26"/>
      <w:lang w:val="fr-F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Anschrift">
    <w:name w:val="Anschrift"/>
    <w:basedOn w:val="Normal"/>
    <w:qFormat/>
    <w:pPr>
      <w:shd w:fill="FFFFFF" w:val="clear"/>
      <w:spacing w:lineRule="exact" w:line="280"/>
    </w:pPr>
    <w:rPr>
      <w:lang w:val="en-GB" w:eastAsia="en-GB"/>
    </w:rPr>
  </w:style>
  <w:style w:type="paragraph" w:styleId="TKFirma">
    <w:name w:val="TK Firma"/>
    <w:basedOn w:val="Normal"/>
    <w:qFormat/>
    <w:pPr/>
    <w:rPr>
      <w:rFonts w:ascii="TKTypeBold" w:hAnsi="TKTypeBold" w:cs="TKTypeBold"/>
      <w:sz w:val="24"/>
      <w:szCs w:val="24"/>
    </w:rPr>
  </w:style>
  <w:style w:type="paragraph" w:styleId="Fliesstext">
    <w:name w:val="Fliesstext"/>
    <w:basedOn w:val="Normal"/>
    <w:qFormat/>
    <w:pPr>
      <w:tabs>
        <w:tab w:val="left" w:pos="2799" w:leader="none"/>
      </w:tabs>
      <w:spacing w:lineRule="exact" w:line="280"/>
    </w:pPr>
    <w:rPr/>
  </w:style>
  <w:style w:type="paragraph" w:styleId="Betreff">
    <w:name w:val="Betreff"/>
    <w:basedOn w:val="Normal"/>
    <w:qFormat/>
    <w:pPr>
      <w:tabs>
        <w:tab w:val="left" w:pos="2799" w:leader="none"/>
      </w:tabs>
      <w:spacing w:lineRule="exact" w:line="280"/>
    </w:pPr>
    <w:rPr/>
  </w:style>
  <w:style w:type="paragraph" w:styleId="Footnote">
    <w:name w:val="Footnote Text"/>
    <w:basedOn w:val="Normal"/>
    <w:pPr/>
    <w:rPr>
      <w:sz w:val="20"/>
    </w:rPr>
  </w:style>
  <w:style w:type="paragraph" w:styleId="Commentaire">
    <w:name w:val="Commentaire"/>
    <w:basedOn w:val="Normal"/>
    <w:qFormat/>
    <w:pPr/>
    <w:rPr>
      <w:sz w:val="20"/>
    </w:rPr>
  </w:style>
  <w:style w:type="paragraph" w:styleId="Objetducommentaire">
    <w:name w:val="Objet du commentaire"/>
    <w:basedOn w:val="Commentaire"/>
    <w:next w:val="Commentaire"/>
    <w:qFormat/>
    <w:pPr/>
    <w:rPr>
      <w:b/>
      <w:bCs/>
    </w:rPr>
  </w:style>
  <w:style w:type="paragraph" w:styleId="Absenderadresse">
    <w:name w:val="Absenderadresse"/>
    <w:basedOn w:val="Normal"/>
    <w:qFormat/>
    <w:pPr>
      <w:spacing w:lineRule="atLeast" w:line="200" w:before="0" w:after="250"/>
    </w:pPr>
    <w:rPr>
      <w:rFonts w:eastAsia="TKTypeRegular"/>
      <w:color w:val="000000"/>
      <w:sz w:val="14"/>
      <w:szCs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eleaccords.travail-emploi.gouv.fr/"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2059</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2020-02-13T18:44:00Z</dcterms:created>
  <dc:creator/>
  <dc:description/>
  <dc:language>en-GB</dc:language>
  <cp:lastModifiedBy/>
  <cp:lastPrinted>2022-03-07T11:40:00Z</cp:lastPrinted>
  <dcterms:modified xsi:type="dcterms:W3CDTF">2022-03-08T12:47:00Z</dcterms:modified>
  <cp:revision>62</cp:revision>
  <dc:subject/>
  <dc:title/>
</cp:coreProperties>
</file>