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035DF45C" w14:textId="77777777" w:rsidP="008A3F2F" w:rsidR="00C42038" w:rsidRDefault="00C42038"/>
    <w:p w14:paraId="46740ED7" w14:textId="77777777" w:rsidP="0052744D" w:rsidR="0052744D" w:rsidRDefault="0052744D" w:rsidRPr="002E511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76" w:lineRule="auto"/>
        <w:jc w:val="both"/>
        <w:rPr>
          <w:rFonts w:ascii="Tahoma" w:cs="Tahoma" w:hAnsi="Tahoma"/>
          <w:sz w:val="22"/>
          <w:szCs w:val="22"/>
          <w:u w:val="single"/>
        </w:rPr>
      </w:pPr>
    </w:p>
    <w:p w14:paraId="6D6A2864" w14:textId="6BA3A858" w:rsidP="0052744D" w:rsidR="0052744D" w:rsidRDefault="0052744D" w:rsidRPr="002E511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76" w:lineRule="auto"/>
        <w:jc w:val="center"/>
        <w:rPr>
          <w:rFonts w:ascii="Tahoma" w:cs="Tahoma" w:hAnsi="Tahoma"/>
          <w:sz w:val="28"/>
          <w:szCs w:val="22"/>
        </w:rPr>
      </w:pPr>
      <w:r w:rsidRPr="002E5114">
        <w:rPr>
          <w:rFonts w:ascii="Tahoma" w:cs="Tahoma" w:hAnsi="Tahoma"/>
          <w:sz w:val="28"/>
          <w:szCs w:val="22"/>
        </w:rPr>
        <w:t xml:space="preserve">ACCORD </w:t>
      </w:r>
      <w:r>
        <w:rPr>
          <w:rFonts w:ascii="Tahoma" w:cs="Tahoma" w:hAnsi="Tahoma"/>
          <w:sz w:val="28"/>
          <w:szCs w:val="22"/>
        </w:rPr>
        <w:t>SALARIAL 202</w:t>
      </w:r>
      <w:r w:rsidR="00CE33DD">
        <w:rPr>
          <w:rFonts w:ascii="Tahoma" w:cs="Tahoma" w:hAnsi="Tahoma"/>
          <w:sz w:val="28"/>
          <w:szCs w:val="22"/>
        </w:rPr>
        <w:t>2</w:t>
      </w:r>
    </w:p>
    <w:p w14:paraId="1C9C7FD0" w14:textId="77777777" w:rsidP="0052744D" w:rsidR="0052744D" w:rsidRDefault="0052744D" w:rsidRPr="002E511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76" w:lineRule="auto"/>
        <w:jc w:val="both"/>
        <w:rPr>
          <w:rFonts w:ascii="Tahoma" w:cs="Tahoma" w:hAnsi="Tahoma"/>
          <w:sz w:val="22"/>
          <w:szCs w:val="22"/>
          <w:u w:val="single"/>
        </w:rPr>
      </w:pPr>
    </w:p>
    <w:p w14:paraId="3AE00F3A" w14:textId="77777777" w:rsidP="0052744D" w:rsidR="0052744D" w:rsidRDefault="0052744D" w:rsidRPr="002E5114">
      <w:pPr>
        <w:spacing w:line="276" w:lineRule="auto"/>
        <w:jc w:val="both"/>
        <w:rPr>
          <w:rFonts w:ascii="Tahoma" w:cs="Tahoma" w:hAnsi="Tahoma"/>
          <w:sz w:val="22"/>
          <w:szCs w:val="22"/>
        </w:rPr>
      </w:pPr>
    </w:p>
    <w:p w14:paraId="40B4F48B" w14:textId="77777777" w:rsidP="0052744D" w:rsidR="0052744D" w:rsidRDefault="0052744D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</w:p>
    <w:p w14:paraId="7916557B" w14:textId="39C8FBA8" w:rsidP="0052744D" w:rsidR="0052744D" w:rsidRDefault="0052744D" w:rsidRPr="00DF5488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  <w:r>
        <w:rPr>
          <w:rFonts w:ascii="Tahoma" w:cs="Tahoma" w:hAnsi="Tahoma"/>
          <w:sz w:val="20"/>
          <w:szCs w:val="22"/>
        </w:rPr>
        <w:t>La négociation annuelle sur les salaires 202</w:t>
      </w:r>
      <w:r w:rsidR="00CE33DD">
        <w:rPr>
          <w:rFonts w:ascii="Tahoma" w:cs="Tahoma" w:hAnsi="Tahoma"/>
          <w:sz w:val="20"/>
          <w:szCs w:val="22"/>
        </w:rPr>
        <w:t>2</w:t>
      </w:r>
      <w:r w:rsidRPr="002C4441">
        <w:rPr>
          <w:rFonts w:ascii="Tahoma" w:cs="Tahoma" w:hAnsi="Tahoma"/>
          <w:sz w:val="20"/>
          <w:szCs w:val="22"/>
        </w:rPr>
        <w:t xml:space="preserve"> visée à l’article L 2242-1 du code du travail a été engagée le </w:t>
      </w:r>
      <w:r w:rsidR="00CE33DD">
        <w:rPr>
          <w:rFonts w:ascii="Tahoma" w:cs="Tahoma" w:hAnsi="Tahoma"/>
          <w:sz w:val="20"/>
          <w:szCs w:val="22"/>
        </w:rPr>
        <w:t>17</w:t>
      </w:r>
      <w:r>
        <w:rPr>
          <w:rFonts w:ascii="Tahoma" w:cs="Tahoma" w:hAnsi="Tahoma"/>
          <w:sz w:val="20"/>
          <w:szCs w:val="22"/>
        </w:rPr>
        <w:t xml:space="preserve"> </w:t>
      </w:r>
      <w:r w:rsidR="00CE33DD">
        <w:rPr>
          <w:rFonts w:ascii="Tahoma" w:cs="Tahoma" w:hAnsi="Tahoma"/>
          <w:sz w:val="20"/>
          <w:szCs w:val="22"/>
        </w:rPr>
        <w:t>novem</w:t>
      </w:r>
      <w:r>
        <w:rPr>
          <w:rFonts w:ascii="Tahoma" w:cs="Tahoma" w:hAnsi="Tahoma"/>
          <w:sz w:val="20"/>
          <w:szCs w:val="22"/>
        </w:rPr>
        <w:t>bre 20</w:t>
      </w:r>
      <w:r w:rsidR="00CE33DD">
        <w:rPr>
          <w:rFonts w:ascii="Tahoma" w:cs="Tahoma" w:hAnsi="Tahoma"/>
          <w:sz w:val="20"/>
          <w:szCs w:val="22"/>
        </w:rPr>
        <w:t>21</w:t>
      </w:r>
      <w:r>
        <w:rPr>
          <w:rFonts w:ascii="Tahoma" w:cs="Tahoma" w:hAnsi="Tahoma"/>
          <w:sz w:val="20"/>
          <w:szCs w:val="22"/>
        </w:rPr>
        <w:t xml:space="preserve"> </w:t>
      </w:r>
      <w:r w:rsidRPr="002C4441">
        <w:rPr>
          <w:rFonts w:ascii="Tahoma" w:cs="Tahoma" w:hAnsi="Tahoma"/>
          <w:sz w:val="20"/>
          <w:szCs w:val="22"/>
        </w:rPr>
        <w:t xml:space="preserve">et s’est poursuivie au cours de deux séances, les </w:t>
      </w:r>
      <w:r>
        <w:rPr>
          <w:rFonts w:ascii="Tahoma" w:cs="Tahoma" w:hAnsi="Tahoma"/>
          <w:sz w:val="20"/>
          <w:szCs w:val="22"/>
        </w:rPr>
        <w:t>1</w:t>
      </w:r>
      <w:r w:rsidR="00CE33DD">
        <w:rPr>
          <w:rFonts w:ascii="Tahoma" w:cs="Tahoma" w:hAnsi="Tahoma"/>
          <w:sz w:val="20"/>
          <w:szCs w:val="22"/>
        </w:rPr>
        <w:t>0</w:t>
      </w:r>
      <w:r>
        <w:rPr>
          <w:rFonts w:ascii="Tahoma" w:cs="Tahoma" w:hAnsi="Tahoma"/>
          <w:sz w:val="20"/>
          <w:szCs w:val="22"/>
        </w:rPr>
        <w:t xml:space="preserve"> décembre 20</w:t>
      </w:r>
      <w:r w:rsidR="00CE33DD">
        <w:rPr>
          <w:rFonts w:ascii="Tahoma" w:cs="Tahoma" w:hAnsi="Tahoma"/>
          <w:sz w:val="20"/>
          <w:szCs w:val="22"/>
        </w:rPr>
        <w:t>21</w:t>
      </w:r>
      <w:r w:rsidRPr="002C4441">
        <w:rPr>
          <w:rFonts w:ascii="Tahoma" w:cs="Tahoma" w:hAnsi="Tahoma"/>
          <w:sz w:val="20"/>
          <w:szCs w:val="22"/>
        </w:rPr>
        <w:t xml:space="preserve">, et </w:t>
      </w:r>
      <w:r w:rsidR="00CE33DD">
        <w:rPr>
          <w:rFonts w:ascii="Tahoma" w:cs="Tahoma" w:hAnsi="Tahoma"/>
          <w:sz w:val="20"/>
          <w:szCs w:val="22"/>
        </w:rPr>
        <w:t>13</w:t>
      </w:r>
      <w:r>
        <w:rPr>
          <w:rFonts w:ascii="Tahoma" w:cs="Tahoma" w:hAnsi="Tahoma"/>
          <w:sz w:val="20"/>
          <w:szCs w:val="22"/>
        </w:rPr>
        <w:t xml:space="preserve"> janvier 202</w:t>
      </w:r>
      <w:r w:rsidR="00CE33DD">
        <w:rPr>
          <w:rFonts w:ascii="Tahoma" w:cs="Tahoma" w:hAnsi="Tahoma"/>
          <w:sz w:val="20"/>
          <w:szCs w:val="22"/>
        </w:rPr>
        <w:t>2</w:t>
      </w:r>
      <w:r>
        <w:rPr>
          <w:rFonts w:ascii="Tahoma" w:cs="Tahoma" w:hAnsi="Tahoma"/>
          <w:sz w:val="20"/>
          <w:szCs w:val="22"/>
        </w:rPr>
        <w:t xml:space="preserve"> </w:t>
      </w:r>
      <w:r w:rsidRPr="002C4441">
        <w:rPr>
          <w:rFonts w:ascii="Tahoma" w:cs="Tahoma" w:hAnsi="Tahoma"/>
          <w:sz w:val="20"/>
          <w:szCs w:val="22"/>
        </w:rPr>
        <w:t>(dernière sé</w:t>
      </w:r>
      <w:r>
        <w:rPr>
          <w:rFonts w:ascii="Tahoma" w:cs="Tahoma" w:hAnsi="Tahoma"/>
          <w:sz w:val="20"/>
          <w:szCs w:val="22"/>
        </w:rPr>
        <w:t>ance), au cours desquelles l’ensemble des parties a échangé plusieurs propositions</w:t>
      </w:r>
      <w:r w:rsidRPr="00DF5488">
        <w:rPr>
          <w:rFonts w:ascii="Tahoma" w:cs="Tahoma" w:hAnsi="Tahoma"/>
          <w:sz w:val="20"/>
          <w:szCs w:val="22"/>
        </w:rPr>
        <w:t>.</w:t>
      </w:r>
    </w:p>
    <w:p w14:paraId="68DA397B" w14:textId="77777777" w:rsidP="0052744D" w:rsidR="0052744D" w:rsidRDefault="0052744D" w:rsidRPr="00DF5488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</w:p>
    <w:p w14:paraId="16DC0FCF" w14:textId="4C9CB434" w:rsidP="0052744D" w:rsidR="0052744D" w:rsidRDefault="0052744D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  <w:r w:rsidRPr="00DF5488">
        <w:rPr>
          <w:rFonts w:ascii="Tahoma" w:cs="Tahoma" w:hAnsi="Tahoma"/>
          <w:sz w:val="20"/>
          <w:szCs w:val="22"/>
        </w:rPr>
        <w:t xml:space="preserve">Par le présent accord, </w:t>
      </w:r>
      <w:r>
        <w:rPr>
          <w:rFonts w:ascii="Tahoma" w:cs="Tahoma" w:hAnsi="Tahoma"/>
          <w:sz w:val="20"/>
          <w:szCs w:val="22"/>
        </w:rPr>
        <w:t>les parties signataires conviennent de mettre en application les mesures proposées par la Direction lors de la dernière séance de négociations telles que précisées ci-</w:t>
      </w:r>
      <w:r w:rsidR="00CE33DD">
        <w:rPr>
          <w:rFonts w:ascii="Tahoma" w:cs="Tahoma" w:hAnsi="Tahoma"/>
          <w:sz w:val="20"/>
          <w:szCs w:val="22"/>
        </w:rPr>
        <w:t>après</w:t>
      </w:r>
      <w:r w:rsidR="00CE33DD" w:rsidRPr="00DF5488">
        <w:rPr>
          <w:rFonts w:ascii="Tahoma" w:cs="Tahoma" w:hAnsi="Tahoma"/>
          <w:sz w:val="20"/>
          <w:szCs w:val="22"/>
        </w:rPr>
        <w:t xml:space="preserve"> :</w:t>
      </w:r>
      <w:r w:rsidRPr="00DF5488">
        <w:rPr>
          <w:rFonts w:ascii="Tahoma" w:cs="Tahoma" w:hAnsi="Tahoma"/>
          <w:sz w:val="20"/>
          <w:szCs w:val="22"/>
        </w:rPr>
        <w:t xml:space="preserve"> </w:t>
      </w:r>
    </w:p>
    <w:p w14:paraId="32BA0715" w14:textId="77777777" w:rsidP="0052744D" w:rsidR="001C242B" w:rsidRDefault="001C242B" w:rsidRPr="00DF5488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</w:p>
    <w:p w14:paraId="13572FCD" w14:textId="77777777" w:rsidP="0052744D" w:rsidR="0052744D" w:rsidRDefault="0052744D">
      <w:pPr>
        <w:jc w:val="both"/>
        <w:rPr>
          <w:rFonts w:ascii="Arial" w:cs="Arial" w:hAnsi="Arial"/>
        </w:rPr>
      </w:pPr>
    </w:p>
    <w:p w14:paraId="12D9D4DF" w14:textId="77777777" w:rsidP="003B2B22" w:rsidR="003B2B22" w:rsidRDefault="003B2B22" w:rsidRPr="00973DA8">
      <w:pPr>
        <w:pBdr>
          <w:bottom w:color="auto" w:space="1" w:sz="4" w:val="single"/>
        </w:pBd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b/>
          <w:sz w:val="20"/>
          <w:szCs w:val="22"/>
        </w:rPr>
      </w:pPr>
      <w:r w:rsidRPr="00973DA8">
        <w:rPr>
          <w:rFonts w:ascii="Tahoma" w:cs="Tahoma" w:hAnsi="Tahoma"/>
          <w:b/>
          <w:sz w:val="20"/>
          <w:szCs w:val="22"/>
        </w:rPr>
        <w:t xml:space="preserve">Article 1 – </w:t>
      </w:r>
      <w:r>
        <w:rPr>
          <w:rFonts w:ascii="Tahoma" w:cs="Tahoma" w:hAnsi="Tahoma"/>
          <w:b/>
          <w:sz w:val="20"/>
          <w:szCs w:val="22"/>
        </w:rPr>
        <w:t>Mesure d’augmentation catégorielle collective</w:t>
      </w:r>
    </w:p>
    <w:p w14:paraId="49C8220A" w14:textId="77777777" w:rsidP="003B2B22" w:rsidR="003B2B22" w:rsidRDefault="003B2B22">
      <w:pPr>
        <w:spacing w:line="276" w:lineRule="auto"/>
        <w:jc w:val="both"/>
        <w:rPr>
          <w:rFonts w:ascii="Tahoma" w:cs="Tahoma" w:hAnsi="Tahoma"/>
          <w:bCs/>
          <w:sz w:val="20"/>
          <w:szCs w:val="22"/>
        </w:rPr>
      </w:pPr>
    </w:p>
    <w:p w14:paraId="1DCEA7DC" w14:textId="6B06DCEF" w:rsidP="003B2B22" w:rsidR="003B2B22" w:rsidRDefault="003B2B22">
      <w:pPr>
        <w:spacing w:line="276" w:lineRule="auto"/>
        <w:jc w:val="both"/>
        <w:rPr>
          <w:rFonts w:ascii="Tahoma" w:cs="Tahoma" w:hAnsi="Tahoma"/>
          <w:bCs/>
          <w:sz w:val="20"/>
          <w:szCs w:val="22"/>
        </w:rPr>
      </w:pPr>
      <w:r>
        <w:rPr>
          <w:rFonts w:ascii="Tahoma" w:cs="Tahoma" w:hAnsi="Tahoma"/>
          <w:bCs/>
          <w:sz w:val="20"/>
          <w:szCs w:val="22"/>
        </w:rPr>
        <w:t xml:space="preserve">Les salariés en classification, hors collaborateurs en alternance, entrés à la Banque Nuger au plus tard le </w:t>
      </w:r>
      <w:r w:rsidRPr="006228D4">
        <w:rPr>
          <w:rFonts w:ascii="Tahoma" w:cs="Tahoma" w:hAnsi="Tahoma"/>
          <w:bCs/>
          <w:sz w:val="20"/>
          <w:szCs w:val="22"/>
        </w:rPr>
        <w:t>1</w:t>
      </w:r>
      <w:r w:rsidRPr="006228D4">
        <w:rPr>
          <w:rFonts w:ascii="Tahoma" w:cs="Tahoma" w:hAnsi="Tahoma"/>
          <w:bCs/>
          <w:sz w:val="20"/>
          <w:szCs w:val="22"/>
          <w:vertAlign w:val="superscript"/>
        </w:rPr>
        <w:t>er</w:t>
      </w:r>
      <w:r w:rsidRPr="006228D4">
        <w:rPr>
          <w:rFonts w:ascii="Tahoma" w:cs="Tahoma" w:hAnsi="Tahoma"/>
          <w:bCs/>
          <w:sz w:val="20"/>
          <w:szCs w:val="22"/>
        </w:rPr>
        <w:t xml:space="preserve"> janvier 2022 </w:t>
      </w:r>
      <w:r>
        <w:rPr>
          <w:rFonts w:ascii="Tahoma" w:cs="Tahoma" w:hAnsi="Tahoma"/>
          <w:bCs/>
          <w:sz w:val="20"/>
          <w:szCs w:val="22"/>
        </w:rPr>
        <w:t>au titre d’un CDD ou d’un CDI, toujours présents à l’effectif lors du versement de la paie de février 2022, et dont la RCA est inférieure ou égale à 55.000 €, bénéficieront d’une augmentation de leur RCA de 0.7% avec un minimum de 250 € bruts.</w:t>
      </w:r>
    </w:p>
    <w:p w14:paraId="1C0A6EAD" w14:textId="77777777" w:rsidP="003B2B22" w:rsidR="003B2B22" w:rsidRDefault="003B2B22">
      <w:pPr>
        <w:spacing w:line="276" w:lineRule="auto"/>
        <w:jc w:val="both"/>
        <w:rPr>
          <w:rFonts w:ascii="Tahoma" w:cs="Tahoma" w:hAnsi="Tahoma"/>
          <w:bCs/>
          <w:sz w:val="20"/>
          <w:szCs w:val="22"/>
        </w:rPr>
      </w:pPr>
    </w:p>
    <w:p w14:paraId="5744AED3" w14:textId="77777777" w:rsidP="003B2B22" w:rsidR="003B2B22" w:rsidRDefault="003B2B22">
      <w:pPr>
        <w:spacing w:line="276" w:lineRule="auto"/>
        <w:jc w:val="both"/>
        <w:rPr>
          <w:rFonts w:ascii="Tahoma" w:cs="Tahoma" w:hAnsi="Tahoma"/>
          <w:bCs/>
          <w:sz w:val="20"/>
          <w:szCs w:val="22"/>
        </w:rPr>
      </w:pPr>
      <w:r>
        <w:rPr>
          <w:rFonts w:ascii="Tahoma" w:cs="Tahoma" w:hAnsi="Tahoma"/>
          <w:bCs/>
          <w:sz w:val="20"/>
          <w:szCs w:val="22"/>
        </w:rPr>
        <w:t>Cette mesure sera effective sur la paie du mois de février 2022.</w:t>
      </w:r>
    </w:p>
    <w:p w14:paraId="00F3B58A" w14:textId="77777777" w:rsidP="003B2B22" w:rsidR="003B2B22" w:rsidRDefault="003B2B22">
      <w:pPr>
        <w:spacing w:line="276" w:lineRule="auto"/>
        <w:jc w:val="both"/>
        <w:rPr>
          <w:rFonts w:ascii="Tahoma" w:cs="Tahoma" w:hAnsi="Tahoma"/>
          <w:bCs/>
          <w:sz w:val="20"/>
          <w:szCs w:val="22"/>
        </w:rPr>
      </w:pPr>
    </w:p>
    <w:p w14:paraId="20881D4A" w14:textId="3CBC1828" w:rsidP="003B2B22" w:rsidR="003B2B22" w:rsidRDefault="003B2B22" w:rsidRPr="009F68FD">
      <w:pPr>
        <w:spacing w:line="276" w:lineRule="auto"/>
        <w:jc w:val="both"/>
        <w:rPr>
          <w:rFonts w:ascii="Tahoma" w:cs="Tahoma" w:hAnsi="Tahoma"/>
          <w:bCs/>
          <w:sz w:val="20"/>
          <w:szCs w:val="22"/>
        </w:rPr>
      </w:pPr>
      <w:r>
        <w:rPr>
          <w:rFonts w:ascii="Tahoma" w:cs="Tahoma" w:hAnsi="Tahoma"/>
          <w:bCs/>
          <w:sz w:val="20"/>
          <w:szCs w:val="22"/>
        </w:rPr>
        <w:t xml:space="preserve">L’impact de cette mesure est évalué à un montant avoisinant </w:t>
      </w:r>
      <w:r>
        <w:rPr>
          <w:rFonts w:ascii="Tahoma" w:cs="Tahoma" w:hAnsi="Tahoma"/>
          <w:b/>
          <w:bCs/>
          <w:sz w:val="20"/>
          <w:szCs w:val="22"/>
        </w:rPr>
        <w:t>31</w:t>
      </w:r>
      <w:r w:rsidRPr="00C329F5">
        <w:rPr>
          <w:rFonts w:ascii="Tahoma" w:cs="Tahoma" w:hAnsi="Tahoma"/>
          <w:b/>
          <w:bCs/>
          <w:sz w:val="20"/>
          <w:szCs w:val="22"/>
        </w:rPr>
        <w:t>.000</w:t>
      </w:r>
      <w:r>
        <w:rPr>
          <w:rFonts w:ascii="Tahoma" w:cs="Tahoma" w:hAnsi="Tahoma"/>
          <w:b/>
          <w:bCs/>
          <w:sz w:val="20"/>
          <w:szCs w:val="22"/>
        </w:rPr>
        <w:t xml:space="preserve"> </w:t>
      </w:r>
      <w:r w:rsidRPr="009F68FD">
        <w:rPr>
          <w:rFonts w:ascii="Tahoma" w:cs="Tahoma" w:hAnsi="Tahoma"/>
          <w:b/>
          <w:bCs/>
          <w:sz w:val="20"/>
          <w:szCs w:val="22"/>
        </w:rPr>
        <w:t>€ bruts</w:t>
      </w:r>
      <w:r>
        <w:rPr>
          <w:rFonts w:ascii="Tahoma" w:cs="Tahoma" w:hAnsi="Tahoma"/>
          <w:bCs/>
          <w:sz w:val="20"/>
          <w:szCs w:val="22"/>
        </w:rPr>
        <w:t>.</w:t>
      </w:r>
    </w:p>
    <w:p w14:paraId="12D17669" w14:textId="77777777" w:rsidP="0052744D" w:rsidR="0052744D" w:rsidRDefault="0052744D">
      <w:pPr>
        <w:pBdr>
          <w:bottom w:color="auto" w:space="1" w:sz="4" w:val="single"/>
        </w:pBd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b/>
          <w:sz w:val="20"/>
          <w:szCs w:val="22"/>
        </w:rPr>
      </w:pPr>
    </w:p>
    <w:p w14:paraId="193A1AD8" w14:textId="77777777" w:rsidP="0052744D" w:rsidR="00664FA8" w:rsidRDefault="00664FA8">
      <w:pPr>
        <w:pBdr>
          <w:bottom w:color="auto" w:space="1" w:sz="4" w:val="single"/>
        </w:pBd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b/>
          <w:sz w:val="20"/>
          <w:szCs w:val="22"/>
        </w:rPr>
      </w:pPr>
    </w:p>
    <w:p w14:paraId="21FC7922" w14:textId="6BEA5E8C" w:rsidP="0052744D" w:rsidR="0052744D" w:rsidRDefault="0052744D" w:rsidRPr="00973DA8">
      <w:pPr>
        <w:pBdr>
          <w:bottom w:color="auto" w:space="1" w:sz="4" w:val="single"/>
        </w:pBd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b/>
          <w:sz w:val="20"/>
          <w:szCs w:val="22"/>
        </w:rPr>
      </w:pPr>
      <w:r w:rsidRPr="00973DA8">
        <w:rPr>
          <w:rFonts w:ascii="Tahoma" w:cs="Tahoma" w:hAnsi="Tahoma"/>
          <w:b/>
          <w:sz w:val="20"/>
          <w:szCs w:val="22"/>
        </w:rPr>
        <w:t xml:space="preserve">Article </w:t>
      </w:r>
      <w:r w:rsidR="003B2B22">
        <w:rPr>
          <w:rFonts w:ascii="Tahoma" w:cs="Tahoma" w:hAnsi="Tahoma"/>
          <w:b/>
          <w:sz w:val="20"/>
          <w:szCs w:val="22"/>
        </w:rPr>
        <w:t>2</w:t>
      </w:r>
      <w:r w:rsidRPr="00973DA8">
        <w:rPr>
          <w:rFonts w:ascii="Tahoma" w:cs="Tahoma" w:hAnsi="Tahoma"/>
          <w:b/>
          <w:sz w:val="20"/>
          <w:szCs w:val="22"/>
        </w:rPr>
        <w:t xml:space="preserve"> – </w:t>
      </w:r>
      <w:r w:rsidRPr="00DF5488">
        <w:rPr>
          <w:rFonts w:ascii="Tahoma" w:cs="Tahoma" w:hAnsi="Tahoma"/>
          <w:b/>
          <w:sz w:val="20"/>
          <w:szCs w:val="22"/>
        </w:rPr>
        <w:t>Budget des primes de performance</w:t>
      </w:r>
    </w:p>
    <w:p w14:paraId="4133606C" w14:textId="77777777" w:rsidP="0052744D" w:rsidR="009D5055" w:rsidRDefault="009D5055" w:rsidRPr="00973DA8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18"/>
          <w:szCs w:val="22"/>
        </w:rPr>
      </w:pPr>
    </w:p>
    <w:p w14:paraId="612924B5" w14:textId="3612F693" w:rsidP="0052744D" w:rsidR="0052744D" w:rsidRDefault="0052744D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  <w:r w:rsidRPr="00DF5488">
        <w:rPr>
          <w:rFonts w:ascii="Tahoma" w:cs="Tahoma" w:hAnsi="Tahoma"/>
          <w:sz w:val="20"/>
          <w:szCs w:val="22"/>
        </w:rPr>
        <w:t xml:space="preserve">Un budget de </w:t>
      </w:r>
      <w:r w:rsidRPr="00583048">
        <w:rPr>
          <w:rFonts w:ascii="Tahoma" w:cs="Tahoma" w:hAnsi="Tahoma"/>
          <w:b/>
          <w:sz w:val="20"/>
          <w:szCs w:val="22"/>
        </w:rPr>
        <w:t>3</w:t>
      </w:r>
      <w:r w:rsidR="00CE33DD">
        <w:rPr>
          <w:rFonts w:ascii="Tahoma" w:cs="Tahoma" w:hAnsi="Tahoma"/>
          <w:b/>
          <w:sz w:val="20"/>
          <w:szCs w:val="22"/>
        </w:rPr>
        <w:t>56</w:t>
      </w:r>
      <w:r w:rsidRPr="00583048">
        <w:rPr>
          <w:rFonts w:ascii="Tahoma" w:cs="Tahoma" w:hAnsi="Tahoma"/>
          <w:b/>
          <w:sz w:val="20"/>
          <w:szCs w:val="22"/>
        </w:rPr>
        <w:t xml:space="preserve"> </w:t>
      </w:r>
      <w:r w:rsidR="00CE33DD">
        <w:rPr>
          <w:rFonts w:ascii="Tahoma" w:cs="Tahoma" w:hAnsi="Tahoma"/>
          <w:b/>
          <w:sz w:val="20"/>
          <w:szCs w:val="22"/>
        </w:rPr>
        <w:t>40</w:t>
      </w:r>
      <w:r w:rsidRPr="00583048">
        <w:rPr>
          <w:rFonts w:ascii="Tahoma" w:cs="Tahoma" w:hAnsi="Tahoma"/>
          <w:b/>
          <w:sz w:val="20"/>
          <w:szCs w:val="22"/>
        </w:rPr>
        <w:t>0</w:t>
      </w:r>
      <w:r w:rsidRPr="00DF5488">
        <w:rPr>
          <w:rFonts w:ascii="Tahoma" w:cs="Tahoma" w:hAnsi="Tahoma"/>
          <w:b/>
          <w:sz w:val="20"/>
          <w:szCs w:val="22"/>
        </w:rPr>
        <w:t xml:space="preserve"> €</w:t>
      </w:r>
      <w:r w:rsidRPr="00DF5488">
        <w:rPr>
          <w:rFonts w:ascii="Tahoma" w:cs="Tahoma" w:hAnsi="Tahoma"/>
          <w:sz w:val="20"/>
          <w:szCs w:val="22"/>
        </w:rPr>
        <w:t xml:space="preserve"> </w:t>
      </w:r>
      <w:r w:rsidRPr="00DF5488">
        <w:rPr>
          <w:rFonts w:ascii="Tahoma" w:cs="Tahoma" w:hAnsi="Tahoma"/>
          <w:b/>
          <w:sz w:val="20"/>
          <w:szCs w:val="22"/>
        </w:rPr>
        <w:t>brut</w:t>
      </w:r>
      <w:r>
        <w:rPr>
          <w:rFonts w:ascii="Tahoma" w:cs="Tahoma" w:hAnsi="Tahoma"/>
          <w:b/>
          <w:sz w:val="20"/>
          <w:szCs w:val="22"/>
        </w:rPr>
        <w:t>s</w:t>
      </w:r>
      <w:r w:rsidRPr="00DF5488">
        <w:rPr>
          <w:rFonts w:ascii="Tahoma" w:cs="Tahoma" w:hAnsi="Tahoma"/>
          <w:sz w:val="20"/>
          <w:szCs w:val="22"/>
        </w:rPr>
        <w:t xml:space="preserve"> sera dédié à l’attribution des primes de performance </w:t>
      </w:r>
      <w:r>
        <w:rPr>
          <w:rFonts w:ascii="Tahoma" w:cs="Tahoma" w:hAnsi="Tahoma"/>
          <w:sz w:val="20"/>
          <w:szCs w:val="22"/>
        </w:rPr>
        <w:t xml:space="preserve">individuelle, </w:t>
      </w:r>
      <w:r w:rsidRPr="00DF5488">
        <w:rPr>
          <w:rFonts w:ascii="Tahoma" w:cs="Tahoma" w:hAnsi="Tahoma"/>
          <w:sz w:val="20"/>
          <w:szCs w:val="22"/>
        </w:rPr>
        <w:t xml:space="preserve">en approche sélective aux </w:t>
      </w:r>
      <w:r>
        <w:rPr>
          <w:rFonts w:ascii="Tahoma" w:cs="Tahoma" w:hAnsi="Tahoma"/>
          <w:sz w:val="20"/>
          <w:szCs w:val="22"/>
        </w:rPr>
        <w:t>collaborateurs</w:t>
      </w:r>
      <w:r w:rsidRPr="00DF5488">
        <w:rPr>
          <w:rFonts w:ascii="Tahoma" w:cs="Tahoma" w:hAnsi="Tahoma"/>
          <w:sz w:val="20"/>
          <w:szCs w:val="22"/>
        </w:rPr>
        <w:t xml:space="preserve"> inscrits à l’effectif de l’</w:t>
      </w:r>
      <w:r>
        <w:rPr>
          <w:rFonts w:ascii="Tahoma" w:cs="Tahoma" w:hAnsi="Tahoma"/>
          <w:sz w:val="20"/>
          <w:szCs w:val="22"/>
        </w:rPr>
        <w:t xml:space="preserve">entreprise. </w:t>
      </w:r>
    </w:p>
    <w:p w14:paraId="02722C51" w14:textId="77777777" w:rsidP="0052744D" w:rsidR="0052744D" w:rsidRDefault="0052744D" w:rsidRPr="00575C57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  <w:r>
        <w:rPr>
          <w:rFonts w:ascii="Tahoma" w:cs="Tahoma" w:hAnsi="Tahoma"/>
          <w:sz w:val="20"/>
          <w:szCs w:val="22"/>
        </w:rPr>
        <w:tab/>
      </w:r>
    </w:p>
    <w:p w14:paraId="711ADCDD" w14:textId="4A340732" w:rsidP="0052744D" w:rsidR="0052744D" w:rsidRDefault="0052744D" w:rsidRPr="00D60025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  <w:r w:rsidRPr="00D60025">
        <w:rPr>
          <w:rFonts w:ascii="Tahoma" w:cs="Tahoma" w:hAnsi="Tahoma"/>
          <w:sz w:val="20"/>
          <w:szCs w:val="22"/>
        </w:rPr>
        <w:t>Conformément aux disposition</w:t>
      </w:r>
      <w:r>
        <w:rPr>
          <w:rFonts w:ascii="Tahoma" w:cs="Tahoma" w:hAnsi="Tahoma"/>
          <w:sz w:val="20"/>
          <w:szCs w:val="22"/>
        </w:rPr>
        <w:t>s de l’article 5</w:t>
      </w:r>
      <w:r w:rsidRPr="00D60025">
        <w:rPr>
          <w:rFonts w:ascii="Tahoma" w:cs="Tahoma" w:hAnsi="Tahoma"/>
          <w:sz w:val="20"/>
          <w:szCs w:val="22"/>
        </w:rPr>
        <w:t xml:space="preserve">.2.2 de l’accord du </w:t>
      </w:r>
      <w:r w:rsidR="00140D4B">
        <w:rPr>
          <w:rFonts w:ascii="Tahoma" w:cs="Tahoma" w:hAnsi="Tahoma"/>
          <w:sz w:val="20"/>
          <w:szCs w:val="22"/>
        </w:rPr>
        <w:t>7</w:t>
      </w:r>
      <w:r w:rsidRPr="00D60025">
        <w:rPr>
          <w:rFonts w:ascii="Tahoma" w:cs="Tahoma" w:hAnsi="Tahoma"/>
          <w:sz w:val="20"/>
          <w:szCs w:val="22"/>
        </w:rPr>
        <w:t xml:space="preserve"> décembre 20</w:t>
      </w:r>
      <w:r w:rsidR="00140D4B">
        <w:rPr>
          <w:rFonts w:ascii="Tahoma" w:cs="Tahoma" w:hAnsi="Tahoma"/>
          <w:sz w:val="20"/>
          <w:szCs w:val="22"/>
        </w:rPr>
        <w:t>2</w:t>
      </w:r>
      <w:r w:rsidRPr="00D60025">
        <w:rPr>
          <w:rFonts w:ascii="Tahoma" w:cs="Tahoma" w:hAnsi="Tahoma"/>
          <w:sz w:val="20"/>
          <w:szCs w:val="22"/>
        </w:rPr>
        <w:t xml:space="preserve">1 sur les objectifs en matière d’égalité professionnelle et de mixité entre les hommes et les femmes et les mesures permettant de les atteindre, les collaboratrices en congé maternité participeront à la répartition de ce budget. </w:t>
      </w:r>
    </w:p>
    <w:p w14:paraId="2E980865" w14:textId="77777777" w:rsidP="0052744D" w:rsidR="0052744D" w:rsidRDefault="0052744D" w:rsidRPr="00D60025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</w:p>
    <w:p w14:paraId="1986C9B5" w14:textId="107843F9" w:rsidP="0052744D" w:rsidR="0052744D" w:rsidRDefault="0052744D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  <w:r w:rsidRPr="00D60025">
        <w:rPr>
          <w:rFonts w:ascii="Tahoma" w:cs="Tahoma" w:hAnsi="Tahoma"/>
          <w:sz w:val="20"/>
          <w:szCs w:val="22"/>
        </w:rPr>
        <w:t xml:space="preserve">Désireux d’approfondir les principes fixés </w:t>
      </w:r>
      <w:r w:rsidR="00140D4B">
        <w:rPr>
          <w:rFonts w:ascii="Tahoma" w:cs="Tahoma" w:hAnsi="Tahoma"/>
          <w:sz w:val="20"/>
          <w:szCs w:val="22"/>
        </w:rPr>
        <w:t xml:space="preserve">cet </w:t>
      </w:r>
      <w:r w:rsidRPr="00D60025">
        <w:rPr>
          <w:rFonts w:ascii="Tahoma" w:cs="Tahoma" w:hAnsi="Tahoma"/>
          <w:sz w:val="20"/>
          <w:szCs w:val="22"/>
        </w:rPr>
        <w:t>accord, la Banque Nuger garantit, à performances individuelles et collectives équivalentes, que la prime de</w:t>
      </w:r>
      <w:r w:rsidRPr="00342923">
        <w:rPr>
          <w:rFonts w:ascii="Tahoma" w:cs="Tahoma" w:hAnsi="Tahoma"/>
          <w:sz w:val="20"/>
          <w:szCs w:val="22"/>
        </w:rPr>
        <w:t xml:space="preserve"> performance au titre de l’exercice concerné par une absence liée à la maternité (congé pathologique, légal et conventionnel) ou à l’adoption (congé légal et conventionnel) sera au moins égale à la prime de performance attribuée au titre de l’année précédant le départ en congé maternité ou d’adoption. Cette garantie a vocation à s’appliquer aux deux années civiles qui seraient, le cas échéant, concernées par le congé maternité ou d’adoption.</w:t>
      </w:r>
    </w:p>
    <w:p w14:paraId="62F4F560" w14:textId="77777777" w:rsidP="0052744D" w:rsidR="0052744D" w:rsidRDefault="0052744D" w:rsidRPr="00342923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</w:p>
    <w:p w14:paraId="3F51223B" w14:textId="6BAA679F" w:rsidP="00140D4B" w:rsidR="0052744D" w:rsidRDefault="0052744D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b/>
          <w:sz w:val="20"/>
          <w:szCs w:val="22"/>
        </w:rPr>
      </w:pPr>
      <w:r>
        <w:rPr>
          <w:rFonts w:ascii="Tahoma" w:cs="Tahoma" w:hAnsi="Tahoma"/>
          <w:sz w:val="20"/>
          <w:szCs w:val="22"/>
        </w:rPr>
        <w:t>Afin d’assurer l’effectivité de cette mesure, c</w:t>
      </w:r>
      <w:r w:rsidRPr="00342923">
        <w:rPr>
          <w:rFonts w:ascii="Tahoma" w:cs="Tahoma" w:hAnsi="Tahoma"/>
          <w:sz w:val="20"/>
          <w:szCs w:val="22"/>
        </w:rPr>
        <w:t>haque Direction en charge de la tenue des collèges de rémunération se verra communiquer</w:t>
      </w:r>
      <w:r>
        <w:rPr>
          <w:rFonts w:ascii="Tahoma" w:cs="Tahoma" w:hAnsi="Tahoma"/>
          <w:sz w:val="20"/>
          <w:szCs w:val="22"/>
        </w:rPr>
        <w:t xml:space="preserve">, pour son périmètre, </w:t>
      </w:r>
      <w:r w:rsidRPr="00342923">
        <w:rPr>
          <w:rFonts w:ascii="Tahoma" w:cs="Tahoma" w:hAnsi="Tahoma"/>
          <w:sz w:val="20"/>
          <w:szCs w:val="22"/>
        </w:rPr>
        <w:t xml:space="preserve">le montant correspondant au </w:t>
      </w:r>
      <w:r>
        <w:rPr>
          <w:rFonts w:ascii="Tahoma" w:cs="Tahoma" w:hAnsi="Tahoma"/>
          <w:sz w:val="20"/>
          <w:szCs w:val="22"/>
        </w:rPr>
        <w:t xml:space="preserve">total des </w:t>
      </w:r>
      <w:r w:rsidRPr="00342923">
        <w:rPr>
          <w:rFonts w:ascii="Tahoma" w:cs="Tahoma" w:hAnsi="Tahoma"/>
          <w:sz w:val="20"/>
          <w:szCs w:val="22"/>
        </w:rPr>
        <w:t>primes de performance versées aux collaborat</w:t>
      </w:r>
      <w:r>
        <w:rPr>
          <w:rFonts w:ascii="Tahoma" w:cs="Tahoma" w:hAnsi="Tahoma"/>
          <w:sz w:val="20"/>
          <w:szCs w:val="22"/>
        </w:rPr>
        <w:t>rices et collaborateurs concernés par ce dispositif au titre de l’année précédant leur départ en congés pour l’une des causes visées ci-dessus</w:t>
      </w:r>
      <w:r w:rsidRPr="00342923">
        <w:rPr>
          <w:rFonts w:ascii="Tahoma" w:cs="Tahoma" w:hAnsi="Tahoma"/>
          <w:sz w:val="20"/>
          <w:szCs w:val="22"/>
        </w:rPr>
        <w:t>.</w:t>
      </w:r>
    </w:p>
    <w:p w14:paraId="269B1218" w14:textId="77777777" w:rsidP="0052744D" w:rsidR="0052744D" w:rsidRDefault="0052744D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b/>
          <w:sz w:val="20"/>
          <w:szCs w:val="22"/>
        </w:rPr>
      </w:pPr>
    </w:p>
    <w:p w14:paraId="2611E256" w14:textId="77777777" w:rsidP="0052744D" w:rsidR="0052744D" w:rsidRDefault="0052744D" w:rsidRPr="00973DA8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b/>
          <w:sz w:val="20"/>
          <w:szCs w:val="22"/>
        </w:rPr>
      </w:pPr>
    </w:p>
    <w:p w14:paraId="32CF5D1B" w14:textId="77777777" w:rsidR="001C242B" w:rsidRDefault="001C242B">
      <w:pPr>
        <w:rPr>
          <w:rFonts w:ascii="Tahoma" w:cs="Tahoma" w:hAnsi="Tahoma"/>
          <w:b/>
          <w:sz w:val="20"/>
          <w:szCs w:val="22"/>
        </w:rPr>
      </w:pPr>
      <w:r>
        <w:rPr>
          <w:rFonts w:ascii="Tahoma" w:cs="Tahoma" w:hAnsi="Tahoma"/>
          <w:b/>
          <w:sz w:val="20"/>
          <w:szCs w:val="22"/>
        </w:rPr>
        <w:br w:type="page"/>
      </w:r>
    </w:p>
    <w:p w14:paraId="1724B8E3" w14:textId="25AE8274" w:rsidP="0052744D" w:rsidR="0052744D" w:rsidRDefault="0052744D" w:rsidRPr="00973DA8">
      <w:pPr>
        <w:pBdr>
          <w:bottom w:color="auto" w:space="1" w:sz="4" w:val="single"/>
        </w:pBd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b/>
          <w:sz w:val="20"/>
          <w:szCs w:val="22"/>
        </w:rPr>
      </w:pPr>
      <w:r w:rsidRPr="00973DA8">
        <w:rPr>
          <w:rFonts w:ascii="Tahoma" w:cs="Tahoma" w:hAnsi="Tahoma"/>
          <w:b/>
          <w:sz w:val="20"/>
          <w:szCs w:val="22"/>
        </w:rPr>
        <w:lastRenderedPageBreak/>
        <w:t xml:space="preserve">Article </w:t>
      </w:r>
      <w:r w:rsidR="003B2B22">
        <w:rPr>
          <w:rFonts w:ascii="Tahoma" w:cs="Tahoma" w:hAnsi="Tahoma"/>
          <w:b/>
          <w:sz w:val="20"/>
          <w:szCs w:val="22"/>
        </w:rPr>
        <w:t>3</w:t>
      </w:r>
      <w:r w:rsidRPr="00973DA8">
        <w:rPr>
          <w:rFonts w:ascii="Tahoma" w:cs="Tahoma" w:hAnsi="Tahoma"/>
          <w:b/>
          <w:sz w:val="20"/>
          <w:szCs w:val="22"/>
        </w:rPr>
        <w:t xml:space="preserve"> – </w:t>
      </w:r>
      <w:r w:rsidRPr="00DF5488">
        <w:rPr>
          <w:rFonts w:ascii="Tahoma" w:cs="Tahoma" w:hAnsi="Tahoma"/>
          <w:b/>
          <w:sz w:val="20"/>
          <w:szCs w:val="22"/>
        </w:rPr>
        <w:t>Budget des augmentations individuelles de Rémunérations Contractuelles Annuelles</w:t>
      </w:r>
    </w:p>
    <w:p w14:paraId="3BC4E020" w14:textId="77777777" w:rsidP="0052744D" w:rsidR="009D5055" w:rsidRDefault="009D5055" w:rsidRPr="00973DA8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</w:p>
    <w:p w14:paraId="7D5E3B6C" w14:textId="026822EB" w:rsidP="0052744D" w:rsidR="0052744D" w:rsidRDefault="0052744D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  <w:r w:rsidRPr="00DF5488">
        <w:rPr>
          <w:rFonts w:ascii="Tahoma" w:cs="Tahoma" w:hAnsi="Tahoma"/>
          <w:sz w:val="20"/>
          <w:szCs w:val="22"/>
        </w:rPr>
        <w:t xml:space="preserve">Un budget de </w:t>
      </w:r>
      <w:r w:rsidRPr="00583048">
        <w:rPr>
          <w:rFonts w:ascii="Tahoma" w:cs="Tahoma" w:hAnsi="Tahoma"/>
          <w:b/>
          <w:sz w:val="20"/>
          <w:szCs w:val="22"/>
        </w:rPr>
        <w:t>1</w:t>
      </w:r>
      <w:r w:rsidR="00140D4B">
        <w:rPr>
          <w:rFonts w:ascii="Tahoma" w:cs="Tahoma" w:hAnsi="Tahoma"/>
          <w:b/>
          <w:sz w:val="20"/>
          <w:szCs w:val="22"/>
        </w:rPr>
        <w:t>10</w:t>
      </w:r>
      <w:r w:rsidRPr="00583048">
        <w:rPr>
          <w:rFonts w:ascii="Tahoma" w:cs="Tahoma" w:hAnsi="Tahoma"/>
          <w:b/>
          <w:sz w:val="20"/>
          <w:szCs w:val="22"/>
        </w:rPr>
        <w:t xml:space="preserve"> </w:t>
      </w:r>
      <w:r w:rsidR="00140D4B">
        <w:rPr>
          <w:rFonts w:ascii="Tahoma" w:cs="Tahoma" w:hAnsi="Tahoma"/>
          <w:b/>
          <w:sz w:val="20"/>
          <w:szCs w:val="22"/>
        </w:rPr>
        <w:t>25</w:t>
      </w:r>
      <w:r w:rsidRPr="00583048">
        <w:rPr>
          <w:rFonts w:ascii="Tahoma" w:cs="Tahoma" w:hAnsi="Tahoma"/>
          <w:b/>
          <w:sz w:val="20"/>
          <w:szCs w:val="22"/>
        </w:rPr>
        <w:t>0</w:t>
      </w:r>
      <w:r>
        <w:rPr>
          <w:rFonts w:ascii="Tahoma" w:cs="Tahoma" w:hAnsi="Tahoma"/>
          <w:sz w:val="20"/>
          <w:szCs w:val="22"/>
        </w:rPr>
        <w:t xml:space="preserve"> </w:t>
      </w:r>
      <w:r w:rsidRPr="00564D01">
        <w:rPr>
          <w:rFonts w:ascii="Tahoma" w:cs="Tahoma" w:hAnsi="Tahoma"/>
          <w:b/>
          <w:sz w:val="20"/>
          <w:szCs w:val="22"/>
        </w:rPr>
        <w:t>€ bruts</w:t>
      </w:r>
      <w:r w:rsidRPr="00DF5488">
        <w:rPr>
          <w:rFonts w:ascii="Tahoma" w:cs="Tahoma" w:hAnsi="Tahoma"/>
          <w:sz w:val="20"/>
          <w:szCs w:val="22"/>
        </w:rPr>
        <w:t xml:space="preserve"> sera dédié</w:t>
      </w:r>
      <w:r>
        <w:rPr>
          <w:rFonts w:ascii="Tahoma" w:cs="Tahoma" w:hAnsi="Tahoma"/>
          <w:sz w:val="20"/>
          <w:szCs w:val="22"/>
        </w:rPr>
        <w:t>, en approche sélective tout au long de l’exercice 202</w:t>
      </w:r>
      <w:r w:rsidR="00140D4B">
        <w:rPr>
          <w:rFonts w:ascii="Tahoma" w:cs="Tahoma" w:hAnsi="Tahoma"/>
          <w:sz w:val="20"/>
          <w:szCs w:val="22"/>
        </w:rPr>
        <w:t>2</w:t>
      </w:r>
      <w:r>
        <w:rPr>
          <w:rFonts w:ascii="Tahoma" w:cs="Tahoma" w:hAnsi="Tahoma"/>
          <w:sz w:val="20"/>
          <w:szCs w:val="22"/>
        </w:rPr>
        <w:t>, à l’attribution</w:t>
      </w:r>
      <w:r w:rsidRPr="00DF5488">
        <w:rPr>
          <w:rFonts w:ascii="Tahoma" w:cs="Tahoma" w:hAnsi="Tahoma"/>
          <w:sz w:val="20"/>
          <w:szCs w:val="22"/>
        </w:rPr>
        <w:t xml:space="preserve"> d’augmentations individuelles de </w:t>
      </w:r>
      <w:r>
        <w:rPr>
          <w:rFonts w:ascii="Tahoma" w:cs="Tahoma" w:hAnsi="Tahoma"/>
          <w:sz w:val="20"/>
          <w:szCs w:val="22"/>
        </w:rPr>
        <w:t>rémunérations contractuelles annuelles des collaborateurs en classification</w:t>
      </w:r>
      <w:r w:rsidRPr="00DF5488">
        <w:rPr>
          <w:rFonts w:ascii="Tahoma" w:cs="Tahoma" w:hAnsi="Tahoma"/>
          <w:sz w:val="20"/>
          <w:szCs w:val="22"/>
        </w:rPr>
        <w:t xml:space="preserve">. </w:t>
      </w:r>
    </w:p>
    <w:p w14:paraId="231A9573" w14:textId="77777777" w:rsidP="0052744D" w:rsidR="0052744D" w:rsidRDefault="0052744D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</w:p>
    <w:p w14:paraId="4DE40FF4" w14:textId="77777777" w:rsidP="0052744D" w:rsidR="0052744D" w:rsidRDefault="0052744D" w:rsidRPr="00E102A1">
      <w:pPr>
        <w:pStyle w:val="Textebrut"/>
        <w:numPr>
          <w:ilvl w:val="0"/>
          <w:numId w:val="1"/>
        </w:numPr>
        <w:tabs>
          <w:tab w:pos="1428" w:val="clear"/>
        </w:tabs>
        <w:ind w:hanging="180" w:left="900"/>
        <w:jc w:val="both"/>
        <w:rPr>
          <w:rFonts w:ascii="Tahoma" w:cs="Tahoma" w:hAnsi="Tahoma"/>
          <w:szCs w:val="22"/>
        </w:rPr>
      </w:pPr>
      <w:r w:rsidRPr="00E102A1">
        <w:rPr>
          <w:rFonts w:ascii="Tahoma" w:cs="Tahoma" w:hAnsi="Tahoma"/>
          <w:szCs w:val="22"/>
        </w:rPr>
        <w:t xml:space="preserve">Sur ce budget, une enveloppe spécifique de </w:t>
      </w:r>
      <w:r>
        <w:rPr>
          <w:rFonts w:ascii="Tahoma" w:cs="Tahoma" w:hAnsi="Tahoma"/>
          <w:b/>
          <w:szCs w:val="22"/>
        </w:rPr>
        <w:t xml:space="preserve">17 000 </w:t>
      </w:r>
      <w:r w:rsidRPr="00E102A1">
        <w:rPr>
          <w:rFonts w:ascii="Tahoma" w:cs="Tahoma" w:hAnsi="Tahoma"/>
          <w:b/>
          <w:szCs w:val="22"/>
        </w:rPr>
        <w:t>euros</w:t>
      </w:r>
      <w:r w:rsidRPr="00E102A1">
        <w:rPr>
          <w:rFonts w:ascii="Tahoma" w:cs="Tahoma" w:hAnsi="Tahoma"/>
          <w:szCs w:val="22"/>
        </w:rPr>
        <w:t xml:space="preserve"> sera spécifiquement alloué</w:t>
      </w:r>
      <w:r>
        <w:rPr>
          <w:rFonts w:ascii="Tahoma" w:cs="Tahoma" w:hAnsi="Tahoma"/>
          <w:szCs w:val="22"/>
        </w:rPr>
        <w:t>e</w:t>
      </w:r>
      <w:r w:rsidRPr="00E102A1">
        <w:rPr>
          <w:rFonts w:ascii="Tahoma" w:cs="Tahoma" w:hAnsi="Tahoma"/>
          <w:szCs w:val="22"/>
        </w:rPr>
        <w:t xml:space="preserve"> au rattrapage des éventuels écarts constatés à niveau égal de qualification et de compétence, et dans des conditions semblables d’exercice d’un métier, entre les rémunérations contractuelles des femmes et des hommes salariés de l’entreprise.</w:t>
      </w:r>
    </w:p>
    <w:p w14:paraId="4144DFCD" w14:textId="77777777" w:rsidP="0052744D" w:rsidR="0052744D" w:rsidRDefault="0052744D" w:rsidRPr="00E102A1">
      <w:pPr>
        <w:pStyle w:val="Textebrut"/>
        <w:ind w:left="900"/>
        <w:jc w:val="both"/>
        <w:rPr>
          <w:rFonts w:ascii="Tahoma" w:cs="Tahoma" w:hAnsi="Tahoma"/>
          <w:szCs w:val="22"/>
        </w:rPr>
      </w:pPr>
    </w:p>
    <w:p w14:paraId="0A4AA55A" w14:textId="4C543EC3" w:rsidP="0052744D" w:rsidR="0052744D" w:rsidRDefault="0052744D" w:rsidRPr="00E102A1">
      <w:pPr>
        <w:pStyle w:val="Textebrut"/>
        <w:ind w:left="900"/>
        <w:jc w:val="both"/>
        <w:rPr>
          <w:rFonts w:ascii="Tahoma" w:cs="Tahoma" w:hAnsi="Tahoma"/>
          <w:szCs w:val="22"/>
        </w:rPr>
      </w:pPr>
      <w:r w:rsidRPr="00E102A1">
        <w:rPr>
          <w:rFonts w:ascii="Tahoma" w:cs="Tahoma" w:hAnsi="Tahoma"/>
          <w:szCs w:val="22"/>
        </w:rPr>
        <w:t xml:space="preserve">Cette mesure s’inscrit dans le cadre des dispositions de l’accord du </w:t>
      </w:r>
      <w:r w:rsidR="00140D4B">
        <w:rPr>
          <w:rFonts w:ascii="Tahoma" w:cs="Tahoma" w:hAnsi="Tahoma"/>
          <w:szCs w:val="22"/>
        </w:rPr>
        <w:t>7</w:t>
      </w:r>
      <w:r w:rsidRPr="00D60025">
        <w:rPr>
          <w:rFonts w:ascii="Tahoma" w:cs="Tahoma" w:hAnsi="Tahoma"/>
          <w:szCs w:val="22"/>
        </w:rPr>
        <w:t xml:space="preserve"> décembre 20</w:t>
      </w:r>
      <w:r w:rsidR="00140D4B">
        <w:rPr>
          <w:rFonts w:ascii="Tahoma" w:cs="Tahoma" w:hAnsi="Tahoma"/>
          <w:szCs w:val="22"/>
        </w:rPr>
        <w:t>21</w:t>
      </w:r>
      <w:r w:rsidRPr="00E102A1">
        <w:rPr>
          <w:rFonts w:ascii="Tahoma" w:cs="Tahoma" w:hAnsi="Tahoma"/>
          <w:szCs w:val="22"/>
        </w:rPr>
        <w:t xml:space="preserve"> sur les objectifs en matière d’égalité professionnelle et de mixité entre les hommes et les femmes, et les mesures permettant de les atteindre.</w:t>
      </w:r>
    </w:p>
    <w:p w14:paraId="6CB6140E" w14:textId="77777777" w:rsidP="0052744D" w:rsidR="0052744D" w:rsidRDefault="0052744D">
      <w:pPr>
        <w:pStyle w:val="Textebrut"/>
        <w:jc w:val="both"/>
        <w:rPr>
          <w:rFonts w:ascii="Tahoma" w:cs="Tahoma" w:hAnsi="Tahoma"/>
          <w:szCs w:val="22"/>
        </w:rPr>
      </w:pPr>
    </w:p>
    <w:p w14:paraId="202C5D4A" w14:textId="77777777" w:rsidP="0052744D" w:rsidR="0052744D" w:rsidRDefault="0052744D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</w:p>
    <w:p w14:paraId="1A97F897" w14:textId="77777777" w:rsidR="008D522C" w:rsidRDefault="008D522C">
      <w:pPr>
        <w:rPr>
          <w:rFonts w:ascii="Tahoma" w:cs="Tahoma" w:hAnsi="Tahoma"/>
          <w:sz w:val="20"/>
          <w:szCs w:val="22"/>
        </w:rPr>
      </w:pPr>
    </w:p>
    <w:p w14:paraId="5E84D0C2" w14:textId="15D2CB11" w:rsidP="002D4EEC" w:rsidR="002D4EEC" w:rsidRDefault="002D4EEC">
      <w:pPr>
        <w:pBdr>
          <w:bottom w:color="auto" w:space="1" w:sz="4" w:val="single"/>
        </w:pBdr>
        <w:spacing w:line="276" w:lineRule="auto"/>
        <w:jc w:val="both"/>
        <w:rPr>
          <w:rFonts w:ascii="Tahoma" w:cs="Tahoma" w:hAnsi="Tahoma"/>
          <w:b/>
          <w:bCs/>
          <w:sz w:val="20"/>
          <w:szCs w:val="22"/>
        </w:rPr>
      </w:pPr>
      <w:r>
        <w:rPr>
          <w:rFonts w:ascii="Tahoma" w:cs="Tahoma" w:hAnsi="Tahoma"/>
          <w:b/>
          <w:bCs/>
          <w:sz w:val="20"/>
          <w:szCs w:val="22"/>
        </w:rPr>
        <w:t xml:space="preserve">Article 4 </w:t>
      </w:r>
      <w:r w:rsidRPr="00973DA8">
        <w:rPr>
          <w:rFonts w:ascii="Tahoma" w:cs="Tahoma" w:hAnsi="Tahoma"/>
          <w:b/>
          <w:sz w:val="20"/>
          <w:szCs w:val="22"/>
        </w:rPr>
        <w:t xml:space="preserve">– </w:t>
      </w:r>
      <w:r>
        <w:rPr>
          <w:rFonts w:ascii="Tahoma" w:cs="Tahoma" w:hAnsi="Tahoma"/>
          <w:b/>
          <w:sz w:val="20"/>
          <w:szCs w:val="22"/>
        </w:rPr>
        <w:t xml:space="preserve">Abondement PEE </w:t>
      </w:r>
    </w:p>
    <w:p w14:paraId="74DA04D5" w14:textId="77777777" w:rsidR="009D5055" w:rsidRDefault="009D5055">
      <w:pPr>
        <w:rPr>
          <w:rFonts w:ascii="Tahoma" w:cs="Tahoma" w:hAnsi="Tahoma"/>
          <w:sz w:val="20"/>
          <w:szCs w:val="22"/>
        </w:rPr>
      </w:pPr>
    </w:p>
    <w:p w14:paraId="153E504F" w14:textId="3FFE4B9F" w:rsidP="003B2B22" w:rsidR="003B2B22" w:rsidRDefault="003B2B22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  <w:r>
        <w:rPr>
          <w:rFonts w:ascii="Tahoma" w:cs="Tahoma" w:hAnsi="Tahoma"/>
          <w:sz w:val="20"/>
          <w:szCs w:val="22"/>
        </w:rPr>
        <w:t>La Banque Nuger s’engage à proposer à la signature des Organisations Syndicales Représentatives un avenant à durée déterminée à l’accord sur le PEE prévoyant pour les sommes investies au cours de l’année 2022, une amélioration de la première tranche de calcul du barème d’abondement du PEE qui sera portée à titre exceptionnel pour l’année 2022 à 200 % (contre 150% actuellement).</w:t>
      </w:r>
    </w:p>
    <w:p w14:paraId="1892CFD4" w14:textId="533BC617" w:rsidP="008D522C" w:rsidR="008D522C" w:rsidRDefault="008D522C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</w:p>
    <w:p w14:paraId="372B4489" w14:textId="77777777" w:rsidP="008D522C" w:rsidR="008D522C" w:rsidRDefault="008D522C">
      <w:pPr>
        <w:autoSpaceDE w:val="0"/>
        <w:autoSpaceDN w:val="0"/>
        <w:adjustRightInd w:val="0"/>
        <w:spacing w:line="276" w:lineRule="auto"/>
        <w:jc w:val="both"/>
        <w:rPr>
          <w:rFonts w:ascii="Tahoma" w:cs="Tahoma" w:hAnsi="Tahoma"/>
          <w:sz w:val="20"/>
          <w:szCs w:val="22"/>
        </w:rPr>
      </w:pPr>
    </w:p>
    <w:p w14:paraId="15C1A30B" w14:textId="77777777" w:rsidP="0052744D" w:rsidR="0052744D" w:rsidRDefault="0052744D" w:rsidRPr="00973DA8">
      <w:pPr>
        <w:pBdr>
          <w:bottom w:color="auto" w:space="1" w:sz="4" w:val="single"/>
        </w:pBdr>
        <w:spacing w:line="276" w:lineRule="auto"/>
        <w:jc w:val="both"/>
        <w:rPr>
          <w:rFonts w:ascii="Tahoma" w:cs="Tahoma" w:hAnsi="Tahoma"/>
          <w:b/>
          <w:sz w:val="20"/>
          <w:szCs w:val="22"/>
        </w:rPr>
      </w:pPr>
      <w:r>
        <w:rPr>
          <w:rFonts w:ascii="Tahoma" w:cs="Tahoma" w:hAnsi="Tahoma"/>
          <w:b/>
          <w:sz w:val="20"/>
          <w:szCs w:val="22"/>
        </w:rPr>
        <w:t>Article 5</w:t>
      </w:r>
      <w:r w:rsidRPr="00973DA8">
        <w:rPr>
          <w:rFonts w:ascii="Tahoma" w:cs="Tahoma" w:hAnsi="Tahoma"/>
          <w:b/>
          <w:sz w:val="20"/>
          <w:szCs w:val="22"/>
        </w:rPr>
        <w:t xml:space="preserve"> – </w:t>
      </w:r>
      <w:r>
        <w:rPr>
          <w:rFonts w:ascii="Tahoma" w:cs="Tahoma" w:hAnsi="Tahoma"/>
          <w:b/>
          <w:sz w:val="20"/>
          <w:szCs w:val="22"/>
        </w:rPr>
        <w:t>Durée de l’accord et modalités de dépôt</w:t>
      </w:r>
    </w:p>
    <w:p w14:paraId="6B97F0C2" w14:textId="77777777" w:rsidP="002D4EEC" w:rsidR="002D4EEC" w:rsidRDefault="002D4EEC" w:rsidRPr="000F6FF6">
      <w:pPr>
        <w:spacing w:after="100" w:afterAutospacing="1" w:before="100" w:beforeAutospacing="1"/>
        <w:jc w:val="both"/>
        <w:rPr>
          <w:rFonts w:ascii="Verdana" w:hAnsi="Verdana"/>
          <w:b/>
          <w:i/>
          <w:sz w:val="20"/>
          <w:szCs w:val="20"/>
        </w:rPr>
      </w:pPr>
      <w:r w:rsidRPr="000F6FF6">
        <w:rPr>
          <w:rFonts w:ascii="Verdana" w:hAnsi="Verdana"/>
          <w:sz w:val="20"/>
          <w:szCs w:val="20"/>
        </w:rPr>
        <w:t>Le présent accord sera déposé par la Banque Nuger en un exemplaire auprès du Secrétariat – Greffe du Conseil de Prud’hommes de Clermont-Ferrand et auprès de la Direction régionale de l’économie, de l’emploi, du travail et des solidarités (D.R.E.E.T.S) d’Auvergne selon les modalités en vigueur.</w:t>
      </w:r>
    </w:p>
    <w:p w14:paraId="2928E57D" w14:textId="65249F37" w:rsidP="0052744D" w:rsidR="0052744D" w:rsidRDefault="0052744D">
      <w:pPr>
        <w:rPr>
          <w:rFonts w:ascii="Verdana" w:hAnsi="Verdana"/>
          <w:sz w:val="20"/>
          <w:szCs w:val="20"/>
        </w:rPr>
      </w:pPr>
    </w:p>
    <w:p w14:paraId="48FCFD83" w14:textId="77777777" w:rsidP="0052744D" w:rsidR="00664FA8" w:rsidRDefault="00664FA8" w:rsidRPr="002D4EEC">
      <w:pPr>
        <w:rPr>
          <w:rFonts w:ascii="Verdana" w:hAnsi="Verdana"/>
          <w:sz w:val="20"/>
          <w:szCs w:val="20"/>
        </w:rPr>
      </w:pPr>
    </w:p>
    <w:p w14:paraId="2D7365E0" w14:textId="77777777" w:rsidP="002D4EEC" w:rsidR="002D4EEC" w:rsidRDefault="002D4EEC">
      <w:pPr>
        <w:ind w:firstLine="708" w:left="2832"/>
        <w:jc w:val="right"/>
        <w:rPr>
          <w:rFonts w:ascii="Verdana" w:hAnsi="Verdana"/>
          <w:sz w:val="20"/>
          <w:szCs w:val="20"/>
        </w:rPr>
      </w:pPr>
      <w:r w:rsidRPr="000F6FF6">
        <w:rPr>
          <w:rFonts w:ascii="Verdana" w:hAnsi="Verdana"/>
          <w:sz w:val="20"/>
          <w:szCs w:val="20"/>
        </w:rPr>
        <w:t xml:space="preserve">Fait à Clermont-Ferrand, </w:t>
      </w:r>
    </w:p>
    <w:p w14:paraId="3F1808BC" w14:textId="57C99873" w:rsidP="002D4EEC" w:rsidR="002D4EEC" w:rsidRDefault="002D4EEC" w:rsidRPr="000F6FF6">
      <w:pPr>
        <w:ind w:firstLine="708" w:left="2832"/>
        <w:jc w:val="right"/>
        <w:rPr>
          <w:rFonts w:ascii="Verdana" w:hAnsi="Verdana"/>
          <w:sz w:val="20"/>
          <w:szCs w:val="20"/>
        </w:rPr>
      </w:pPr>
      <w:r w:rsidRPr="000F6FF6">
        <w:rPr>
          <w:rFonts w:ascii="Verdana" w:hAnsi="Verdana"/>
          <w:sz w:val="20"/>
          <w:szCs w:val="20"/>
        </w:rPr>
        <w:t xml:space="preserve">le </w:t>
      </w:r>
      <w:r>
        <w:rPr>
          <w:rFonts w:ascii="Verdana" w:hAnsi="Verdana"/>
          <w:sz w:val="20"/>
          <w:szCs w:val="20"/>
        </w:rPr>
        <w:t>1</w:t>
      </w:r>
      <w:r w:rsidR="00664FA8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 xml:space="preserve"> janvier</w:t>
      </w:r>
      <w:r w:rsidRPr="000F6FF6">
        <w:rPr>
          <w:rFonts w:ascii="Verdana" w:hAnsi="Verdana"/>
          <w:sz w:val="20"/>
          <w:szCs w:val="20"/>
        </w:rPr>
        <w:t xml:space="preserve"> 202</w:t>
      </w:r>
      <w:r>
        <w:rPr>
          <w:rFonts w:ascii="Verdana" w:hAnsi="Verdana"/>
          <w:sz w:val="20"/>
          <w:szCs w:val="20"/>
        </w:rPr>
        <w:t>2</w:t>
      </w:r>
    </w:p>
    <w:p w14:paraId="11CDEBE5" w14:textId="77777777" w:rsidP="0052744D" w:rsidR="0052744D" w:rsidRDefault="0052744D" w:rsidRPr="00973DA8">
      <w:pPr>
        <w:rPr>
          <w:rFonts w:ascii="Tahoma" w:cs="Tahoma" w:hAnsi="Tahoma"/>
          <w:b/>
          <w:i/>
          <w:sz w:val="20"/>
        </w:rPr>
      </w:pPr>
    </w:p>
    <w:p w14:paraId="1FF0E923" w14:textId="77777777" w:rsidP="0052744D" w:rsidR="00664FA8" w:rsidRDefault="00664FA8" w:rsidRPr="0052744D">
      <w:pPr>
        <w:spacing w:after="160" w:line="259" w:lineRule="auto"/>
        <w:rPr>
          <w:rFonts w:ascii="Tahoma" w:cs="Tahoma" w:eastAsiaTheme="minorHAnsi" w:hAnsi="Tahoma"/>
          <w:b/>
          <w:i/>
          <w:sz w:val="20"/>
          <w:szCs w:val="22"/>
          <w:lang w:eastAsia="en-US"/>
        </w:rPr>
      </w:pPr>
    </w:p>
    <w:p w14:paraId="23F80395" w14:textId="1F38677D" w:rsidP="0052744D" w:rsidR="0052744D" w:rsidRDefault="0052744D" w:rsidRPr="0052744D">
      <w:pPr>
        <w:spacing w:after="160" w:line="259" w:lineRule="auto"/>
        <w:rPr>
          <w:rFonts w:ascii="Tahoma" w:cs="Tahoma" w:eastAsiaTheme="minorHAnsi" w:hAnsi="Tahoma"/>
          <w:sz w:val="20"/>
          <w:szCs w:val="22"/>
          <w:lang w:eastAsia="en-US"/>
        </w:rPr>
      </w:pPr>
      <w:r w:rsidRPr="0052744D">
        <w:rPr>
          <w:rFonts w:ascii="Tahoma" w:cs="Tahoma" w:eastAsiaTheme="minorHAnsi" w:hAnsi="Tahoma"/>
          <w:b/>
          <w:i/>
          <w:sz w:val="20"/>
          <w:szCs w:val="22"/>
          <w:lang w:eastAsia="en-US"/>
        </w:rPr>
        <w:t>Pour la Banque Nuger</w:t>
      </w:r>
      <w:r w:rsidR="002D4EEC">
        <w:rPr>
          <w:rFonts w:ascii="Tahoma" w:cs="Tahoma" w:eastAsiaTheme="minorHAnsi" w:hAnsi="Tahoma"/>
          <w:b/>
          <w:i/>
          <w:sz w:val="20"/>
          <w:szCs w:val="22"/>
          <w:lang w:eastAsia="en-US"/>
        </w:rPr>
        <w:t>,</w:t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  <w:t xml:space="preserve">         </w:t>
      </w:r>
      <w:r w:rsidR="00E62B9F">
        <w:rPr>
          <w:rFonts w:ascii="Tahoma" w:cs="Tahoma" w:eastAsiaTheme="minorHAnsi" w:hAnsi="Tahoma"/>
          <w:b/>
          <w:i/>
          <w:sz w:val="20"/>
          <w:szCs w:val="22"/>
          <w:lang w:eastAsia="en-US"/>
        </w:rPr>
        <w:t>xxxxx</w:t>
      </w:r>
    </w:p>
    <w:p w14:paraId="7CAE3A79" w14:textId="77777777" w:rsidP="0052744D" w:rsidR="0052744D" w:rsidRDefault="0052744D" w:rsidRPr="0052744D">
      <w:pPr>
        <w:spacing w:after="160" w:line="259" w:lineRule="auto"/>
        <w:jc w:val="both"/>
        <w:rPr>
          <w:rFonts w:ascii="Tahoma" w:cs="Tahoma" w:eastAsiaTheme="minorHAnsi" w:hAnsi="Tahoma"/>
          <w:sz w:val="20"/>
          <w:szCs w:val="22"/>
          <w:lang w:eastAsia="en-US"/>
        </w:rPr>
      </w:pP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  <w:t>Président du Directoire</w:t>
      </w:r>
    </w:p>
    <w:p w14:paraId="430641DF" w14:textId="77777777" w:rsidP="0052744D" w:rsidR="0052744D" w:rsidRDefault="0052744D" w:rsidRPr="0052744D">
      <w:pPr>
        <w:spacing w:after="160" w:line="259" w:lineRule="auto"/>
        <w:jc w:val="both"/>
        <w:rPr>
          <w:rFonts w:ascii="Tahoma" w:cs="Tahoma" w:eastAsiaTheme="minorHAnsi" w:hAnsi="Tahoma"/>
          <w:sz w:val="20"/>
          <w:szCs w:val="22"/>
          <w:lang w:eastAsia="en-US"/>
        </w:rPr>
      </w:pPr>
    </w:p>
    <w:p w14:paraId="6219E30C" w14:textId="77777777" w:rsidP="0052744D" w:rsidR="0052744D" w:rsidRDefault="0052744D" w:rsidRPr="0052744D">
      <w:pPr>
        <w:spacing w:after="160" w:line="259" w:lineRule="auto"/>
        <w:jc w:val="both"/>
        <w:rPr>
          <w:rFonts w:ascii="Tahoma" w:cs="Tahoma" w:eastAsiaTheme="minorHAnsi" w:hAnsi="Tahoma"/>
          <w:sz w:val="20"/>
          <w:szCs w:val="22"/>
          <w:lang w:eastAsia="en-US"/>
        </w:rPr>
      </w:pPr>
    </w:p>
    <w:p w14:paraId="162837CD" w14:textId="77777777" w:rsidP="0052744D" w:rsidR="0052744D" w:rsidRDefault="0052744D" w:rsidRPr="0052744D">
      <w:pPr>
        <w:spacing w:after="160" w:line="259" w:lineRule="auto"/>
        <w:jc w:val="both"/>
        <w:rPr>
          <w:rFonts w:ascii="Tahoma" w:cs="Tahoma" w:eastAsiaTheme="minorHAnsi" w:hAnsi="Tahoma"/>
          <w:sz w:val="20"/>
          <w:szCs w:val="22"/>
          <w:lang w:eastAsia="en-US"/>
        </w:rPr>
      </w:pP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ab/>
      </w:r>
    </w:p>
    <w:p w14:paraId="1FF1714A" w14:textId="422AD191" w:rsidP="0052744D" w:rsidR="0052744D" w:rsidRDefault="0052744D" w:rsidRPr="0052744D">
      <w:pPr>
        <w:spacing w:after="160" w:line="259" w:lineRule="auto"/>
        <w:jc w:val="both"/>
        <w:rPr>
          <w:rFonts w:ascii="Tahoma" w:cs="Tahoma" w:eastAsiaTheme="minorHAnsi" w:hAnsi="Tahoma"/>
          <w:sz w:val="20"/>
          <w:szCs w:val="22"/>
          <w:lang w:eastAsia="en-US"/>
        </w:rPr>
      </w:pPr>
      <w:r w:rsidRPr="0052744D">
        <w:rPr>
          <w:rFonts w:ascii="Tahoma" w:cs="Tahoma" w:eastAsiaTheme="minorHAnsi" w:hAnsi="Tahoma"/>
          <w:b/>
          <w:i/>
          <w:sz w:val="20"/>
          <w:szCs w:val="22"/>
          <w:lang w:eastAsia="en-US"/>
        </w:rPr>
        <w:t>Pour</w:t>
      </w:r>
      <w:r w:rsidRPr="0052744D">
        <w:rPr>
          <w:rFonts w:ascii="Tahoma" w:cs="Tahoma" w:eastAsiaTheme="minorHAnsi" w:hAnsi="Tahoma"/>
          <w:sz w:val="20"/>
          <w:szCs w:val="22"/>
          <w:lang w:eastAsia="en-US"/>
        </w:rPr>
        <w:t xml:space="preserve"> </w:t>
      </w:r>
      <w:r w:rsidRPr="0052744D">
        <w:rPr>
          <w:rFonts w:ascii="Tahoma" w:cs="Tahoma" w:eastAsiaTheme="minorHAnsi" w:hAnsi="Tahoma"/>
          <w:b/>
          <w:i/>
          <w:sz w:val="20"/>
          <w:szCs w:val="22"/>
          <w:lang w:eastAsia="en-US"/>
        </w:rPr>
        <w:t>l’Organisation Syndicale,</w:t>
      </w:r>
      <w:r w:rsidR="002D4EEC">
        <w:rPr>
          <w:rFonts w:ascii="Tahoma" w:cs="Tahoma" w:eastAsiaTheme="minorHAnsi" w:hAnsi="Tahoma"/>
          <w:b/>
          <w:i/>
          <w:sz w:val="20"/>
          <w:szCs w:val="22"/>
          <w:lang w:eastAsia="en-US"/>
        </w:rPr>
        <w:tab/>
      </w:r>
      <w:r w:rsidRPr="0052744D">
        <w:rPr>
          <w:rFonts w:ascii="Tahoma" w:cs="Tahoma" w:eastAsiaTheme="minorHAnsi" w:hAnsi="Tahoma"/>
          <w:b/>
          <w:i/>
          <w:sz w:val="20"/>
          <w:szCs w:val="22"/>
          <w:lang w:eastAsia="en-US"/>
        </w:rPr>
        <w:tab/>
        <w:t xml:space="preserve">          </w:t>
      </w:r>
      <w:r w:rsidR="00E62B9F">
        <w:rPr>
          <w:rFonts w:ascii="Tahoma" w:cs="Tahoma" w:eastAsiaTheme="minorHAnsi" w:hAnsi="Tahoma"/>
          <w:b/>
          <w:i/>
          <w:sz w:val="20"/>
          <w:szCs w:val="22"/>
          <w:lang w:eastAsia="en-US"/>
        </w:rPr>
        <w:t>xxxxx</w:t>
      </w:r>
    </w:p>
    <w:p w14:paraId="0C93F81B" w14:textId="6587BD59" w:rsidP="002D4EEC" w:rsidR="00C42038" w:rsidRDefault="002D4EEC" w:rsidRPr="00C42038">
      <w:pPr>
        <w:spacing w:after="160" w:line="259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4EEC">
        <w:rPr>
          <w:rFonts w:ascii="Tahoma" w:cs="Tahoma" w:eastAsiaTheme="minorHAnsi" w:hAnsi="Tahoma"/>
          <w:sz w:val="20"/>
          <w:szCs w:val="22"/>
          <w:lang w:eastAsia="en-US"/>
        </w:rPr>
        <w:tab/>
        <w:t>Déléguée syndicale - CFDT</w:t>
      </w:r>
    </w:p>
    <w:p w14:paraId="23A1DD95" w14:textId="77777777" w:rsidP="00C42038" w:rsidR="00C42038" w:rsidRDefault="00C42038" w:rsidRPr="00C42038"/>
    <w:p w14:paraId="47A8B995" w14:textId="069CBC12" w:rsidP="00C42038" w:rsidR="00EF5C4A" w:rsidRDefault="00EF5C4A" w:rsidRPr="00C42038">
      <w:pPr>
        <w:tabs>
          <w:tab w:pos="7335" w:val="left"/>
        </w:tabs>
      </w:pPr>
    </w:p>
    <w:sectPr w:rsidR="00EF5C4A" w:rsidRPr="00C42038" w:rsidSect="00C42038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40" w:w="11900"/>
      <w:pgMar w:bottom="567" w:footer="0" w:gutter="0" w:header="0" w:left="567" w:right="567" w:top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A33AF" w14:textId="77777777" w:rsidR="0052744D" w:rsidRDefault="0052744D" w:rsidP="006B1A90">
      <w:r>
        <w:separator/>
      </w:r>
    </w:p>
  </w:endnote>
  <w:endnote w:type="continuationSeparator" w:id="0">
    <w:p w14:paraId="06E6D50B" w14:textId="77777777" w:rsidR="0052744D" w:rsidRDefault="0052744D" w:rsidP="006B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81DD2CD" w14:textId="77777777" w:rsidR="00140D4B" w:rsidRDefault="00140D4B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136EC" w14:textId="77777777" w:rsidP="00137F93" w:rsidR="00F21F29" w:rsidRDefault="00C42038" w:rsidRPr="00137F93">
    <w:pPr>
      <w:pStyle w:val="Pieddepage"/>
    </w:pPr>
    <w:r>
      <w:rPr>
        <w:noProof/>
      </w:rPr>
      <w:drawing>
        <wp:anchor allowOverlap="1" behindDoc="0" distB="0" distL="0" distR="0" distT="0" layoutInCell="1" locked="0" relativeHeight="251659264" simplePos="0" wp14:anchorId="51FEF11D" wp14:editId="3C74D687">
          <wp:simplePos x="0" y="0"/>
          <wp:positionH relativeFrom="margin">
            <wp:posOffset>940435</wp:posOffset>
          </wp:positionH>
          <wp:positionV relativeFrom="margin">
            <wp:posOffset>8816975</wp:posOffset>
          </wp:positionV>
          <wp:extent cx="4958715" cy="266700"/>
          <wp:effectExtent b="0" l="0" r="0" t="0"/>
          <wp:wrapThrough wrapText="bothSides">
            <wp:wrapPolygon edited="0">
              <wp:start x="0" y="0"/>
              <wp:lineTo x="0" y="20057"/>
              <wp:lineTo x="7053" y="20057"/>
              <wp:lineTo x="21492" y="15429"/>
              <wp:lineTo x="21492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1712950\AppData\Local\Microsoft\Windows\Temporary Internet Files\Content.Word\ML_CDN_PAPIER BLANC_ENTETE PDT 2018-1.png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5871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E564842" w14:textId="77777777" w:rsidR="00140D4B" w:rsidRDefault="00140D4B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2EE454A8" w14:textId="77777777" w:rsidP="006B1A90" w:rsidR="0052744D" w:rsidRDefault="0052744D">
      <w:r>
        <w:separator/>
      </w:r>
    </w:p>
  </w:footnote>
  <w:footnote w:id="0" w:type="continuationSeparator">
    <w:p w14:paraId="2CB6587A" w14:textId="77777777" w:rsidP="006B1A90" w:rsidR="0052744D" w:rsidRDefault="0052744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1C7300F3" w14:textId="77777777" w:rsidR="00140D4B" w:rsidRDefault="00140D4B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05D38E6" w14:textId="77777777" w:rsidP="0045679E" w:rsidR="00F21F29" w:rsidRDefault="00F21F29">
    <w:pPr>
      <w:pStyle w:val="En-tte"/>
      <w:jc w:val="right"/>
      <w:rPr>
        <w:noProof/>
        <w:lang w:val="en-US"/>
      </w:rPr>
    </w:pPr>
  </w:p>
  <w:p w14:paraId="235CA92C" w14:textId="77777777" w:rsidP="0045679E" w:rsidR="00EF5C4A" w:rsidRDefault="00EF5C4A">
    <w:pPr>
      <w:pStyle w:val="En-tte"/>
      <w:jc w:val="right"/>
      <w:rPr>
        <w:noProof/>
        <w:lang w:val="en-US"/>
      </w:rPr>
    </w:pPr>
  </w:p>
  <w:p w14:paraId="34D2B9C1" w14:textId="77777777" w:rsidP="0045679E" w:rsidR="00EF5C4A" w:rsidRDefault="00A676BC">
    <w:pPr>
      <w:pStyle w:val="En-tte"/>
      <w:jc w:val="right"/>
      <w:rPr>
        <w:noProof/>
        <w:lang w:val="en-US"/>
      </w:rPr>
    </w:pPr>
    <w:r>
      <w:rPr>
        <w:noProof/>
      </w:rPr>
      <w:drawing>
        <wp:anchor allowOverlap="1" behindDoc="0" distB="0" distL="0" distR="0" distT="0" layoutInCell="1" locked="0" relativeHeight="251658240" simplePos="0" wp14:anchorId="12140323" wp14:editId="24C91A34">
          <wp:simplePos x="0" y="0"/>
          <wp:positionH relativeFrom="margin">
            <wp:posOffset>4377690</wp:posOffset>
          </wp:positionH>
          <wp:positionV relativeFrom="paragraph">
            <wp:posOffset>80645</wp:posOffset>
          </wp:positionV>
          <wp:extent cx="2453271" cy="681990"/>
          <wp:effectExtent b="3810" l="0" r="4445" t="0"/>
          <wp:wrapThrough wrapText="bothSides">
            <wp:wrapPolygon edited="0">
              <wp:start x="19291" y="0"/>
              <wp:lineTo x="0" y="9050"/>
              <wp:lineTo x="0" y="15687"/>
              <wp:lineTo x="20129" y="19307"/>
              <wp:lineTo x="20465" y="21117"/>
              <wp:lineTo x="21304" y="21117"/>
              <wp:lineTo x="21471" y="12067"/>
              <wp:lineTo x="21471" y="10257"/>
              <wp:lineTo x="20465" y="9654"/>
              <wp:lineTo x="20129" y="0"/>
              <wp:lineTo x="19291" y="0"/>
            </wp:wrapPolygon>
          </wp:wrapThrough>
          <wp:docPr id="4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DN_PN_1.png" id="7" name="Imag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3271" cy="681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2CE081" w14:textId="77777777" w:rsidP="008A3F2F" w:rsidR="00DD7645" w:rsidRDefault="00DD7645">
    <w:pPr>
      <w:pStyle w:val="En-tte"/>
      <w:ind w:right="-7"/>
      <w:jc w:val="right"/>
      <w:rPr>
        <w:noProof/>
        <w:lang w:val="en-US"/>
      </w:rPr>
    </w:pPr>
  </w:p>
  <w:p w14:paraId="3BAD81F7" w14:textId="77777777" w:rsidP="008A3F2F" w:rsidR="00DD7645" w:rsidRDefault="00DD7645">
    <w:pPr>
      <w:pStyle w:val="En-tte"/>
      <w:ind w:right="-7"/>
      <w:jc w:val="right"/>
      <w:rPr>
        <w:noProof/>
        <w:lang w:val="en-US"/>
      </w:rPr>
    </w:pPr>
  </w:p>
  <w:p w14:paraId="0A5FB70D" w14:textId="77777777" w:rsidP="008A3F2F" w:rsidR="00F21F29" w:rsidRDefault="00F21F29">
    <w:pPr>
      <w:pStyle w:val="En-tte"/>
      <w:ind w:right="-7"/>
      <w:jc w:val="right"/>
      <w:rPr>
        <w:noProof/>
        <w:lang w:val="en-US"/>
      </w:rPr>
    </w:pPr>
    <w:r>
      <w:rPr>
        <w:noProof/>
        <w:lang w:val="en-US"/>
      </w:rPr>
      <w:t xml:space="preserve">    </w:t>
    </w:r>
  </w:p>
  <w:p w14:paraId="14FE2ACB" w14:textId="77777777" w:rsidP="0059376E" w:rsidR="00F21F29" w:rsidRDefault="00F21F29" w:rsidRPr="0059376E">
    <w:pPr>
      <w:pStyle w:val="En-tte"/>
      <w:rPr>
        <w:noProof/>
        <w:lang w:val="en-US"/>
      </w:rPr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7C2DA0DF" w14:textId="77777777" w:rsidR="00140D4B" w:rsidRDefault="00140D4B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77B82952"/>
    <w:multiLevelType w:val="hybridMultilevel"/>
    <w:tmpl w:val="E834956A"/>
    <w:lvl w:ilvl="0" w:tplc="040C0001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10"/>
  <w:attachedTemplate r:id="rId1"/>
  <w:defaultTabStop w:val="720"/>
  <w:hyphenationZone w:val="425"/>
  <w:characterSpacingControl w:val="doNotCompress"/>
  <w:hdrShapeDefaults>
    <o:shapedefaults spidmax="10241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4D"/>
    <w:rsid w:val="0001362D"/>
    <w:rsid w:val="000303FF"/>
    <w:rsid w:val="000674C6"/>
    <w:rsid w:val="000E3999"/>
    <w:rsid w:val="000E6345"/>
    <w:rsid w:val="000F4E3D"/>
    <w:rsid w:val="00137F93"/>
    <w:rsid w:val="0014066B"/>
    <w:rsid w:val="00140D4B"/>
    <w:rsid w:val="00154B29"/>
    <w:rsid w:val="00193BFC"/>
    <w:rsid w:val="001A1A15"/>
    <w:rsid w:val="001B6567"/>
    <w:rsid w:val="001B7F52"/>
    <w:rsid w:val="001C242B"/>
    <w:rsid w:val="001F4E19"/>
    <w:rsid w:val="00260A35"/>
    <w:rsid w:val="00264031"/>
    <w:rsid w:val="00275BBE"/>
    <w:rsid w:val="00287BFF"/>
    <w:rsid w:val="0029477E"/>
    <w:rsid w:val="002C56A1"/>
    <w:rsid w:val="002D4EEC"/>
    <w:rsid w:val="002E337A"/>
    <w:rsid w:val="002F3829"/>
    <w:rsid w:val="00302D32"/>
    <w:rsid w:val="003258B4"/>
    <w:rsid w:val="0033382E"/>
    <w:rsid w:val="00345BBA"/>
    <w:rsid w:val="00370CAC"/>
    <w:rsid w:val="00393987"/>
    <w:rsid w:val="003B2B22"/>
    <w:rsid w:val="003C3784"/>
    <w:rsid w:val="003D7F37"/>
    <w:rsid w:val="003F7F1C"/>
    <w:rsid w:val="004457FB"/>
    <w:rsid w:val="00447091"/>
    <w:rsid w:val="0045679E"/>
    <w:rsid w:val="00457187"/>
    <w:rsid w:val="004A01BA"/>
    <w:rsid w:val="004E4F1C"/>
    <w:rsid w:val="004F35F3"/>
    <w:rsid w:val="0052744D"/>
    <w:rsid w:val="005322BB"/>
    <w:rsid w:val="00552245"/>
    <w:rsid w:val="00556A8C"/>
    <w:rsid w:val="0059376E"/>
    <w:rsid w:val="005A5C82"/>
    <w:rsid w:val="005E2714"/>
    <w:rsid w:val="00641624"/>
    <w:rsid w:val="00664FA8"/>
    <w:rsid w:val="006A498E"/>
    <w:rsid w:val="006A57A1"/>
    <w:rsid w:val="006B1A90"/>
    <w:rsid w:val="006B531A"/>
    <w:rsid w:val="006D48E5"/>
    <w:rsid w:val="0073657A"/>
    <w:rsid w:val="00743B04"/>
    <w:rsid w:val="00746569"/>
    <w:rsid w:val="00754204"/>
    <w:rsid w:val="007A0E34"/>
    <w:rsid w:val="007C5C98"/>
    <w:rsid w:val="007D619C"/>
    <w:rsid w:val="007F1EC4"/>
    <w:rsid w:val="007F3B07"/>
    <w:rsid w:val="00824A38"/>
    <w:rsid w:val="00830DBC"/>
    <w:rsid w:val="00851F0D"/>
    <w:rsid w:val="00866D94"/>
    <w:rsid w:val="008A3F2F"/>
    <w:rsid w:val="008C5064"/>
    <w:rsid w:val="008D522C"/>
    <w:rsid w:val="008E4991"/>
    <w:rsid w:val="008F3A8B"/>
    <w:rsid w:val="00912DB3"/>
    <w:rsid w:val="009203C8"/>
    <w:rsid w:val="00953E0C"/>
    <w:rsid w:val="0096054B"/>
    <w:rsid w:val="009960CB"/>
    <w:rsid w:val="009B5A88"/>
    <w:rsid w:val="009D5055"/>
    <w:rsid w:val="009E040C"/>
    <w:rsid w:val="00A0650B"/>
    <w:rsid w:val="00A4154C"/>
    <w:rsid w:val="00A4212C"/>
    <w:rsid w:val="00A66BE7"/>
    <w:rsid w:val="00A676BC"/>
    <w:rsid w:val="00AB2590"/>
    <w:rsid w:val="00AE379C"/>
    <w:rsid w:val="00B35263"/>
    <w:rsid w:val="00B73719"/>
    <w:rsid w:val="00B93B3A"/>
    <w:rsid w:val="00BC674B"/>
    <w:rsid w:val="00C1052D"/>
    <w:rsid w:val="00C33425"/>
    <w:rsid w:val="00C42038"/>
    <w:rsid w:val="00C428DC"/>
    <w:rsid w:val="00C45041"/>
    <w:rsid w:val="00C46406"/>
    <w:rsid w:val="00C9327E"/>
    <w:rsid w:val="00CC1054"/>
    <w:rsid w:val="00CE1F98"/>
    <w:rsid w:val="00CE33DD"/>
    <w:rsid w:val="00D03B8E"/>
    <w:rsid w:val="00D4467C"/>
    <w:rsid w:val="00D46882"/>
    <w:rsid w:val="00D611CC"/>
    <w:rsid w:val="00D77F4E"/>
    <w:rsid w:val="00DA41B2"/>
    <w:rsid w:val="00DD7645"/>
    <w:rsid w:val="00DE682C"/>
    <w:rsid w:val="00DF084C"/>
    <w:rsid w:val="00DF512E"/>
    <w:rsid w:val="00E052E0"/>
    <w:rsid w:val="00E6266A"/>
    <w:rsid w:val="00E62B9F"/>
    <w:rsid w:val="00E64865"/>
    <w:rsid w:val="00E651E3"/>
    <w:rsid w:val="00E9224B"/>
    <w:rsid w:val="00EA685B"/>
    <w:rsid w:val="00EF4D61"/>
    <w:rsid w:val="00EF5C4A"/>
    <w:rsid w:val="00F21F29"/>
    <w:rsid w:val="00F33E93"/>
    <w:rsid w:val="00F37FFD"/>
    <w:rsid w:val="00F41415"/>
    <w:rsid w:val="00F50220"/>
    <w:rsid w:val="00FA2447"/>
    <w:rsid w:val="00FF3997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41" v:ext="edit"/>
    <o:shapelayout v:ext="edit">
      <o:idmap data="1" v:ext="edit"/>
    </o:shapelayout>
  </w:shapeDefaults>
  <w:decimalSymbol w:val=","/>
  <w:listSeparator w:val=";"/>
  <w14:docId w14:val="42667F77"/>
  <w15:docId w15:val="{4165EC81-5E13-49F5-9B93-930E9FEC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Cambria" w:cs="Times New Roman" w:eastAsia="MS Mincho" w:hAnsi="Cambria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2744D"/>
    <w:rPr>
      <w:rFonts w:ascii="Times New Roman" w:eastAsia="Times New Roman" w:hAnsi="Times New Roman"/>
      <w:sz w:val="24"/>
      <w:szCs w:val="24"/>
    </w:rPr>
  </w:style>
  <w:style w:styleId="Titre1" w:type="paragraph">
    <w:name w:val="heading 1"/>
    <w:basedOn w:val="Normal"/>
    <w:next w:val="Normal"/>
    <w:link w:val="Titre1Car"/>
    <w:uiPriority w:val="9"/>
    <w:qFormat/>
    <w:rsid w:val="006B1A90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6B1A90"/>
    <w:rPr>
      <w:rFonts w:ascii="Lucida Grande" w:hAnsi="Lucida Grande"/>
      <w:sz w:val="18"/>
      <w:szCs w:val="18"/>
    </w:rPr>
  </w:style>
  <w:style w:customStyle="1" w:styleId="TextedebullesCar" w:type="character">
    <w:name w:val="Texte de bulles Car"/>
    <w:link w:val="Textedebulles"/>
    <w:uiPriority w:val="99"/>
    <w:semiHidden/>
    <w:rsid w:val="006B1A90"/>
    <w:rPr>
      <w:rFonts w:ascii="Lucida Grande" w:cs="Lucida Grande" w:hAnsi="Lucida Grande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6B1A90"/>
    <w:pPr>
      <w:tabs>
        <w:tab w:pos="4153" w:val="center"/>
        <w:tab w:pos="8306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6B1A90"/>
  </w:style>
  <w:style w:styleId="Pieddepage" w:type="paragraph">
    <w:name w:val="footer"/>
    <w:basedOn w:val="Normal"/>
    <w:link w:val="PieddepageCar"/>
    <w:uiPriority w:val="99"/>
    <w:unhideWhenUsed/>
    <w:rsid w:val="006B1A90"/>
    <w:pPr>
      <w:tabs>
        <w:tab w:pos="4153" w:val="center"/>
        <w:tab w:pos="8306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6B1A90"/>
  </w:style>
  <w:style w:customStyle="1" w:styleId="Titre1Car" w:type="character">
    <w:name w:val="Titre 1 Car"/>
    <w:link w:val="Titre1"/>
    <w:uiPriority w:val="9"/>
    <w:rsid w:val="006B1A90"/>
    <w:rPr>
      <w:rFonts w:ascii="Calibri" w:cs="Times New Roman" w:eastAsia="MS Gothic" w:hAnsi="Calibri"/>
      <w:b/>
      <w:bCs/>
      <w:color w:val="345A8A"/>
      <w:sz w:val="32"/>
      <w:szCs w:val="32"/>
    </w:rPr>
  </w:style>
  <w:style w:customStyle="1" w:styleId="Default" w:type="paragraph">
    <w:name w:val="Default"/>
    <w:rsid w:val="00370CAC"/>
    <w:pPr>
      <w:autoSpaceDE w:val="0"/>
      <w:autoSpaceDN w:val="0"/>
      <w:adjustRightInd w:val="0"/>
    </w:pPr>
    <w:rPr>
      <w:rFonts w:ascii="Myriad Pro" w:cs="Myriad Pro" w:hAnsi="Myriad Pro"/>
      <w:color w:val="000000"/>
      <w:sz w:val="24"/>
      <w:szCs w:val="24"/>
    </w:rPr>
  </w:style>
  <w:style w:customStyle="1" w:styleId="Pa0" w:type="paragraph">
    <w:name w:val="Pa0"/>
    <w:basedOn w:val="Default"/>
    <w:next w:val="Default"/>
    <w:uiPriority w:val="99"/>
    <w:rsid w:val="00370CAC"/>
    <w:pPr>
      <w:spacing w:line="241" w:lineRule="atLeast"/>
    </w:pPr>
    <w:rPr>
      <w:rFonts w:cs="Times New Roman"/>
      <w:color w:val="auto"/>
    </w:rPr>
  </w:style>
  <w:style w:customStyle="1" w:styleId="A0" w:type="character">
    <w:name w:val="A0"/>
    <w:uiPriority w:val="99"/>
    <w:rsid w:val="00370CAC"/>
    <w:rPr>
      <w:rFonts w:cs="Myriad Pro"/>
      <w:color w:val="000000"/>
      <w:sz w:val="16"/>
      <w:szCs w:val="16"/>
    </w:rPr>
  </w:style>
  <w:style w:styleId="Textebrut" w:type="paragraph">
    <w:name w:val="Plain Text"/>
    <w:basedOn w:val="Normal"/>
    <w:link w:val="TextebrutCar"/>
    <w:rsid w:val="0052744D"/>
    <w:rPr>
      <w:rFonts w:ascii="Courier New" w:hAnsi="Courier New"/>
      <w:sz w:val="20"/>
      <w:szCs w:val="20"/>
    </w:rPr>
  </w:style>
  <w:style w:customStyle="1" w:styleId="TextebrutCar" w:type="character">
    <w:name w:val="Texte brut Car"/>
    <w:basedOn w:val="Policepardfaut"/>
    <w:link w:val="Textebrut"/>
    <w:rsid w:val="0052744D"/>
    <w:rPr>
      <w:rFonts w:ascii="Courier New" w:eastAsia="Times New Roman" w:hAnsi="Courier New"/>
    </w:rPr>
  </w:style>
  <w:style w:styleId="Lienhypertexte" w:type="character">
    <w:name w:val="Hyperlink"/>
    <w:basedOn w:val="Policepardfaut"/>
    <w:uiPriority w:val="99"/>
    <w:semiHidden/>
    <w:unhideWhenUsed/>
    <w:rsid w:val="00527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foot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S:/_services/Office/Templates/Nuger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CADCB-C415-4476-946E-803358306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Nuger.dotx</Template>
  <TotalTime>68</TotalTime>
  <Pages>2</Pages>
  <Words>689</Words>
  <Characters>3790</Characters>
  <Application>Microsoft Office Word</Application>
  <DocSecurity>0</DocSecurity>
  <Lines>31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AGENCE PARIS</vt:lpstr>
    </vt:vector>
  </TitlesOfParts>
  <Company>Test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2020-01-22T09:48:00Z</dcterms:created>
  <cp:lastPrinted>2020-01-22T09:49:00Z</cp:lastPrinted>
  <dcterms:modified xsi:type="dcterms:W3CDTF">2022-02-02T09:55:00Z</dcterms:modified>
  <cp:revision>9</cp:revision>
  <dc:title>AGENCE PARIS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a401b303-ecb1-4a9d-936a-70858c2d9a3e_Enabled" pid="2">
    <vt:lpwstr>true</vt:lpwstr>
  </property>
  <property fmtid="{D5CDD505-2E9C-101B-9397-08002B2CF9AE}" name="MSIP_Label_a401b303-ecb1-4a9d-936a-70858c2d9a3e_SetDate" pid="3">
    <vt:lpwstr>2022-02-02T09:55:17Z</vt:lpwstr>
  </property>
  <property fmtid="{D5CDD505-2E9C-101B-9397-08002B2CF9AE}" name="MSIP_Label_a401b303-ecb1-4a9d-936a-70858c2d9a3e_Method" pid="4">
    <vt:lpwstr>Privileged</vt:lpwstr>
  </property>
  <property fmtid="{D5CDD505-2E9C-101B-9397-08002B2CF9AE}" name="MSIP_Label_a401b303-ecb1-4a9d-936a-70858c2d9a3e_Name" pid="5">
    <vt:lpwstr>a401b303-ecb1-4a9d-936a-70858c2d9a3e</vt:lpwstr>
  </property>
  <property fmtid="{D5CDD505-2E9C-101B-9397-08002B2CF9AE}" name="MSIP_Label_a401b303-ecb1-4a9d-936a-70858c2d9a3e_SiteId" pid="6">
    <vt:lpwstr>c9a7d621-4bc4-4407-b730-f428e656aa9e</vt:lpwstr>
  </property>
  <property fmtid="{D5CDD505-2E9C-101B-9397-08002B2CF9AE}" name="MSIP_Label_a401b303-ecb1-4a9d-936a-70858c2d9a3e_ActionId" pid="7">
    <vt:lpwstr>5d1f40e5-1b91-46de-804e-10217231a1a2</vt:lpwstr>
  </property>
  <property fmtid="{D5CDD505-2E9C-101B-9397-08002B2CF9AE}" name="MSIP_Label_a401b303-ecb1-4a9d-936a-70858c2d9a3e_ContentBits" pid="8">
    <vt:lpwstr>0</vt:lpwstr>
  </property>
</Properties>
</file>