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jc w:val="left"/>
        <w:rPr>
          <w:rFonts w:ascii="Verdana" w:hAnsi="Verdana" w:cs="Verdana"/>
          <w:szCs w:val="20"/>
        </w:rPr>
      </w:pPr>
      <w:r>
        <w:rPr>
          <w:rFonts w:cs="Verdana" w:ascii="Verdana" w:hAnsi="Verdana"/>
          <w:szCs w:val="20"/>
        </w:rPr>
      </w:r>
    </w:p>
    <w:p>
      <w:pPr>
        <w:pStyle w:val="Heading"/>
        <w:rPr>
          <w:rFonts w:ascii="Verdana" w:hAnsi="Verdana" w:cs="Verdana"/>
          <w:szCs w:val="20"/>
        </w:rPr>
      </w:pPr>
      <w:r>
        <w:rPr>
          <w:rFonts w:cs="Verdana" w:ascii="Verdana" w:hAnsi="Verdana"/>
          <w:szCs w:val="20"/>
        </w:rPr>
      </w:r>
    </w:p>
    <w:p>
      <w:pPr>
        <w:pStyle w:val="Heading"/>
        <w:rPr>
          <w:rFonts w:ascii="Verdana" w:hAnsi="Verdana" w:cs="Verdana"/>
          <w:sz w:val="24"/>
        </w:rPr>
      </w:pPr>
      <w:r>
        <w:rPr>
          <w:rFonts w:cs="Verdana" w:ascii="Verdana" w:hAnsi="Verdana"/>
          <w:sz w:val="24"/>
        </w:rPr>
        <w:t>ACCORD D’ENTREPRISE NEGOCIATIONS ANNUELLES OBLIGATOIRES 2022</w:t>
      </w:r>
    </w:p>
    <w:p>
      <w:pPr>
        <w:pStyle w:val="Normal"/>
        <w:rPr>
          <w:rFonts w:ascii="Verdana" w:hAnsi="Verdana" w:cs="Arial"/>
          <w:sz w:val="20"/>
          <w:szCs w:val="20"/>
        </w:rPr>
      </w:pPr>
      <w:r>
        <w:rPr>
          <w:rFonts w:cs="Arial" w:ascii="Verdana" w:hAnsi="Verdana"/>
          <w:sz w:val="20"/>
          <w:szCs w:val="20"/>
        </w:rPr>
      </w:r>
    </w:p>
    <w:p>
      <w:pPr>
        <w:pStyle w:val="Normal"/>
        <w:rPr>
          <w:rFonts w:ascii="Verdana" w:hAnsi="Verdana" w:cs="Arial"/>
          <w:sz w:val="20"/>
          <w:szCs w:val="20"/>
        </w:rPr>
      </w:pPr>
      <w:r>
        <w:rPr>
          <w:rFonts w:cs="Arial" w:ascii="Verdana" w:hAnsi="Verdana"/>
          <w:sz w:val="20"/>
          <w:szCs w:val="20"/>
        </w:rPr>
      </w:r>
    </w:p>
    <w:p>
      <w:pPr>
        <w:pStyle w:val="Normal"/>
        <w:rPr>
          <w:rFonts w:ascii="Verdana" w:hAnsi="Verdana" w:cs="Arial"/>
          <w:sz w:val="20"/>
          <w:szCs w:val="20"/>
        </w:rPr>
      </w:pPr>
      <w:r>
        <w:rPr>
          <w:rFonts w:cs="Arial" w:ascii="Verdana" w:hAnsi="Verdana"/>
          <w:sz w:val="20"/>
          <w:szCs w:val="20"/>
        </w:rPr>
      </w:r>
    </w:p>
    <w:p>
      <w:pPr>
        <w:pStyle w:val="Normal"/>
        <w:jc w:val="both"/>
        <w:rPr/>
      </w:pPr>
      <w:r>
        <w:rPr>
          <w:rFonts w:cs="Verdana" w:ascii="Verdana" w:hAnsi="Verdana"/>
          <w:sz w:val="20"/>
          <w:szCs w:val="20"/>
        </w:rPr>
        <w:t xml:space="preserve">Conformément aux articles L2242-8 et suivants du Code du Travail, la négociation annuelle obligatoire s’est engagée entre la Société </w:t>
      </w:r>
      <w:r>
        <w:rPr>
          <w:rFonts w:cs="Verdana" w:ascii="Verdana" w:hAnsi="Verdana"/>
          <w:b/>
          <w:bCs/>
          <w:sz w:val="20"/>
          <w:szCs w:val="20"/>
        </w:rPr>
        <w:t>….</w:t>
      </w:r>
      <w:r>
        <w:rPr>
          <w:rFonts w:cs="Verdana" w:ascii="Verdana" w:hAnsi="Verdana"/>
          <w:sz w:val="20"/>
          <w:szCs w:val="20"/>
        </w:rPr>
        <w:t xml:space="preserve">, représentée par Monsieur </w:t>
      </w:r>
      <w:r>
        <w:rPr>
          <w:rFonts w:cs="Arial" w:ascii="Verdana" w:hAnsi="Verdana"/>
          <w:sz w:val="20"/>
          <w:szCs w:val="20"/>
        </w:rPr>
        <w:t>….,</w:t>
      </w:r>
      <w:r>
        <w:rPr>
          <w:rFonts w:cs="Verdana" w:ascii="Verdana" w:hAnsi="Verdana"/>
          <w:sz w:val="20"/>
          <w:szCs w:val="20"/>
        </w:rPr>
        <w:t xml:space="preserve"> agissant en qualité de Directeur et les délégations syndicales suivantes :</w:t>
      </w:r>
    </w:p>
    <w:p>
      <w:pPr>
        <w:pStyle w:val="Normal"/>
        <w:jc w:val="both"/>
        <w:rPr>
          <w:rFonts w:ascii="Verdana" w:hAnsi="Verdana" w:cs="Verdana"/>
          <w:sz w:val="20"/>
          <w:szCs w:val="20"/>
        </w:rPr>
      </w:pPr>
      <w:r>
        <w:rPr>
          <w:rFonts w:cs="Verdana" w:ascii="Verdana" w:hAnsi="Verdana"/>
          <w:sz w:val="20"/>
          <w:szCs w:val="20"/>
        </w:rPr>
      </w:r>
    </w:p>
    <w:p>
      <w:pPr>
        <w:pStyle w:val="Normal"/>
        <w:ind w:left="2832" w:hanging="2832"/>
        <w:jc w:val="both"/>
        <w:rPr>
          <w:rFonts w:ascii="Verdana" w:hAnsi="Verdana" w:cs="Verdana"/>
          <w:sz w:val="20"/>
          <w:szCs w:val="20"/>
        </w:rPr>
      </w:pPr>
      <w:r>
        <w:rPr>
          <w:rFonts w:cs="Verdana" w:ascii="Verdana" w:hAnsi="Verdana"/>
          <w:sz w:val="20"/>
          <w:szCs w:val="20"/>
        </w:rPr>
        <w:t>Syndicat FO</w:t>
        <w:tab/>
        <w:t xml:space="preserve">Monsieur …., Délégué Syndical, </w:t>
      </w:r>
    </w:p>
    <w:p>
      <w:pPr>
        <w:pStyle w:val="Normal"/>
        <w:ind w:left="2832" w:hanging="2832"/>
        <w:jc w:val="both"/>
        <w:rPr>
          <w:rFonts w:ascii="Verdana" w:hAnsi="Verdana" w:cs="Verdana"/>
          <w:sz w:val="20"/>
          <w:szCs w:val="20"/>
        </w:rPr>
      </w:pPr>
      <w:r>
        <w:rPr>
          <w:rFonts w:cs="Verdana" w:ascii="Verdana" w:hAnsi="Verdana"/>
          <w:sz w:val="20"/>
          <w:szCs w:val="20"/>
        </w:rPr>
      </w:r>
    </w:p>
    <w:p>
      <w:pPr>
        <w:pStyle w:val="Normal"/>
        <w:ind w:left="2832" w:hanging="2832"/>
        <w:jc w:val="both"/>
        <w:rPr>
          <w:rFonts w:ascii="Verdana" w:hAnsi="Verdana" w:cs="Verdana"/>
          <w:b/>
          <w:b/>
          <w:bCs/>
          <w:sz w:val="20"/>
          <w:szCs w:val="20"/>
        </w:rPr>
      </w:pPr>
      <w:r>
        <w:rPr>
          <w:rFonts w:cs="Verdana" w:ascii="Verdana" w:hAnsi="Verdana"/>
          <w:b/>
          <w:bCs/>
          <w:sz w:val="20"/>
          <w:szCs w:val="20"/>
        </w:rPr>
        <w:t xml:space="preserve">Il a été convenu ce qui suit : </w:t>
      </w:r>
    </w:p>
    <w:p>
      <w:pPr>
        <w:pStyle w:val="Normal"/>
        <w:ind w:left="2832" w:hanging="2832"/>
        <w:jc w:val="both"/>
        <w:rPr>
          <w:rFonts w:ascii="Verdana" w:hAnsi="Verdana" w:cs="Verdana"/>
          <w:b/>
          <w:b/>
          <w:bCs/>
          <w:sz w:val="20"/>
          <w:szCs w:val="20"/>
        </w:rPr>
      </w:pPr>
      <w:r>
        <w:rPr>
          <w:rFonts w:cs="Verdana" w:ascii="Verdana" w:hAnsi="Verdana"/>
          <w:b/>
          <w:bCs/>
          <w:sz w:val="20"/>
          <w:szCs w:val="20"/>
        </w:rPr>
      </w:r>
    </w:p>
    <w:p>
      <w:pPr>
        <w:pStyle w:val="Heading1"/>
        <w:numPr>
          <w:ilvl w:val="0"/>
          <w:numId w:val="1"/>
        </w:numPr>
        <w:rPr>
          <w:rFonts w:ascii="Verdana" w:hAnsi="Verdana" w:cs="Verdana"/>
          <w:b w:val="false"/>
          <w:b w:val="false"/>
          <w:bCs w:val="false"/>
          <w:sz w:val="20"/>
          <w:szCs w:val="20"/>
        </w:rPr>
      </w:pPr>
      <w:r>
        <w:rPr>
          <w:rFonts w:cs="Verdana" w:ascii="Verdana" w:hAnsi="Verdana"/>
          <w:b w:val="false"/>
          <w:bCs w:val="false"/>
          <w:sz w:val="20"/>
          <w:szCs w:val="20"/>
        </w:rPr>
      </w:r>
    </w:p>
    <w:p>
      <w:pPr>
        <w:pStyle w:val="Heading1"/>
        <w:numPr>
          <w:ilvl w:val="0"/>
          <w:numId w:val="1"/>
        </w:numPr>
        <w:rPr>
          <w:rFonts w:ascii="Verdana" w:hAnsi="Verdana" w:cs="Verdana"/>
          <w:szCs w:val="20"/>
        </w:rPr>
      </w:pPr>
      <w:r>
        <w:rPr>
          <w:rFonts w:cs="Verdana" w:ascii="Verdana" w:hAnsi="Verdana"/>
          <w:szCs w:val="20"/>
        </w:rPr>
        <w:t>ARTICLE 1 – TAUX HORAIRE</w:t>
      </w:r>
    </w:p>
    <w:p>
      <w:pPr>
        <w:pStyle w:val="Normal"/>
        <w:rPr>
          <w:rFonts w:ascii="Verdana" w:hAnsi="Verdana" w:cs="Arial"/>
          <w:sz w:val="20"/>
          <w:szCs w:val="20"/>
        </w:rPr>
      </w:pPr>
      <w:r>
        <w:rPr>
          <w:rFonts w:cs="Arial" w:ascii="Verdana" w:hAnsi="Verdana"/>
          <w:sz w:val="20"/>
          <w:szCs w:val="20"/>
        </w:rPr>
      </w:r>
    </w:p>
    <w:p>
      <w:pPr>
        <w:pStyle w:val="Normal"/>
        <w:jc w:val="both"/>
        <w:rPr>
          <w:rFonts w:ascii="Verdana" w:hAnsi="Verdana" w:cs="Arial"/>
          <w:sz w:val="20"/>
          <w:szCs w:val="20"/>
        </w:rPr>
      </w:pPr>
      <w:r>
        <w:rPr>
          <w:rFonts w:cs="Arial" w:ascii="Verdana" w:hAnsi="Verdana"/>
          <w:sz w:val="20"/>
          <w:szCs w:val="20"/>
        </w:rPr>
        <w:t>Le taux horaire brut est revalorisé de 3% à compter du 1</w:t>
      </w:r>
      <w:r>
        <w:rPr>
          <w:rFonts w:cs="Arial" w:ascii="Verdana" w:hAnsi="Verdana"/>
          <w:sz w:val="20"/>
          <w:szCs w:val="20"/>
          <w:vertAlign w:val="superscript"/>
        </w:rPr>
        <w:t>er</w:t>
      </w:r>
      <w:r>
        <w:rPr>
          <w:rFonts w:cs="Arial" w:ascii="Verdana" w:hAnsi="Verdana"/>
          <w:sz w:val="20"/>
          <w:szCs w:val="20"/>
        </w:rPr>
        <w:t xml:space="preserve"> janvier 2022 </w:t>
      </w:r>
    </w:p>
    <w:p>
      <w:pPr>
        <w:pStyle w:val="Normal"/>
        <w:jc w:val="both"/>
        <w:rPr>
          <w:rFonts w:ascii="Verdana" w:hAnsi="Verdana" w:cs="Arial"/>
          <w:sz w:val="20"/>
          <w:szCs w:val="20"/>
        </w:rPr>
      </w:pPr>
      <w:r>
        <w:rPr>
          <w:rFonts w:cs="Arial" w:ascii="Verdana" w:hAnsi="Verdana"/>
          <w:sz w:val="20"/>
          <w:szCs w:val="20"/>
        </w:rPr>
      </w:r>
    </w:p>
    <w:p>
      <w:pPr>
        <w:pStyle w:val="Heading1"/>
        <w:numPr>
          <w:ilvl w:val="0"/>
          <w:numId w:val="1"/>
        </w:numPr>
        <w:rPr>
          <w:rFonts w:ascii="Verdana" w:hAnsi="Verdana" w:cs="Verdana"/>
          <w:szCs w:val="20"/>
        </w:rPr>
      </w:pPr>
      <w:bookmarkStart w:id="0" w:name="_Hlk76146873"/>
      <w:bookmarkEnd w:id="0"/>
      <w:r>
        <w:rPr>
          <w:rFonts w:cs="Verdana" w:ascii="Verdana" w:hAnsi="Verdana"/>
          <w:szCs w:val="20"/>
        </w:rPr>
        <w:t xml:space="preserve">ARTICLE 2 – PRIME DE SAISON </w:t>
      </w:r>
    </w:p>
    <w:p>
      <w:pPr>
        <w:pStyle w:val="Normal"/>
        <w:tabs>
          <w:tab w:val="left" w:pos="1800" w:leader="none"/>
        </w:tabs>
        <w:jc w:val="both"/>
        <w:rPr>
          <w:rFonts w:ascii="Verdana" w:hAnsi="Verdana" w:cs="Arial"/>
          <w:sz w:val="20"/>
          <w:szCs w:val="20"/>
        </w:rPr>
      </w:pPr>
      <w:bookmarkStart w:id="1" w:name="_Hlk76146873"/>
      <w:bookmarkEnd w:id="1"/>
      <w:r>
        <w:rPr>
          <w:rFonts w:cs="Arial" w:ascii="Verdana" w:hAnsi="Verdana"/>
          <w:sz w:val="20"/>
          <w:szCs w:val="20"/>
        </w:rPr>
        <w:tab/>
      </w:r>
    </w:p>
    <w:p>
      <w:pPr>
        <w:pStyle w:val="Normal"/>
        <w:jc w:val="both"/>
        <w:rPr>
          <w:rFonts w:ascii="Verdana" w:hAnsi="Verdana" w:cs="Arial"/>
          <w:sz w:val="20"/>
          <w:szCs w:val="20"/>
        </w:rPr>
      </w:pPr>
      <w:r>
        <w:rPr>
          <w:rFonts w:cs="Arial" w:ascii="Verdana" w:hAnsi="Verdana"/>
          <w:sz w:val="20"/>
          <w:szCs w:val="20"/>
        </w:rPr>
        <w:t>La prime de saison actuellement en vigueur sera versée selon les modalités actuellement en vigueur au sein de l’entreprise :</w:t>
      </w:r>
    </w:p>
    <w:p>
      <w:pPr>
        <w:pStyle w:val="Normal"/>
        <w:jc w:val="both"/>
        <w:rPr>
          <w:rFonts w:ascii="Verdana" w:hAnsi="Verdana" w:cs="Arial"/>
          <w:sz w:val="20"/>
          <w:szCs w:val="20"/>
        </w:rPr>
      </w:pPr>
      <w:r>
        <w:rPr>
          <w:rFonts w:cs="Arial" w:ascii="Verdana" w:hAnsi="Verdana"/>
          <w:sz w:val="20"/>
          <w:szCs w:val="20"/>
        </w:rPr>
      </w:r>
    </w:p>
    <w:p>
      <w:pPr>
        <w:pStyle w:val="Normal"/>
        <w:numPr>
          <w:ilvl w:val="0"/>
          <w:numId w:val="3"/>
        </w:numPr>
        <w:jc w:val="both"/>
        <w:rPr>
          <w:rFonts w:ascii="Verdana" w:hAnsi="Verdana" w:cs="Arial"/>
          <w:sz w:val="20"/>
          <w:szCs w:val="20"/>
        </w:rPr>
      </w:pPr>
      <w:r>
        <w:rPr>
          <w:rFonts w:cs="Arial" w:ascii="Verdana" w:hAnsi="Verdana"/>
          <w:sz w:val="20"/>
          <w:szCs w:val="20"/>
        </w:rPr>
        <w:t xml:space="preserve">Aux salariés CDD ou intérimaires qui intègrent l’entreprise pour la période estivale (juillet août) et qui signe un CDI en septembre. Le versement de la prime interviendra alors sur la paie du mois d’octobre. </w:t>
      </w:r>
    </w:p>
    <w:p>
      <w:pPr>
        <w:pStyle w:val="Normal"/>
        <w:numPr>
          <w:ilvl w:val="0"/>
          <w:numId w:val="3"/>
        </w:numPr>
        <w:jc w:val="both"/>
        <w:rPr>
          <w:rFonts w:ascii="Verdana" w:hAnsi="Verdana" w:cs="Arial"/>
          <w:sz w:val="20"/>
          <w:szCs w:val="20"/>
        </w:rPr>
      </w:pPr>
      <w:r>
        <w:rPr>
          <w:rFonts w:cs="Arial" w:ascii="Verdana" w:hAnsi="Verdana"/>
          <w:sz w:val="20"/>
          <w:szCs w:val="20"/>
        </w:rPr>
        <w:t>Aux salariés CDD ou intérimaires qui ont travaillé plus de 3 mois sur les 6 premiers mois de l’année civile en cours.</w:t>
      </w:r>
    </w:p>
    <w:p>
      <w:pPr>
        <w:pStyle w:val="Normal"/>
        <w:ind w:left="360" w:hanging="0"/>
        <w:jc w:val="both"/>
        <w:rPr>
          <w:rFonts w:ascii="Verdana" w:hAnsi="Verdana" w:cs="Arial"/>
          <w:sz w:val="20"/>
          <w:szCs w:val="20"/>
        </w:rPr>
      </w:pPr>
      <w:r>
        <w:rPr>
          <w:rFonts w:cs="Arial" w:ascii="Verdana" w:hAnsi="Verdana"/>
          <w:sz w:val="20"/>
          <w:szCs w:val="20"/>
        </w:rPr>
      </w:r>
    </w:p>
    <w:p>
      <w:pPr>
        <w:pStyle w:val="Heading1"/>
        <w:numPr>
          <w:ilvl w:val="0"/>
          <w:numId w:val="1"/>
        </w:numPr>
        <w:rPr>
          <w:rFonts w:ascii="Verdana" w:hAnsi="Verdana" w:cs="Verdana"/>
          <w:sz w:val="20"/>
          <w:szCs w:val="20"/>
        </w:rPr>
      </w:pPr>
      <w:r>
        <w:rPr>
          <w:rFonts w:cs="Verdana" w:ascii="Verdana" w:hAnsi="Verdana"/>
          <w:sz w:val="20"/>
          <w:szCs w:val="20"/>
        </w:rPr>
      </w:r>
    </w:p>
    <w:p>
      <w:pPr>
        <w:pStyle w:val="Heading1"/>
        <w:numPr>
          <w:ilvl w:val="0"/>
          <w:numId w:val="1"/>
        </w:numPr>
        <w:rPr>
          <w:rFonts w:ascii="Verdana" w:hAnsi="Verdana" w:cs="Verdana"/>
          <w:szCs w:val="20"/>
        </w:rPr>
      </w:pPr>
      <w:r>
        <w:rPr>
          <w:rFonts w:cs="Verdana" w:ascii="Verdana" w:hAnsi="Verdana"/>
          <w:szCs w:val="20"/>
        </w:rPr>
        <w:t>ARTICLE 3 – GRILLE DE SALAIRE MAINTENANCE</w:t>
      </w:r>
    </w:p>
    <w:p>
      <w:pPr>
        <w:pStyle w:val="Normal"/>
        <w:jc w:val="both"/>
        <w:rPr>
          <w:rFonts w:ascii="Verdana" w:hAnsi="Verdana" w:cs="Arial"/>
          <w:sz w:val="20"/>
          <w:szCs w:val="20"/>
        </w:rPr>
      </w:pPr>
      <w:r>
        <w:rPr>
          <w:rFonts w:cs="Arial" w:ascii="Verdana" w:hAnsi="Verdana"/>
          <w:sz w:val="20"/>
          <w:szCs w:val="20"/>
        </w:rPr>
      </w:r>
    </w:p>
    <w:p>
      <w:pPr>
        <w:pStyle w:val="Normal"/>
        <w:jc w:val="both"/>
        <w:rPr>
          <w:rFonts w:ascii="Verdana" w:hAnsi="Verdana" w:cs="Arial"/>
          <w:sz w:val="20"/>
          <w:szCs w:val="20"/>
        </w:rPr>
      </w:pPr>
      <w:r>
        <w:rPr>
          <w:rFonts w:cs="Arial" w:ascii="Verdana" w:hAnsi="Verdana"/>
          <w:sz w:val="20"/>
          <w:szCs w:val="20"/>
        </w:rPr>
        <w:t>La direction s’engage à étudier la revalorisation des salaires de l’atelier, chaque salarié sera reçu individuellement.</w:t>
      </w:r>
    </w:p>
    <w:p>
      <w:pPr>
        <w:pStyle w:val="Normal"/>
        <w:jc w:val="both"/>
        <w:rPr>
          <w:rFonts w:ascii="Verdana" w:hAnsi="Verdana" w:cs="Arial"/>
          <w:sz w:val="20"/>
          <w:szCs w:val="20"/>
        </w:rPr>
      </w:pPr>
      <w:r>
        <w:rPr>
          <w:rFonts w:cs="Arial" w:ascii="Verdana" w:hAnsi="Verdana"/>
          <w:sz w:val="20"/>
          <w:szCs w:val="20"/>
        </w:rPr>
      </w:r>
    </w:p>
    <w:p>
      <w:pPr>
        <w:pStyle w:val="Normal"/>
        <w:ind w:left="720" w:hanging="0"/>
        <w:jc w:val="both"/>
        <w:rPr>
          <w:rFonts w:ascii="Verdana" w:hAnsi="Verdana" w:cs="Arial"/>
          <w:sz w:val="20"/>
          <w:szCs w:val="20"/>
        </w:rPr>
      </w:pPr>
      <w:r>
        <w:rPr>
          <w:rFonts w:cs="Arial" w:ascii="Verdana" w:hAnsi="Verdana"/>
          <w:sz w:val="20"/>
          <w:szCs w:val="20"/>
        </w:rPr>
      </w:r>
    </w:p>
    <w:p>
      <w:pPr>
        <w:pStyle w:val="Heading1"/>
        <w:numPr>
          <w:ilvl w:val="0"/>
          <w:numId w:val="1"/>
        </w:numPr>
        <w:jc w:val="both"/>
        <w:rPr>
          <w:rFonts w:ascii="Verdana" w:hAnsi="Verdana" w:cs="Verdana"/>
          <w:szCs w:val="20"/>
        </w:rPr>
      </w:pPr>
      <w:r>
        <w:rPr>
          <w:rFonts w:cs="Verdana" w:ascii="Verdana" w:hAnsi="Verdana"/>
          <w:szCs w:val="20"/>
        </w:rPr>
        <w:t>ARTICLE 5 – PUBLICITE</w:t>
      </w:r>
    </w:p>
    <w:p>
      <w:pPr>
        <w:pStyle w:val="Normal"/>
        <w:jc w:val="both"/>
        <w:rPr>
          <w:rFonts w:ascii="Verdana" w:hAnsi="Verdana" w:cs="Verdana"/>
          <w:sz w:val="20"/>
          <w:szCs w:val="20"/>
        </w:rPr>
      </w:pPr>
      <w:r>
        <w:rPr>
          <w:rFonts w:cs="Verdana" w:ascii="Verdana" w:hAnsi="Verdana"/>
          <w:sz w:val="20"/>
          <w:szCs w:val="20"/>
        </w:rPr>
      </w:r>
    </w:p>
    <w:p>
      <w:pPr>
        <w:pStyle w:val="Normal"/>
        <w:spacing w:lineRule="auto" w:line="276"/>
        <w:jc w:val="both"/>
        <w:rPr>
          <w:rFonts w:ascii="Verdana" w:hAnsi="Verdana" w:cs="Arial"/>
          <w:sz w:val="20"/>
          <w:szCs w:val="20"/>
        </w:rPr>
      </w:pPr>
      <w:r>
        <w:rPr>
          <w:rFonts w:cs="Arial" w:ascii="Verdana" w:hAnsi="Verdana"/>
          <w:sz w:val="20"/>
          <w:szCs w:val="20"/>
        </w:rPr>
        <w:t xml:space="preserve">Le </w:t>
      </w:r>
      <w:bookmarkStart w:id="2" w:name="_Hlk13237097"/>
      <w:r>
        <w:rPr>
          <w:rFonts w:cs="Arial" w:ascii="Verdana" w:hAnsi="Verdana"/>
          <w:sz w:val="20"/>
          <w:szCs w:val="20"/>
        </w:rPr>
        <w:t>présent accord donnera lieu à dépôt dans les conditions prévues aux articles L. 2231-6 et D. 2231-2 et suivants du Code du travail. Il sera déposé :</w:t>
      </w:r>
    </w:p>
    <w:p>
      <w:pPr>
        <w:pStyle w:val="Normal"/>
        <w:spacing w:lineRule="auto" w:line="276"/>
        <w:jc w:val="both"/>
        <w:rPr>
          <w:rFonts w:ascii="Verdana" w:hAnsi="Verdana" w:cs="Arial"/>
          <w:sz w:val="20"/>
          <w:szCs w:val="20"/>
        </w:rPr>
      </w:pPr>
      <w:r>
        <w:rPr>
          <w:rFonts w:cs="Arial" w:ascii="Verdana" w:hAnsi="Verdana"/>
          <w:sz w:val="20"/>
          <w:szCs w:val="20"/>
        </w:rPr>
      </w:r>
    </w:p>
    <w:p>
      <w:pPr>
        <w:pStyle w:val="Normal"/>
        <w:numPr>
          <w:ilvl w:val="0"/>
          <w:numId w:val="2"/>
        </w:numPr>
        <w:spacing w:lineRule="auto" w:line="276"/>
        <w:jc w:val="both"/>
        <w:rPr>
          <w:rFonts w:ascii="Verdana" w:hAnsi="Verdana" w:cs="Arial"/>
          <w:sz w:val="20"/>
          <w:szCs w:val="20"/>
        </w:rPr>
      </w:pPr>
      <w:r>
        <w:rPr>
          <w:rFonts w:cs="Arial" w:ascii="Verdana" w:hAnsi="Verdana"/>
          <w:sz w:val="20"/>
          <w:szCs w:val="20"/>
        </w:rPr>
        <w:t>sur la plateforme de téléprocédure dénommée «TéléAccords » accompagné des pièces prévues à l’article D. 2231-7 du Code du travail ;</w:t>
      </w:r>
    </w:p>
    <w:p>
      <w:pPr>
        <w:pStyle w:val="Normal"/>
        <w:numPr>
          <w:ilvl w:val="0"/>
          <w:numId w:val="2"/>
        </w:numPr>
        <w:spacing w:lineRule="auto" w:line="276"/>
        <w:jc w:val="both"/>
        <w:rPr>
          <w:rFonts w:ascii="Verdana" w:hAnsi="Verdana" w:cs="Arial"/>
          <w:sz w:val="20"/>
          <w:szCs w:val="20"/>
        </w:rPr>
      </w:pPr>
      <w:r>
        <w:rPr>
          <w:rFonts w:cs="Arial" w:ascii="Verdana" w:hAnsi="Verdana"/>
          <w:sz w:val="20"/>
          <w:szCs w:val="20"/>
        </w:rPr>
        <w:t xml:space="preserve">et en un exemplaire auprès du greffe du conseil de prud'hommes de </w:t>
      </w:r>
      <w:bookmarkEnd w:id="2"/>
      <w:r>
        <w:rPr>
          <w:rFonts w:cs="Arial" w:ascii="Verdana" w:hAnsi="Verdana"/>
          <w:sz w:val="20"/>
          <w:szCs w:val="20"/>
        </w:rPr>
        <w:t>Bayonne.</w:t>
      </w:r>
    </w:p>
    <w:p>
      <w:pPr>
        <w:pStyle w:val="Normal"/>
        <w:jc w:val="both"/>
        <w:rPr>
          <w:rFonts w:ascii="Verdana" w:hAnsi="Verdana" w:cs="Arial"/>
          <w:sz w:val="20"/>
          <w:szCs w:val="20"/>
        </w:rPr>
      </w:pPr>
      <w:r>
        <w:rPr>
          <w:rFonts w:cs="Arial" w:ascii="Verdana" w:hAnsi="Verdana"/>
          <w:sz w:val="20"/>
          <w:szCs w:val="20"/>
        </w:rPr>
      </w:r>
    </w:p>
    <w:p>
      <w:pPr>
        <w:pStyle w:val="Normal"/>
        <w:tabs>
          <w:tab w:val="left" w:pos="1134" w:leader="none"/>
        </w:tabs>
        <w:rPr>
          <w:rFonts w:ascii="Verdana" w:hAnsi="Verdana" w:cs="Arial"/>
          <w:b/>
          <w:b/>
          <w:bCs/>
          <w:sz w:val="20"/>
          <w:szCs w:val="20"/>
        </w:rPr>
      </w:pPr>
      <w:r>
        <w:rPr>
          <w:rFonts w:cs="Arial" w:ascii="Verdana" w:hAnsi="Verdana"/>
          <w:b/>
          <w:bCs/>
          <w:sz w:val="20"/>
          <w:szCs w:val="20"/>
        </w:rPr>
        <w:t>Fait à Saint Jean de Luz, le 20 mai 2022</w:t>
      </w:r>
    </w:p>
    <w:p>
      <w:pPr>
        <w:pStyle w:val="Normal"/>
        <w:rPr>
          <w:rFonts w:ascii="Verdana" w:hAnsi="Verdana" w:cs="Arial"/>
          <w:b/>
          <w:b/>
          <w:bCs/>
          <w:sz w:val="20"/>
          <w:szCs w:val="20"/>
        </w:rPr>
      </w:pPr>
      <w:r>
        <w:rPr>
          <w:rFonts w:cs="Arial" w:ascii="Verdana" w:hAnsi="Verdana"/>
          <w:b/>
          <w:bCs/>
          <w:sz w:val="20"/>
          <w:szCs w:val="20"/>
        </w:rPr>
      </w:r>
    </w:p>
    <w:p>
      <w:pPr>
        <w:pStyle w:val="Normal"/>
        <w:tabs>
          <w:tab w:val="left" w:pos="1134" w:leader="none"/>
        </w:tabs>
        <w:rPr>
          <w:rFonts w:ascii="Verdana" w:hAnsi="Verdana" w:cs="Arial"/>
          <w:b/>
          <w:b/>
          <w:bCs/>
          <w:sz w:val="20"/>
          <w:szCs w:val="20"/>
        </w:rPr>
      </w:pPr>
      <w:r>
        <w:rPr>
          <w:rFonts w:cs="Arial" w:ascii="Verdana" w:hAnsi="Verdana"/>
          <w:b/>
          <w:bCs/>
          <w:sz w:val="20"/>
          <w:szCs w:val="20"/>
        </w:rPr>
        <w:t>Signature Direction</w:t>
        <w:tab/>
        <w:tab/>
        <w:tab/>
        <w:tab/>
        <w:t>Signature Organisation Syndicale</w:t>
      </w:r>
    </w:p>
    <w:p>
      <w:pPr>
        <w:pStyle w:val="Normal"/>
        <w:tabs>
          <w:tab w:val="left" w:pos="1134" w:leader="none"/>
        </w:tabs>
        <w:rPr>
          <w:rFonts w:ascii="Verdana" w:hAnsi="Verdana" w:cs="Arial"/>
          <w:b/>
          <w:b/>
          <w:bCs/>
          <w:sz w:val="20"/>
          <w:szCs w:val="20"/>
        </w:rPr>
      </w:pPr>
      <w:r>
        <w:rPr>
          <w:rFonts w:cs="Arial" w:ascii="Verdana" w:hAnsi="Verdana"/>
          <w:b/>
          <w:bCs/>
          <w:sz w:val="20"/>
          <w:szCs w:val="20"/>
        </w:rPr>
      </w:r>
    </w:p>
    <w:p>
      <w:pPr>
        <w:pStyle w:val="Normal"/>
        <w:tabs>
          <w:tab w:val="left" w:pos="1134" w:leader="none"/>
        </w:tabs>
        <w:rPr>
          <w:rFonts w:ascii="Verdana" w:hAnsi="Verdana" w:cs="Arial"/>
          <w:sz w:val="20"/>
          <w:szCs w:val="20"/>
        </w:rPr>
      </w:pPr>
      <w:r>
        <w:rPr>
          <w:rFonts w:cs="Arial" w:ascii="Verdana" w:hAnsi="Verdana"/>
          <w:sz w:val="20"/>
          <w:szCs w:val="20"/>
        </w:rPr>
      </w:r>
    </w:p>
    <w:p>
      <w:pPr>
        <w:pStyle w:val="Normal"/>
        <w:tabs>
          <w:tab w:val="left" w:pos="1134" w:leader="none"/>
        </w:tabs>
        <w:rPr>
          <w:rFonts w:ascii="Verdana" w:hAnsi="Verdana" w:cs="Arial"/>
          <w:sz w:val="20"/>
          <w:szCs w:val="20"/>
        </w:rPr>
      </w:pPr>
      <w:r>
        <w:rPr>
          <w:rFonts w:cs="Arial" w:ascii="Verdana" w:hAnsi="Verdana"/>
          <w:sz w:val="20"/>
          <w:szCs w:val="20"/>
        </w:rPr>
      </w:r>
    </w:p>
    <w:p>
      <w:pPr>
        <w:pStyle w:val="Normal"/>
        <w:rPr>
          <w:rFonts w:ascii="Verdana" w:hAnsi="Verdana" w:cs="Arial"/>
          <w:sz w:val="20"/>
          <w:szCs w:val="20"/>
        </w:rPr>
      </w:pPr>
      <w:r>
        <w:rPr>
          <w:rFonts w:cs="Arial" w:ascii="Verdana" w:hAnsi="Verdana"/>
          <w:sz w:val="20"/>
          <w:szCs w:val="20"/>
        </w:rPr>
      </w:r>
    </w:p>
    <w:p>
      <w:pPr>
        <w:pStyle w:val="Normal"/>
        <w:rPr>
          <w:rFonts w:ascii="Verdana" w:hAnsi="Verdana" w:cs="Arial"/>
          <w:sz w:val="20"/>
          <w:szCs w:val="20"/>
        </w:rPr>
      </w:pPr>
      <w:r>
        <w:rPr>
          <w:rFonts w:cs="Arial" w:ascii="Verdana" w:hAnsi="Verdana"/>
          <w:sz w:val="20"/>
          <w:szCs w:val="20"/>
        </w:rPr>
      </w:r>
    </w:p>
    <w:sectPr>
      <w:type w:val="nextPage"/>
      <w:pgSz w:w="11906" w:h="16838"/>
      <w:pgMar w:left="1418" w:right="1418" w:header="0" w:top="1418"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ucida Sans Unicode">
    <w:charset w:val="00"/>
    <w:family w:val="swiss"/>
    <w:pitch w:val="variable"/>
  </w:font>
  <w:font w:name="Courier New">
    <w:charset w:val="00"/>
    <w:family w:val="modern"/>
    <w:pitch w:val="default"/>
  </w:font>
  <w:font w:name="Wingdings">
    <w:charset w:val="02"/>
    <w:family w:val="auto"/>
    <w:pitch w:val="variable"/>
  </w:font>
  <w:font w:name="Verdana">
    <w:charset w:val="00"/>
    <w:family w:val="swiss"/>
    <w:pitch w:val="variable"/>
  </w:font>
  <w:font w:name="Tahoma">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numFmt w:val="bullet"/>
      <w:lvlText w:val="-"/>
      <w:lvlJc w:val="left"/>
      <w:pPr>
        <w:ind w:left="720" w:hanging="360"/>
      </w:pPr>
      <w:rPr>
        <w:rFonts w:ascii="Lucida Sans Unicode" w:hAnsi="Lucida Sans Unicode" w:cs="Lucida Sans Unicode" w:hint="default"/>
        <w:rFonts w:cs="Lucida Sans Unicode"/>
      </w:rPr>
    </w:lvl>
  </w:abstractNum>
  <w:abstractNum w:abstractNumId="3">
    <w:lvl w:ilvl="0">
      <w:start w:val="2"/>
      <w:numFmt w:val="bullet"/>
      <w:lvlText w:val="-"/>
      <w:lvlJc w:val="left"/>
      <w:pPr>
        <w:ind w:left="720" w:hanging="360"/>
      </w:pPr>
      <w:rPr>
        <w:rFonts w:ascii="Verdana" w:hAnsi="Verdana" w:cs="Verdana" w:hint="default"/>
        <w:rFonts w:cs="Aria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paragraph" w:styleId="Heading1">
    <w:name w:val="Heading 1"/>
    <w:basedOn w:val="Normal"/>
    <w:next w:val="Normal"/>
    <w:qFormat/>
    <w:pPr>
      <w:keepNext w:val="true"/>
      <w:numPr>
        <w:ilvl w:val="0"/>
        <w:numId w:val="1"/>
      </w:numPr>
      <w:outlineLvl w:val="0"/>
    </w:pPr>
    <w:rPr>
      <w:rFonts w:ascii="Arial" w:hAnsi="Arial" w:cs="Arial"/>
      <w:b/>
      <w:bCs/>
      <w:sz w:val="20"/>
      <w:u w:val="single"/>
    </w:rPr>
  </w:style>
  <w:style w:type="paragraph" w:styleId="Heading2">
    <w:name w:val="Heading 2"/>
    <w:basedOn w:val="Normal"/>
    <w:next w:val="Normal"/>
    <w:qFormat/>
    <w:pPr>
      <w:keepNext w:val="true"/>
      <w:numPr>
        <w:ilvl w:val="1"/>
        <w:numId w:val="1"/>
      </w:numPr>
      <w:outlineLvl w:val="1"/>
    </w:pPr>
    <w:rPr>
      <w:rFonts w:ascii="Arial" w:hAnsi="Arial" w:cs="Arial"/>
      <w:sz w:val="20"/>
      <w:u w:val="single"/>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Lucida Sans Unicode" w:hAnsi="Lucida Sans Unicode" w:eastAsia="PMingLiU;新細明體" w:cs="Lucida Sans Unicode"/>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Arial" w:hAnsi="Arial" w:eastAsia="Times New Roman" w:cs="Aria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Verdana" w:hAnsi="Verdana" w:eastAsia="Times New Roman" w:cs="Aria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Policepardfaut">
    <w:name w:val="Police par défaut"/>
    <w:qFormat/>
    <w:rPr/>
  </w:style>
  <w:style w:type="character" w:styleId="RetraitcorpsdetexteCar">
    <w:name w:val="Retrait corps de texte Car"/>
    <w:qFormat/>
    <w:rPr>
      <w:sz w:val="24"/>
      <w:szCs w:val="24"/>
    </w:rPr>
  </w:style>
  <w:style w:type="paragraph" w:styleId="Heading">
    <w:name w:val="Heading"/>
    <w:basedOn w:val="Normal"/>
    <w:next w:val="TextBody"/>
    <w:qFormat/>
    <w:pPr>
      <w:jc w:val="center"/>
    </w:pPr>
    <w:rPr>
      <w:rFonts w:ascii="Arial" w:hAnsi="Arial" w:cs="Arial"/>
      <w:b/>
      <w:bCs/>
      <w:sz w:val="20"/>
    </w:rPr>
  </w:style>
  <w:style w:type="paragraph" w:styleId="TextBody">
    <w:name w:val="Body Text"/>
    <w:basedOn w:val="Normal"/>
    <w:pPr/>
    <w:rPr>
      <w:rFonts w:ascii="Arial" w:hAnsi="Arial" w:cs="Arial"/>
      <w:sz w:val="20"/>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Textedebulles">
    <w:name w:val="Texte de bulles"/>
    <w:basedOn w:val="Normal"/>
    <w:qFormat/>
    <w:pPr/>
    <w:rPr>
      <w:rFonts w:ascii="Tahoma" w:hAnsi="Tahoma" w:cs="Tahoma"/>
      <w:sz w:val="16"/>
      <w:szCs w:val="16"/>
    </w:rPr>
  </w:style>
  <w:style w:type="paragraph" w:styleId="Textebrut">
    <w:name w:val="Texte brut"/>
    <w:basedOn w:val="Normal"/>
    <w:qFormat/>
    <w:pPr/>
    <w:rPr>
      <w:rFonts w:ascii="Courier New" w:hAnsi="Courier New" w:cs="Courier New"/>
      <w:sz w:val="20"/>
      <w:szCs w:val="20"/>
    </w:rPr>
  </w:style>
  <w:style w:type="paragraph" w:styleId="TextBodyIndent">
    <w:name w:val="Body Text Indent"/>
    <w:basedOn w:val="Normal"/>
    <w:pPr>
      <w:spacing w:before="0" w:after="120"/>
      <w:ind w:left="283"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2022-06-01T17:21:00Z</dcterms:created>
  <dc:creator/>
  <dc:description/>
  <dc:language>en-GB</dc:language>
  <cp:lastModifiedBy/>
  <cp:lastPrinted>2022-05-24T11:30:00Z</cp:lastPrinted>
  <dcterms:modified xsi:type="dcterms:W3CDTF">2022-06-01T17:21:00Z</dcterms:modified>
  <cp:revision>2</cp:revision>
  <dc:subject/>
  <dc:title>PROCES VERBAL DE DESACCORD</dc:title>
</cp:coreProperties>
</file>