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7A5DBE" w:rsidR="007C51CF" w:rsidRDefault="007C51CF">
      <w:pPr>
        <w:pStyle w:val="Sansinterligne"/>
      </w:pPr>
    </w:p>
    <w:p w:rsidP="007A5DBE" w:rsidR="007C51CF" w:rsidRDefault="007C51CF">
      <w:pPr>
        <w:pStyle w:val="Sansinterligne"/>
      </w:pPr>
    </w:p>
    <w:p w:rsidP="007A5DBE" w:rsidR="007C51CF" w:rsidRDefault="007C51CF">
      <w:pPr>
        <w:pStyle w:val="Sansinterligne"/>
      </w:pPr>
    </w:p>
    <w:p w:rsidP="007A5DBE" w:rsidR="007C51CF" w:rsidRDefault="007C51CF">
      <w:pPr>
        <w:pStyle w:val="Sansinterligne"/>
      </w:pPr>
    </w:p>
    <w:p w:rsidP="007A5DBE" w:rsidR="007C51CF" w:rsidRDefault="007C51CF">
      <w:pPr>
        <w:pStyle w:val="Sansinterligne"/>
      </w:pPr>
    </w:p>
    <w:p w:rsidP="001C3619" w:rsidR="00467D2F" w:rsidRDefault="00467D2F">
      <w:pPr>
        <w:pStyle w:val="Sansinterligne"/>
        <w:jc w:val="center"/>
        <w:rPr>
          <w:b/>
          <w:sz w:val="48"/>
          <w:szCs w:val="48"/>
        </w:rPr>
      </w:pPr>
    </w:p>
    <w:p w:rsidP="001C3619" w:rsidR="001C3619" w:rsidRDefault="001C3619" w:rsidRPr="001C3619">
      <w:pPr>
        <w:pStyle w:val="Sansinterligne"/>
        <w:jc w:val="center"/>
        <w:rPr>
          <w:b/>
          <w:sz w:val="48"/>
          <w:szCs w:val="48"/>
        </w:rPr>
      </w:pPr>
      <w:r w:rsidRPr="001C3619">
        <w:rPr>
          <w:b/>
          <w:sz w:val="48"/>
          <w:szCs w:val="48"/>
        </w:rPr>
        <w:t>NEGOCIATION ANNUELLE OBLIGATOIRE</w:t>
      </w:r>
      <w:r w:rsidR="008F1661">
        <w:rPr>
          <w:b/>
          <w:sz w:val="48"/>
          <w:szCs w:val="48"/>
        </w:rPr>
        <w:t xml:space="preserve"> 2023</w:t>
      </w:r>
    </w:p>
    <w:p w:rsidP="001C3619" w:rsidR="007C51CF" w:rsidRDefault="001C3619" w:rsidRPr="001C3619">
      <w:pPr>
        <w:pStyle w:val="Sansinterligne"/>
        <w:jc w:val="center"/>
        <w:rPr>
          <w:b/>
          <w:sz w:val="18"/>
          <w:szCs w:val="18"/>
        </w:rPr>
      </w:pPr>
      <w:r w:rsidRPr="001C3619">
        <w:rPr>
          <w:b/>
          <w:sz w:val="48"/>
          <w:szCs w:val="48"/>
        </w:rPr>
        <w:t>OPH65</w:t>
      </w:r>
    </w:p>
    <w:p w:rsidP="001C3619" w:rsidR="001C3619" w:rsidRDefault="001C3619" w:rsidRPr="001C3619">
      <w:pPr>
        <w:pStyle w:val="Sansinterligne"/>
        <w:jc w:val="center"/>
        <w:rPr>
          <w:b/>
          <w:sz w:val="18"/>
          <w:szCs w:val="18"/>
        </w:rPr>
      </w:pPr>
    </w:p>
    <w:p w:rsidP="007C51CF" w:rsidR="00472E7C" w:rsidRDefault="007A5DBE" w:rsidRPr="001C3619">
      <w:pPr>
        <w:pStyle w:val="Sansinterligne"/>
        <w:pBdr>
          <w:bottom w:color="auto" w:space="1" w:sz="4" w:val="single"/>
        </w:pBdr>
        <w:jc w:val="center"/>
        <w:rPr>
          <w:b/>
          <w:sz w:val="48"/>
          <w:szCs w:val="48"/>
        </w:rPr>
      </w:pPr>
      <w:r w:rsidRPr="001C3619">
        <w:rPr>
          <w:b/>
          <w:sz w:val="48"/>
          <w:szCs w:val="48"/>
        </w:rPr>
        <w:t xml:space="preserve">PROCES VERBAL </w:t>
      </w:r>
      <w:r w:rsidR="00E97C8C" w:rsidRPr="00E97C8C">
        <w:rPr>
          <w:b/>
          <w:sz w:val="48"/>
          <w:szCs w:val="48"/>
        </w:rPr>
        <w:t>D’ACCORD ANNUEL D’ENTREPRISE</w:t>
      </w:r>
    </w:p>
    <w:p w:rsidP="007A5DBE" w:rsidR="00AA1955" w:rsidRDefault="00AA1955">
      <w:pPr>
        <w:pStyle w:val="Sansinterligne"/>
      </w:pPr>
    </w:p>
    <w:p w:rsidP="007A5DBE" w:rsidR="00AA1955" w:rsidRDefault="00AA1955">
      <w:pPr>
        <w:pStyle w:val="Sansinterligne"/>
      </w:pPr>
    </w:p>
    <w:p w:rsidP="007A5DBE" w:rsidR="00AA1955" w:rsidRDefault="00AA1955">
      <w:pPr>
        <w:pStyle w:val="Sansinterligne"/>
      </w:pPr>
    </w:p>
    <w:p w:rsidP="00AA1955" w:rsidR="00AA1955" w:rsidRDefault="00AA1955">
      <w:pPr>
        <w:pStyle w:val="Sansinterligne"/>
        <w:jc w:val="both"/>
      </w:pPr>
      <w:r>
        <w:t xml:space="preserve">L’Office Public de l’Habitat des Hautes-Pyrénées – OPH65 – dont le siège social se situe : 28 Rue des Haras – BP 70816 – 65008 TARBES Cedex, </w:t>
      </w:r>
    </w:p>
    <w:p w:rsidP="00AA1955" w:rsidR="00AA1955" w:rsidRDefault="00AA1955">
      <w:pPr>
        <w:pStyle w:val="Sansinterligne"/>
        <w:jc w:val="both"/>
      </w:pPr>
      <w:r>
        <w:t>Représenté par,</w:t>
      </w:r>
    </w:p>
    <w:p w:rsidP="00AA1955" w:rsidR="00AA1955" w:rsidRDefault="00AA1955">
      <w:pPr>
        <w:pStyle w:val="Sansinterligne"/>
        <w:jc w:val="both"/>
      </w:pPr>
    </w:p>
    <w:p w:rsidP="00AA1955" w:rsidR="00AA1955" w:rsidRDefault="00AA1955">
      <w:pPr>
        <w:pStyle w:val="Sansinterligne"/>
        <w:jc w:val="both"/>
      </w:pPr>
      <w:r>
        <w:t>D’une part,</w:t>
      </w:r>
    </w:p>
    <w:p w:rsidP="007A5DBE" w:rsidR="00AA1955" w:rsidRDefault="00AA1955">
      <w:pPr>
        <w:pStyle w:val="Sansinterligne"/>
      </w:pPr>
    </w:p>
    <w:p w:rsidP="007A5DBE" w:rsidR="00AA1955" w:rsidRDefault="00AA1955">
      <w:pPr>
        <w:pStyle w:val="Sansinterligne"/>
      </w:pPr>
      <w:r>
        <w:t>ET</w:t>
      </w:r>
    </w:p>
    <w:p w:rsidP="007A5DBE" w:rsidR="00AA1955" w:rsidRDefault="00AA1955">
      <w:pPr>
        <w:pStyle w:val="Sansinterligne"/>
      </w:pPr>
    </w:p>
    <w:p w:rsidP="00AA1955" w:rsidR="00AA1955" w:rsidRDefault="008F1661">
      <w:pPr>
        <w:pStyle w:val="Sansinterligne"/>
        <w:jc w:val="both"/>
      </w:pPr>
      <w:r w:rsidRPr="008F1661">
        <w:t xml:space="preserve">L’organisation syndicale </w:t>
      </w:r>
      <w:bookmarkStart w:id="0" w:name="_GoBack"/>
      <w:bookmarkEnd w:id="0"/>
      <w:r w:rsidR="00704D37" w:rsidRPr="00704D37">
        <w:t>CFTC, représentative des salariés, représentée par</w:t>
      </w:r>
    </w:p>
    <w:p w:rsidP="00AA1955" w:rsidR="00AA1955" w:rsidRDefault="00AA1955">
      <w:pPr>
        <w:pStyle w:val="Sansinterligne"/>
        <w:jc w:val="both"/>
      </w:pPr>
    </w:p>
    <w:p w:rsidP="00AA1955" w:rsidR="00ED2FA9" w:rsidRDefault="00ED2FA9">
      <w:pPr>
        <w:pStyle w:val="Sansinterligne"/>
        <w:jc w:val="both"/>
      </w:pPr>
    </w:p>
    <w:p w:rsidP="007A5DBE" w:rsidR="007A5DBE" w:rsidRDefault="007A5DBE">
      <w:pPr>
        <w:pStyle w:val="Sansinterligne"/>
      </w:pPr>
    </w:p>
    <w:p w:rsidP="00007874" w:rsidR="007A5DBE" w:rsidRDefault="00354C59">
      <w:pPr>
        <w:pStyle w:val="Sansinterligne"/>
        <w:jc w:val="both"/>
      </w:pPr>
      <w:r>
        <w:t>D’autre part,</w:t>
      </w:r>
    </w:p>
    <w:p w:rsidP="00007874" w:rsidR="00AA1955" w:rsidRDefault="00AA1955">
      <w:pPr>
        <w:pStyle w:val="Sansinterligne"/>
        <w:jc w:val="both"/>
      </w:pPr>
    </w:p>
    <w:p w:rsidP="00007874" w:rsidR="00AA1955" w:rsidRDefault="00AA1955">
      <w:pPr>
        <w:pStyle w:val="Sansinterligne"/>
        <w:jc w:val="both"/>
      </w:pPr>
    </w:p>
    <w:p w:rsidP="00007874" w:rsidR="00354C59" w:rsidRDefault="00354C59">
      <w:pPr>
        <w:pStyle w:val="Sansinterligne"/>
        <w:jc w:val="both"/>
      </w:pPr>
      <w:r>
        <w:t>On</w:t>
      </w:r>
      <w:r w:rsidR="005A6152">
        <w:t>t établi le procès-verbal d’</w:t>
      </w:r>
      <w:r>
        <w:t>accord sur la négociation annuelle obligatoire pour l’</w:t>
      </w:r>
      <w:r w:rsidR="00AC1E70">
        <w:t>année 202</w:t>
      </w:r>
      <w:r w:rsidR="008F1661">
        <w:t>3</w:t>
      </w:r>
      <w:r w:rsidR="00AA1955">
        <w:t>.</w:t>
      </w:r>
    </w:p>
    <w:p w:rsidP="00007874" w:rsidR="00354C59" w:rsidRDefault="00354C59">
      <w:pPr>
        <w:pStyle w:val="Sansinterligne"/>
        <w:jc w:val="both"/>
      </w:pPr>
    </w:p>
    <w:p w:rsidP="00007874" w:rsidR="005A6152" w:rsidRDefault="005A6152">
      <w:pPr>
        <w:pStyle w:val="Sansinterligne"/>
        <w:jc w:val="both"/>
        <w:rPr>
          <w:b/>
          <w:u w:val="single"/>
        </w:rPr>
      </w:pPr>
    </w:p>
    <w:p w:rsidP="00007874" w:rsidR="005A6152" w:rsidRDefault="005A6152">
      <w:pPr>
        <w:pStyle w:val="Sansinterligne"/>
        <w:jc w:val="both"/>
        <w:rPr>
          <w:b/>
          <w:u w:val="single"/>
        </w:rPr>
      </w:pPr>
    </w:p>
    <w:p w:rsidP="00007874" w:rsidR="005A6152" w:rsidRDefault="005A6152">
      <w:pPr>
        <w:pStyle w:val="Sansinterligne"/>
        <w:jc w:val="both"/>
        <w:rPr>
          <w:b/>
          <w:u w:val="single"/>
        </w:rPr>
      </w:pPr>
    </w:p>
    <w:p w:rsidP="00007874" w:rsidR="005A6152" w:rsidRDefault="005A6152">
      <w:pPr>
        <w:pStyle w:val="Sansinterligne"/>
        <w:jc w:val="both"/>
        <w:rPr>
          <w:b/>
          <w:u w:val="single"/>
        </w:rPr>
      </w:pPr>
    </w:p>
    <w:p w:rsidP="00007874" w:rsidR="005A6152" w:rsidRDefault="005A6152">
      <w:pPr>
        <w:pStyle w:val="Sansinterligne"/>
        <w:jc w:val="both"/>
        <w:rPr>
          <w:b/>
          <w:u w:val="single"/>
        </w:rPr>
      </w:pPr>
    </w:p>
    <w:p w:rsidP="00007874" w:rsidR="005A6152" w:rsidRDefault="005A6152">
      <w:pPr>
        <w:pStyle w:val="Sansinterligne"/>
        <w:jc w:val="both"/>
        <w:rPr>
          <w:b/>
          <w:u w:val="single"/>
        </w:rPr>
      </w:pPr>
    </w:p>
    <w:p w:rsidP="00007874" w:rsidR="005A6152" w:rsidRDefault="005A6152">
      <w:pPr>
        <w:pStyle w:val="Sansinterligne"/>
        <w:jc w:val="both"/>
        <w:rPr>
          <w:b/>
          <w:u w:val="single"/>
        </w:rPr>
      </w:pPr>
    </w:p>
    <w:p w:rsidP="00007874" w:rsidR="005A6152" w:rsidRDefault="005A6152">
      <w:pPr>
        <w:pStyle w:val="Sansinterligne"/>
        <w:jc w:val="both"/>
        <w:rPr>
          <w:b/>
          <w:u w:val="single"/>
        </w:rPr>
      </w:pPr>
    </w:p>
    <w:p w:rsidP="00007874" w:rsidR="005A6152" w:rsidRDefault="005A6152">
      <w:pPr>
        <w:pStyle w:val="Sansinterligne"/>
        <w:jc w:val="both"/>
        <w:rPr>
          <w:b/>
          <w:u w:val="single"/>
        </w:rPr>
      </w:pPr>
    </w:p>
    <w:p w:rsidP="00007874" w:rsidR="005A6152" w:rsidRDefault="005A6152">
      <w:pPr>
        <w:pStyle w:val="Sansinterligne"/>
        <w:jc w:val="both"/>
        <w:rPr>
          <w:b/>
          <w:u w:val="single"/>
        </w:rPr>
      </w:pPr>
    </w:p>
    <w:p w:rsidP="00007874" w:rsidR="005A6152" w:rsidRDefault="005A6152">
      <w:pPr>
        <w:pStyle w:val="Sansinterligne"/>
        <w:jc w:val="both"/>
        <w:rPr>
          <w:b/>
          <w:u w:val="single"/>
        </w:rPr>
      </w:pPr>
    </w:p>
    <w:p w:rsidP="00007874" w:rsidR="005A6152" w:rsidRDefault="005A6152">
      <w:pPr>
        <w:pStyle w:val="Sansinterligne"/>
        <w:jc w:val="both"/>
        <w:rPr>
          <w:b/>
          <w:u w:val="single"/>
        </w:rPr>
      </w:pPr>
    </w:p>
    <w:p w:rsidP="00007874" w:rsidR="005A6152" w:rsidRDefault="005A6152">
      <w:pPr>
        <w:pStyle w:val="Sansinterligne"/>
        <w:jc w:val="both"/>
        <w:rPr>
          <w:b/>
          <w:u w:val="single"/>
        </w:rPr>
      </w:pPr>
    </w:p>
    <w:p w:rsidP="00007874" w:rsidR="005A6152" w:rsidRDefault="005A6152">
      <w:pPr>
        <w:pStyle w:val="Sansinterligne"/>
        <w:jc w:val="both"/>
        <w:rPr>
          <w:b/>
          <w:u w:val="single"/>
        </w:rPr>
      </w:pPr>
    </w:p>
    <w:p w:rsidP="00007874" w:rsidR="005A6152" w:rsidRDefault="005A6152">
      <w:pPr>
        <w:pStyle w:val="Sansinterligne"/>
        <w:jc w:val="both"/>
        <w:rPr>
          <w:b/>
          <w:u w:val="single"/>
        </w:rPr>
      </w:pPr>
    </w:p>
    <w:p w:rsidP="00007874" w:rsidR="005A6152" w:rsidRDefault="005A6152">
      <w:pPr>
        <w:pStyle w:val="Sansinterligne"/>
        <w:jc w:val="both"/>
        <w:rPr>
          <w:b/>
          <w:u w:val="single"/>
        </w:rPr>
      </w:pPr>
    </w:p>
    <w:p w:rsidP="00007874" w:rsidR="005A6152" w:rsidRDefault="005A6152">
      <w:pPr>
        <w:pStyle w:val="Sansinterligne"/>
        <w:jc w:val="both"/>
        <w:rPr>
          <w:b/>
          <w:u w:val="single"/>
        </w:rPr>
      </w:pPr>
    </w:p>
    <w:p w:rsidP="00007874" w:rsidR="005A6152" w:rsidRDefault="005A6152">
      <w:pPr>
        <w:pStyle w:val="Sansinterligne"/>
        <w:jc w:val="both"/>
        <w:rPr>
          <w:b/>
          <w:u w:val="single"/>
        </w:rPr>
      </w:pPr>
    </w:p>
    <w:p w:rsidP="00007874" w:rsidR="00354C59" w:rsidRDefault="00354C59" w:rsidRPr="00354C59">
      <w:pPr>
        <w:pStyle w:val="Sansinterligne"/>
        <w:jc w:val="both"/>
        <w:rPr>
          <w:b/>
          <w:u w:val="single"/>
        </w:rPr>
      </w:pPr>
      <w:r w:rsidRPr="00354C59">
        <w:rPr>
          <w:b/>
          <w:u w:val="single"/>
        </w:rPr>
        <w:t>Préambule</w:t>
      </w:r>
    </w:p>
    <w:p w:rsidP="00007874" w:rsidR="00F96CE4" w:rsidRDefault="00F96CE4">
      <w:pPr>
        <w:pStyle w:val="Sansinterligne"/>
        <w:jc w:val="both"/>
      </w:pPr>
    </w:p>
    <w:p w:rsidP="00007874" w:rsidR="00354C59" w:rsidRDefault="00C1551D">
      <w:pPr>
        <w:pStyle w:val="Sansinterligne"/>
        <w:jc w:val="both"/>
      </w:pPr>
      <w:r>
        <w:t>Dans l</w:t>
      </w:r>
      <w:r w:rsidR="00354C59">
        <w:t>e cadre</w:t>
      </w:r>
      <w:r>
        <w:t xml:space="preserve"> de la négociation annuelle obli</w:t>
      </w:r>
      <w:r w:rsidR="00AC1E70">
        <w:t>gatoire au titre de l’année 202</w:t>
      </w:r>
      <w:r w:rsidR="008F1661">
        <w:t>3</w:t>
      </w:r>
      <w:r w:rsidR="00354C59">
        <w:t xml:space="preserve">, la Direction et </w:t>
      </w:r>
      <w:r w:rsidR="00AE09CD">
        <w:t>la seule</w:t>
      </w:r>
      <w:r w:rsidR="00354C59">
        <w:t xml:space="preserve"> organisation syndicale</w:t>
      </w:r>
      <w:r w:rsidR="00AE09CD">
        <w:t xml:space="preserve"> représentative</w:t>
      </w:r>
      <w:r w:rsidR="00354C59">
        <w:t xml:space="preserve"> se sont rencontrées selon le calendrier suivant :</w:t>
      </w:r>
    </w:p>
    <w:p w:rsidP="00007874" w:rsidR="00354C59" w:rsidRDefault="00354C59">
      <w:pPr>
        <w:pStyle w:val="Sansinterligne"/>
        <w:numPr>
          <w:ilvl w:val="0"/>
          <w:numId w:val="5"/>
        </w:numPr>
        <w:jc w:val="both"/>
      </w:pPr>
      <w:r>
        <w:t>1</w:t>
      </w:r>
      <w:r w:rsidR="007C51CF">
        <w:t>è</w:t>
      </w:r>
      <w:r>
        <w:t xml:space="preserve">re réunion : </w:t>
      </w:r>
      <w:r w:rsidR="008F1661">
        <w:t>10</w:t>
      </w:r>
      <w:r w:rsidR="00C1551D">
        <w:t xml:space="preserve"> février</w:t>
      </w:r>
      <w:r w:rsidR="00AE40E0">
        <w:t xml:space="preserve">, </w:t>
      </w:r>
    </w:p>
    <w:p w:rsidP="00C1551D" w:rsidR="00354C59" w:rsidRDefault="00354C59">
      <w:pPr>
        <w:pStyle w:val="Sansinterligne"/>
        <w:numPr>
          <w:ilvl w:val="0"/>
          <w:numId w:val="5"/>
        </w:numPr>
        <w:jc w:val="both"/>
      </w:pPr>
      <w:r>
        <w:t>2</w:t>
      </w:r>
      <w:r w:rsidR="007C51CF">
        <w:t>è</w:t>
      </w:r>
      <w:r>
        <w:t xml:space="preserve">me réunion : </w:t>
      </w:r>
      <w:r w:rsidR="008F1661">
        <w:t>14 avril</w:t>
      </w:r>
      <w:r w:rsidR="00AE40E0">
        <w:t>,</w:t>
      </w:r>
      <w:r w:rsidR="003B1C12">
        <w:t xml:space="preserve"> </w:t>
      </w:r>
    </w:p>
    <w:p w:rsidP="00C1551D" w:rsidR="00354C59" w:rsidRDefault="00354C59">
      <w:pPr>
        <w:pStyle w:val="Sansinterligne"/>
        <w:numPr>
          <w:ilvl w:val="0"/>
          <w:numId w:val="5"/>
        </w:numPr>
        <w:jc w:val="both"/>
      </w:pPr>
      <w:r>
        <w:t>3</w:t>
      </w:r>
      <w:r w:rsidR="007C51CF">
        <w:t>è</w:t>
      </w:r>
      <w:r>
        <w:t xml:space="preserve">me réunion : </w:t>
      </w:r>
      <w:r w:rsidR="008F1661">
        <w:t>12 mai</w:t>
      </w:r>
      <w:r w:rsidR="00E66A64">
        <w:t xml:space="preserve">, </w:t>
      </w:r>
    </w:p>
    <w:p w:rsidP="00C1551D" w:rsidR="00354C59" w:rsidRDefault="00354C59">
      <w:pPr>
        <w:pStyle w:val="Sansinterligne"/>
        <w:numPr>
          <w:ilvl w:val="0"/>
          <w:numId w:val="5"/>
        </w:numPr>
        <w:jc w:val="both"/>
      </w:pPr>
      <w:r>
        <w:t>4</w:t>
      </w:r>
      <w:r w:rsidR="007C51CF">
        <w:t>è</w:t>
      </w:r>
      <w:r w:rsidR="008B58E1">
        <w:t xml:space="preserve">me réunion : </w:t>
      </w:r>
      <w:r w:rsidR="008F1661">
        <w:t>09 juin</w:t>
      </w:r>
      <w:r w:rsidR="00AC1E70">
        <w:t>.</w:t>
      </w:r>
    </w:p>
    <w:p w:rsidP="00C80120" w:rsidR="00C80120" w:rsidRDefault="00C80120">
      <w:pPr>
        <w:pStyle w:val="Sansinterligne"/>
        <w:ind w:left="720"/>
        <w:jc w:val="both"/>
      </w:pPr>
    </w:p>
    <w:p w:rsidP="00C80120" w:rsidR="00C80120" w:rsidRDefault="00C80120">
      <w:pPr>
        <w:pStyle w:val="Sansinterligne"/>
        <w:jc w:val="both"/>
      </w:pPr>
      <w:r w:rsidRPr="00C80120">
        <w:t>A ce titre, un accord de méthode de la négoc</w:t>
      </w:r>
      <w:r w:rsidR="00C1551D">
        <w:t>iation annuelle obligatoire 20</w:t>
      </w:r>
      <w:r w:rsidR="00AC1E70">
        <w:t>2</w:t>
      </w:r>
      <w:r w:rsidR="00AE09CD">
        <w:t>3</w:t>
      </w:r>
      <w:r w:rsidRPr="00C80120">
        <w:t xml:space="preserve"> a été signé le </w:t>
      </w:r>
      <w:r w:rsidR="008F1661">
        <w:t>10</w:t>
      </w:r>
      <w:r w:rsidR="00AC1E70">
        <w:t xml:space="preserve"> Février 202</w:t>
      </w:r>
      <w:r w:rsidR="008F1661">
        <w:t>3</w:t>
      </w:r>
      <w:r w:rsidRPr="00C80120">
        <w:t>.</w:t>
      </w:r>
    </w:p>
    <w:p w:rsidP="00C80120" w:rsidR="00C80120" w:rsidRDefault="00C80120">
      <w:pPr>
        <w:pStyle w:val="Sansinterligne"/>
        <w:jc w:val="both"/>
      </w:pPr>
    </w:p>
    <w:p w:rsidP="00C80120" w:rsidR="005D5037" w:rsidRDefault="005D5037">
      <w:pPr>
        <w:pStyle w:val="Sansinterligne"/>
        <w:jc w:val="both"/>
      </w:pPr>
      <w:r>
        <w:t>La négociation est axée autour de deux grands thèmes :</w:t>
      </w:r>
    </w:p>
    <w:p w:rsidP="005D5037" w:rsidR="005D5037" w:rsidRDefault="005D5037">
      <w:pPr>
        <w:pStyle w:val="Sansinterligne"/>
        <w:numPr>
          <w:ilvl w:val="0"/>
          <w:numId w:val="9"/>
        </w:numPr>
        <w:jc w:val="both"/>
      </w:pPr>
      <w:r>
        <w:t>La rémunération, le temps de travail, et le partage de la valeur ajoutée</w:t>
      </w:r>
    </w:p>
    <w:p w:rsidP="005D5037" w:rsidR="005D5037" w:rsidRDefault="005D5037">
      <w:pPr>
        <w:pStyle w:val="Sansinterligne"/>
        <w:numPr>
          <w:ilvl w:val="0"/>
          <w:numId w:val="9"/>
        </w:numPr>
        <w:jc w:val="both"/>
      </w:pPr>
      <w:r>
        <w:t xml:space="preserve">L’égalité professionnelle </w:t>
      </w:r>
      <w:r w:rsidR="00AC1E70">
        <w:t>entre les femmes et les hommes et la qualité de vie et des conditions au</w:t>
      </w:r>
      <w:r>
        <w:t xml:space="preserve"> travail</w:t>
      </w:r>
    </w:p>
    <w:p w:rsidP="005D5037" w:rsidR="005D5037" w:rsidRDefault="005D5037">
      <w:pPr>
        <w:pStyle w:val="Sansinterligne"/>
        <w:ind w:left="720"/>
        <w:jc w:val="both"/>
      </w:pPr>
    </w:p>
    <w:p w:rsidP="00C80120" w:rsidR="00C80120" w:rsidRDefault="008F1661">
      <w:pPr>
        <w:pStyle w:val="Sansinterligne"/>
        <w:jc w:val="both"/>
      </w:pPr>
      <w:r>
        <w:t>La Direction a informé la Déléguée Syndicale</w:t>
      </w:r>
      <w:r w:rsidR="005D5037">
        <w:t xml:space="preserve"> que les divers documents relatifs aux thèmes obligatoires évoqués lors de la Négociation Annuelle Obligatoire étaient consultables sur la BDES de l’OPH65.</w:t>
      </w:r>
    </w:p>
    <w:p w:rsidP="00C80120" w:rsidR="005D5037" w:rsidRDefault="005D5037">
      <w:pPr>
        <w:pStyle w:val="Sansinterligne"/>
        <w:jc w:val="both"/>
      </w:pPr>
    </w:p>
    <w:p w:rsidP="00C80120" w:rsidR="005D5037" w:rsidRDefault="005D5037">
      <w:pPr>
        <w:pStyle w:val="Sansinterligne"/>
        <w:jc w:val="both"/>
      </w:pPr>
      <w:r>
        <w:t>Les partenaires sociaux ont été invités à faire part des sujets qu’ils souhaitent soumettre à discussion</w:t>
      </w:r>
      <w:r w:rsidR="00AC1E70">
        <w:t xml:space="preserve"> au titre de la négociation 202</w:t>
      </w:r>
      <w:r w:rsidR="008F1661">
        <w:t>3</w:t>
      </w:r>
      <w:r>
        <w:t>.</w:t>
      </w:r>
      <w:r w:rsidR="00C05EEC">
        <w:t xml:space="preserve"> </w:t>
      </w:r>
      <w:r w:rsidR="008F1661">
        <w:t>L'</w:t>
      </w:r>
      <w:r>
        <w:t>organisat</w:t>
      </w:r>
      <w:r w:rsidR="008F1661">
        <w:t xml:space="preserve">ion syndicale CFTC a donc présenté </w:t>
      </w:r>
      <w:r w:rsidR="00C05EEC">
        <w:t>s</w:t>
      </w:r>
      <w:r w:rsidR="008F1661">
        <w:t>es</w:t>
      </w:r>
      <w:r w:rsidR="00C05EEC">
        <w:t xml:space="preserve"> </w:t>
      </w:r>
      <w:r>
        <w:t xml:space="preserve">demandes. </w:t>
      </w:r>
    </w:p>
    <w:p w:rsidP="00007874" w:rsidR="00354C59" w:rsidRDefault="00354C59">
      <w:pPr>
        <w:pStyle w:val="Sansinterligne"/>
        <w:ind w:left="360"/>
        <w:jc w:val="both"/>
      </w:pPr>
    </w:p>
    <w:p w:rsidP="00E245BE" w:rsidR="00E245BE" w:rsidRDefault="00123A37">
      <w:pPr>
        <w:pStyle w:val="Sansinterligne"/>
        <w:jc w:val="both"/>
      </w:pPr>
      <w:r>
        <w:t>Après les différentes séances de négociation, l’OPH65, en accord</w:t>
      </w:r>
      <w:r w:rsidR="008F1661">
        <w:t xml:space="preserve"> avec la seule organisation syndicale</w:t>
      </w:r>
      <w:r>
        <w:t>, reti</w:t>
      </w:r>
      <w:r w:rsidR="008F1661">
        <w:t>endra au titre de cette NAO 2023</w:t>
      </w:r>
      <w:r w:rsidR="00AC1E70">
        <w:t>, le</w:t>
      </w:r>
      <w:r w:rsidR="001E4B0E">
        <w:t>s</w:t>
      </w:r>
      <w:r w:rsidR="00AC1E70">
        <w:t xml:space="preserve"> point</w:t>
      </w:r>
      <w:r w:rsidR="001E4B0E">
        <w:t>s</w:t>
      </w:r>
      <w:r w:rsidR="00AC1E70">
        <w:t xml:space="preserve"> suivant</w:t>
      </w:r>
      <w:r w:rsidR="001E4B0E">
        <w:t>s</w:t>
      </w:r>
      <w:r>
        <w:t xml:space="preserve"> : </w:t>
      </w:r>
    </w:p>
    <w:p w:rsidP="00E245BE" w:rsidR="00E245BE" w:rsidRDefault="00E245BE">
      <w:pPr>
        <w:pStyle w:val="Sansinterligne"/>
        <w:jc w:val="both"/>
      </w:pPr>
    </w:p>
    <w:p w:rsidP="00E245BE" w:rsidR="00E245BE" w:rsidRDefault="00E245BE">
      <w:pPr>
        <w:pStyle w:val="Sansinterligne"/>
        <w:jc w:val="both"/>
      </w:pPr>
    </w:p>
    <w:p w:rsidP="00C15DC1" w:rsidR="00C15DC1" w:rsidRDefault="00C15DC1">
      <w:pPr>
        <w:pStyle w:val="Sansinterligne"/>
        <w:jc w:val="both"/>
      </w:pPr>
    </w:p>
    <w:p w:rsidP="00C15DC1" w:rsidR="00C15DC1" w:rsidRDefault="00C15DC1">
      <w:pPr>
        <w:pStyle w:val="Sansinterligne"/>
        <w:jc w:val="both"/>
      </w:pPr>
    </w:p>
    <w:p w:rsidP="00C15DC1" w:rsidR="00C15DC1" w:rsidRDefault="00C15DC1">
      <w:pPr>
        <w:pStyle w:val="Sansinterligne"/>
        <w:jc w:val="both"/>
      </w:pPr>
    </w:p>
    <w:p w:rsidP="00C15DC1" w:rsidR="00C15DC1" w:rsidRDefault="00C15DC1">
      <w:pPr>
        <w:pStyle w:val="Sansinterligne"/>
        <w:jc w:val="both"/>
      </w:pPr>
    </w:p>
    <w:p w:rsidP="00C15DC1" w:rsidR="00C15DC1" w:rsidRDefault="00C15DC1">
      <w:pPr>
        <w:pStyle w:val="Sansinterligne"/>
        <w:jc w:val="both"/>
      </w:pPr>
    </w:p>
    <w:p w:rsidP="00C15DC1" w:rsidR="00B56EEF" w:rsidRDefault="00B56EEF">
      <w:pPr>
        <w:pStyle w:val="Sansinterligne"/>
        <w:jc w:val="both"/>
      </w:pPr>
    </w:p>
    <w:p w:rsidP="00C15DC1" w:rsidR="00B56EEF" w:rsidRDefault="00B56EEF">
      <w:pPr>
        <w:pStyle w:val="Sansinterligne"/>
        <w:jc w:val="both"/>
      </w:pPr>
    </w:p>
    <w:p w:rsidP="00C15DC1" w:rsidR="00C15DC1" w:rsidRDefault="00C15DC1">
      <w:pPr>
        <w:pStyle w:val="Sansinterligne"/>
        <w:jc w:val="both"/>
      </w:pPr>
    </w:p>
    <w:p w:rsidP="00C15DC1" w:rsidR="00C15DC1" w:rsidRDefault="00C15DC1">
      <w:pPr>
        <w:pStyle w:val="Sansinterligne"/>
        <w:jc w:val="both"/>
      </w:pPr>
    </w:p>
    <w:p w:rsidP="00C15DC1" w:rsidR="00C15DC1" w:rsidRDefault="00C15DC1">
      <w:pPr>
        <w:pStyle w:val="Sansinterligne"/>
        <w:jc w:val="both"/>
      </w:pPr>
    </w:p>
    <w:p w:rsidP="00C15DC1" w:rsidR="00C15DC1" w:rsidRDefault="00C15DC1">
      <w:pPr>
        <w:pStyle w:val="Sansinterligne"/>
        <w:jc w:val="both"/>
      </w:pPr>
    </w:p>
    <w:p w:rsidP="00C15DC1" w:rsidR="00C15DC1" w:rsidRDefault="00C15DC1">
      <w:pPr>
        <w:pStyle w:val="Sansinterligne"/>
        <w:jc w:val="both"/>
      </w:pPr>
    </w:p>
    <w:p w:rsidP="00C15DC1" w:rsidR="00C15DC1" w:rsidRDefault="00C15DC1">
      <w:pPr>
        <w:pStyle w:val="Sansinterligne"/>
        <w:jc w:val="both"/>
      </w:pPr>
    </w:p>
    <w:p w:rsidP="00C15DC1" w:rsidR="00C15DC1" w:rsidRDefault="00C15DC1">
      <w:pPr>
        <w:pStyle w:val="Sansinterligne"/>
        <w:ind w:left="1440"/>
        <w:jc w:val="both"/>
      </w:pPr>
    </w:p>
    <w:p w:rsidP="00C15DC1" w:rsidR="00E14492" w:rsidRDefault="00E14492">
      <w:pPr>
        <w:pStyle w:val="Sansinterligne"/>
        <w:ind w:left="1440"/>
        <w:jc w:val="both"/>
      </w:pPr>
    </w:p>
    <w:p w:rsidP="00C15DC1" w:rsidR="00C15DC1" w:rsidRDefault="00C15DC1">
      <w:pPr>
        <w:pStyle w:val="Sansinterligne"/>
        <w:ind w:left="1440"/>
        <w:jc w:val="both"/>
      </w:pPr>
    </w:p>
    <w:p w:rsidP="00007874" w:rsidR="00392244" w:rsidRDefault="00392244">
      <w:pPr>
        <w:pStyle w:val="Sansinterligne"/>
        <w:ind w:left="360"/>
        <w:jc w:val="both"/>
        <w:rPr>
          <w:b/>
          <w:u w:val="single"/>
        </w:rPr>
      </w:pPr>
    </w:p>
    <w:p w:rsidP="00E14492" w:rsidR="00E14492" w:rsidRDefault="00E14492">
      <w:pPr>
        <w:rPr>
          <w:rFonts w:ascii="Cambria" w:hAnsi="Cambria"/>
          <w:b/>
          <w:bCs/>
          <w:sz w:val="24"/>
          <w:szCs w:val="24"/>
          <w:u w:val="single"/>
        </w:rPr>
      </w:pPr>
    </w:p>
    <w:p w:rsidP="00E14492" w:rsidR="00E14492" w:rsidRDefault="00E14492">
      <w:pPr>
        <w:rPr>
          <w:rFonts w:ascii="Cambria" w:hAnsi="Cambria"/>
          <w:b/>
          <w:bCs/>
          <w:sz w:val="24"/>
          <w:szCs w:val="24"/>
          <w:u w:val="single"/>
        </w:rPr>
      </w:pPr>
    </w:p>
    <w:p w:rsidP="00E14492" w:rsidR="00E14492" w:rsidRDefault="00E14492">
      <w:pPr>
        <w:rPr>
          <w:rFonts w:ascii="Cambria" w:hAnsi="Cambria"/>
          <w:b/>
          <w:bCs/>
          <w:sz w:val="24"/>
          <w:szCs w:val="24"/>
          <w:u w:val="single"/>
        </w:rPr>
      </w:pPr>
    </w:p>
    <w:p w:rsidP="00E14492" w:rsidR="00E14492" w:rsidRDefault="00E14492">
      <w:pPr>
        <w:rPr>
          <w:rFonts w:ascii="Cambria" w:hAnsi="Cambria"/>
          <w:b/>
          <w:bCs/>
          <w:sz w:val="24"/>
          <w:szCs w:val="24"/>
          <w:u w:val="single"/>
        </w:rPr>
      </w:pPr>
    </w:p>
    <w:p w:rsidP="00E14492" w:rsidR="00476F4C" w:rsidRDefault="00476F4C">
      <w:pPr>
        <w:rPr>
          <w:rFonts w:ascii="Cambria" w:hAnsi="Cambria"/>
          <w:b/>
          <w:bCs/>
          <w:sz w:val="24"/>
          <w:szCs w:val="24"/>
          <w:u w:val="single"/>
        </w:rPr>
      </w:pPr>
    </w:p>
    <w:p w:rsidP="00E14492" w:rsidR="00476F4C" w:rsidRDefault="00476F4C">
      <w:pPr>
        <w:rPr>
          <w:rFonts w:ascii="Cambria" w:hAnsi="Cambria"/>
          <w:b/>
          <w:bCs/>
          <w:sz w:val="24"/>
          <w:szCs w:val="24"/>
          <w:u w:val="single"/>
        </w:rPr>
      </w:pPr>
    </w:p>
    <w:p w:rsidP="00E14492" w:rsidR="00476F4C" w:rsidRDefault="00476F4C">
      <w:pPr>
        <w:rPr>
          <w:rFonts w:ascii="Cambria" w:hAnsi="Cambria"/>
          <w:b/>
          <w:bCs/>
          <w:sz w:val="24"/>
          <w:szCs w:val="24"/>
          <w:u w:val="single"/>
        </w:rPr>
      </w:pPr>
    </w:p>
    <w:p w:rsidP="00E14492" w:rsidR="00E14492" w:rsidRDefault="00E14492" w:rsidRPr="00E14492">
      <w:pPr>
        <w:rPr>
          <w:rFonts w:ascii="Cambria" w:hAnsi="Cambria"/>
          <w:b/>
          <w:bCs/>
          <w:sz w:val="24"/>
          <w:szCs w:val="24"/>
          <w:u w:val="single"/>
        </w:rPr>
      </w:pPr>
      <w:r w:rsidRPr="00E14492">
        <w:rPr>
          <w:rFonts w:ascii="Cambria" w:hAnsi="Cambria"/>
          <w:b/>
          <w:bCs/>
          <w:sz w:val="24"/>
          <w:szCs w:val="24"/>
          <w:u w:val="single"/>
        </w:rPr>
        <w:t>Article 1 – Champ d’application de l’accord :</w:t>
      </w:r>
    </w:p>
    <w:p w:rsidP="00E14492" w:rsidR="00E14492" w:rsidRDefault="00E14492" w:rsidRPr="00E14492">
      <w:pPr>
        <w:jc w:val="both"/>
        <w:rPr>
          <w:rFonts w:ascii="Cambria" w:hAnsi="Cambria"/>
          <w:sz w:val="24"/>
          <w:szCs w:val="24"/>
        </w:rPr>
      </w:pPr>
    </w:p>
    <w:p w:rsidP="00E14492" w:rsidR="00E14492" w:rsidRDefault="00E14492" w:rsidRPr="00E14492">
      <w:pPr>
        <w:jc w:val="both"/>
        <w:rPr>
          <w:rFonts w:asciiTheme="minorHAnsi" w:cstheme="minorBidi" w:eastAsiaTheme="minorHAnsi" w:hAnsiTheme="minorHAnsi"/>
          <w:sz w:val="22"/>
          <w:szCs w:val="22"/>
          <w:lang w:eastAsia="en-US"/>
        </w:rPr>
      </w:pPr>
      <w:r w:rsidRPr="00E14492">
        <w:rPr>
          <w:rFonts w:asciiTheme="minorHAnsi" w:cstheme="minorBidi" w:eastAsiaTheme="minorHAnsi" w:hAnsiTheme="minorHAnsi"/>
          <w:sz w:val="22"/>
          <w:szCs w:val="22"/>
          <w:lang w:eastAsia="en-US"/>
        </w:rPr>
        <w:t>Le présent accord s’applique </w:t>
      </w:r>
      <w:r w:rsidRPr="003E5CA2">
        <w:rPr>
          <w:rFonts w:asciiTheme="minorHAnsi" w:cstheme="minorBidi" w:eastAsiaTheme="minorHAnsi" w:hAnsiTheme="minorHAnsi"/>
          <w:sz w:val="22"/>
          <w:szCs w:val="22"/>
          <w:lang w:eastAsia="en-US"/>
        </w:rPr>
        <w:t>à l’ensemble du personnel de l’OPH65</w:t>
      </w:r>
      <w:r w:rsidR="003E5CA2">
        <w:rPr>
          <w:rFonts w:asciiTheme="minorHAnsi" w:cstheme="minorBidi" w:eastAsiaTheme="minorHAnsi" w:hAnsiTheme="minorHAnsi"/>
          <w:sz w:val="22"/>
          <w:szCs w:val="22"/>
          <w:lang w:eastAsia="en-US"/>
        </w:rPr>
        <w:t>, hors fonctionnaires.</w:t>
      </w:r>
    </w:p>
    <w:p w:rsidP="00007874" w:rsidR="00E14492" w:rsidRDefault="00E14492">
      <w:pPr>
        <w:pStyle w:val="Sansinterligne"/>
        <w:ind w:left="360"/>
        <w:jc w:val="both"/>
        <w:rPr>
          <w:b/>
          <w:u w:val="single"/>
        </w:rPr>
      </w:pPr>
    </w:p>
    <w:p w:rsidP="00007874" w:rsidR="00392244" w:rsidRDefault="00392244">
      <w:pPr>
        <w:pStyle w:val="Sansinterligne"/>
        <w:ind w:left="360"/>
        <w:jc w:val="both"/>
        <w:rPr>
          <w:b/>
          <w:u w:val="single"/>
        </w:rPr>
      </w:pPr>
    </w:p>
    <w:p w:rsidP="00E14492" w:rsidR="004A4BC9" w:rsidRDefault="00FB4523" w:rsidRPr="00E14492">
      <w:pPr>
        <w:pStyle w:val="Sansinterligne"/>
        <w:jc w:val="both"/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</w:pPr>
      <w:r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  <w:t>Article</w:t>
      </w:r>
      <w:r w:rsidR="00007874" w:rsidRPr="00E14492"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  <w:t xml:space="preserve"> 2</w:t>
      </w:r>
      <w:r w:rsidR="00E14492" w:rsidRPr="00E14492"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  <w:t xml:space="preserve">– </w:t>
      </w:r>
      <w:r w:rsidR="00B57469" w:rsidRPr="00E14492"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  <w:t>Rémunération, temps de travail et partage de la valeur ajoutée dans l’entreprise</w:t>
      </w:r>
    </w:p>
    <w:p w:rsidP="00007874" w:rsidR="00CF2AA9" w:rsidRDefault="00CF2AA9">
      <w:pPr>
        <w:pStyle w:val="Sansinterligne"/>
        <w:jc w:val="both"/>
      </w:pPr>
    </w:p>
    <w:p w:rsidP="00C540FF" w:rsidR="00B57469" w:rsidRDefault="009C6C9C">
      <w:pPr>
        <w:pStyle w:val="Sansinterligne"/>
        <w:ind w:left="360"/>
        <w:jc w:val="both"/>
        <w:rPr>
          <w:b/>
        </w:rPr>
      </w:pPr>
      <w:r>
        <w:rPr>
          <w:b/>
        </w:rPr>
        <w:t>2.1</w:t>
      </w:r>
      <w:r w:rsidR="004A4BC9" w:rsidRPr="00C540FF">
        <w:rPr>
          <w:b/>
        </w:rPr>
        <w:t xml:space="preserve"> </w:t>
      </w:r>
      <w:r w:rsidR="00AC1E70" w:rsidRPr="00AC1E70">
        <w:rPr>
          <w:b/>
        </w:rPr>
        <w:t>AUGM</w:t>
      </w:r>
      <w:r w:rsidR="00AC1E70">
        <w:rPr>
          <w:b/>
        </w:rPr>
        <w:t>ENTATIONS A CARACTERE COLLECTIF</w:t>
      </w:r>
    </w:p>
    <w:p w:rsidP="00C540FF" w:rsidR="00B57469" w:rsidRDefault="00B57469">
      <w:pPr>
        <w:pStyle w:val="Sansinterligne"/>
        <w:ind w:left="360"/>
        <w:jc w:val="both"/>
        <w:rPr>
          <w:b/>
        </w:rPr>
      </w:pPr>
    </w:p>
    <w:p w:rsidP="00AC1E70" w:rsidR="00AC1E70" w:rsidRDefault="00AC1E70" w:rsidRPr="00AC1E70">
      <w:pPr>
        <w:pStyle w:val="Sansinterligne"/>
        <w:jc w:val="both"/>
      </w:pPr>
      <w:r w:rsidRPr="00AC1E70">
        <w:t xml:space="preserve">La Direction indique prendre la pleine mesure de la situation compliquée actuelle induite par </w:t>
      </w:r>
      <w:r w:rsidR="008F1661">
        <w:t>une inflation subie par tous</w:t>
      </w:r>
      <w:r w:rsidRPr="00AC1E70">
        <w:t xml:space="preserve">, mais </w:t>
      </w:r>
      <w:r w:rsidR="008F1661">
        <w:t xml:space="preserve">précise ne pas pouvoir aller au-delà d'un certain montant d'augmentation, la masse salariale globale en 2023 étant excédentaire de </w:t>
      </w:r>
      <w:r w:rsidR="00FB7AC2">
        <w:t>l'ordre de 5</w:t>
      </w:r>
      <w:r w:rsidR="008F1661">
        <w:t>% par rapport à 2022.</w:t>
      </w:r>
    </w:p>
    <w:p w:rsidP="00AC1E70" w:rsidR="008F1661" w:rsidRDefault="00AC1E70">
      <w:pPr>
        <w:pStyle w:val="Sansinterligne"/>
        <w:jc w:val="both"/>
      </w:pPr>
      <w:r w:rsidRPr="00AC1E70">
        <w:t xml:space="preserve">Elle annonce souhaiter répondre favorablement à la demande de revalorisation salariale </w:t>
      </w:r>
      <w:r w:rsidR="008F1661">
        <w:t>générale échelonnée proportionnellement au revenu mensuel brut du collaborateur.</w:t>
      </w:r>
    </w:p>
    <w:p w:rsidP="00AC1E70" w:rsidR="00AC1E70" w:rsidRDefault="00AC1E70">
      <w:pPr>
        <w:pStyle w:val="Sansinterligne"/>
        <w:jc w:val="both"/>
      </w:pPr>
    </w:p>
    <w:p w:rsidP="008F1661" w:rsidR="00AC1E70" w:rsidRDefault="008F1661" w:rsidRPr="00AC1E70">
      <w:pPr>
        <w:pStyle w:val="Sansinterligne"/>
        <w:jc w:val="both"/>
      </w:pPr>
      <w:r>
        <w:t xml:space="preserve">La Direction rappelle qu'il est nécessaire de prendre en compte et d'ajouter, </w:t>
      </w:r>
      <w:r w:rsidRPr="008F1661">
        <w:t>à la demande de revalorisation salariale générale</w:t>
      </w:r>
      <w:r>
        <w:t>, l'augmentation générale d'un montant de 17€ perçue en janvier 2023. Elle indique en outre qu'à cela s'ajoute l'enveloppe du montant des augmentations individuelles et que cette année se rajoute aussi l'enveloppe conséquente de 5% du ta</w:t>
      </w:r>
      <w:r w:rsidR="00FF124A">
        <w:t>ux d'intéressement versé en mai</w:t>
      </w:r>
      <w:r>
        <w:t xml:space="preserve"> 2023.</w:t>
      </w:r>
    </w:p>
    <w:p w:rsidP="00AC1E70" w:rsidR="00AC1E70" w:rsidRDefault="00AC1E70">
      <w:pPr>
        <w:pStyle w:val="Sansinterligne"/>
        <w:jc w:val="both"/>
      </w:pPr>
    </w:p>
    <w:p w:rsidP="00AC1E70" w:rsidR="008F1661" w:rsidRDefault="008F1661">
      <w:pPr>
        <w:pStyle w:val="Sansinterligne"/>
        <w:jc w:val="both"/>
      </w:pPr>
      <w:r>
        <w:t xml:space="preserve">A ce titre, il est décidé d'appliquer la </w:t>
      </w:r>
      <w:r w:rsidRPr="008F1661">
        <w:t xml:space="preserve">revalorisation salariale </w:t>
      </w:r>
      <w:r w:rsidR="00FB7AC2">
        <w:t xml:space="preserve">maximale </w:t>
      </w:r>
      <w:r w:rsidRPr="008F1661">
        <w:t>générale échelonnée proportionnellement au revenu mensuel brut du collaborateur</w:t>
      </w:r>
      <w:r w:rsidRPr="008F166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</w:t>
      </w:r>
      <w:r w:rsidRPr="008F1661">
        <w:t>présent au 31/12/2022</w:t>
      </w:r>
      <w:r>
        <w:t>, hors fonctionnaires, comme suit:</w:t>
      </w:r>
    </w:p>
    <w:p w:rsidP="008F1661" w:rsidR="008F1661" w:rsidRDefault="008F1661" w:rsidRPr="008F1661">
      <w:pPr>
        <w:pStyle w:val="Sansinterligne"/>
      </w:pPr>
      <w:r w:rsidRPr="008F1661">
        <w:t xml:space="preserve">- Pour les salaires </w:t>
      </w:r>
      <w:r w:rsidR="00800E21">
        <w:t xml:space="preserve">de base bruts </w:t>
      </w:r>
      <w:r w:rsidR="00800E21">
        <w:rPr>
          <w:rFonts w:ascii="Times New Roman" w:cs="Times New Roman" w:hAnsi="Times New Roman"/>
        </w:rPr>
        <w:t xml:space="preserve">&lt; </w:t>
      </w:r>
      <w:r w:rsidR="00FF124A">
        <w:t>2600€</w:t>
      </w:r>
      <w:r w:rsidRPr="008F1661">
        <w:t>: +70€</w:t>
      </w:r>
      <w:r>
        <w:t xml:space="preserve"> Brut</w:t>
      </w:r>
    </w:p>
    <w:p w:rsidP="008F1661" w:rsidR="008F1661" w:rsidRDefault="008F1661" w:rsidRPr="008F1661">
      <w:pPr>
        <w:pStyle w:val="Sansinterligne"/>
      </w:pPr>
      <w:r w:rsidRPr="008F1661">
        <w:t xml:space="preserve">- Pour les salaires </w:t>
      </w:r>
      <w:r w:rsidR="00FF124A" w:rsidRPr="00FF124A">
        <w:t>de base bruts</w:t>
      </w:r>
      <w:r w:rsidR="00800E21">
        <w:t xml:space="preserve"> </w:t>
      </w:r>
      <w:r w:rsidR="00800E21">
        <w:rPr>
          <w:rFonts w:cstheme="minorHAnsi"/>
        </w:rPr>
        <w:t>≥</w:t>
      </w:r>
      <w:r w:rsidR="00FF124A" w:rsidRPr="00FF124A">
        <w:t xml:space="preserve"> </w:t>
      </w:r>
      <w:r w:rsidRPr="008F1661">
        <w:t xml:space="preserve">2600€ et </w:t>
      </w:r>
      <w:r w:rsidR="00800E21" w:rsidRPr="00800E21">
        <w:t xml:space="preserve">&lt; </w:t>
      </w:r>
      <w:r w:rsidRPr="008F1661">
        <w:t>3000€ : +50€</w:t>
      </w:r>
      <w:r>
        <w:t xml:space="preserve"> </w:t>
      </w:r>
      <w:r w:rsidRPr="008F1661">
        <w:t>Brut</w:t>
      </w:r>
      <w:r w:rsidRPr="008F1661">
        <w:br/>
        <w:t>- Pour</w:t>
      </w:r>
      <w:r w:rsidR="00CB7920">
        <w:t xml:space="preserve"> les salaires </w:t>
      </w:r>
      <w:r w:rsidR="00FF124A" w:rsidRPr="00FF124A">
        <w:t xml:space="preserve">de base bruts </w:t>
      </w:r>
      <w:r w:rsidR="00800E21" w:rsidRPr="00800E21">
        <w:t xml:space="preserve">≥ </w:t>
      </w:r>
      <w:r w:rsidR="00CB7920">
        <w:t>300</w:t>
      </w:r>
      <w:r w:rsidR="00800E21">
        <w:t>0</w:t>
      </w:r>
      <w:r w:rsidRPr="008F1661">
        <w:t xml:space="preserve">€ et </w:t>
      </w:r>
      <w:r w:rsidR="00800E21" w:rsidRPr="00800E21">
        <w:t>&lt;</w:t>
      </w:r>
      <w:r w:rsidR="00800E21">
        <w:t xml:space="preserve"> </w:t>
      </w:r>
      <w:r w:rsidRPr="008F1661">
        <w:t>3500€ : +40€</w:t>
      </w:r>
      <w:r>
        <w:t xml:space="preserve"> </w:t>
      </w:r>
      <w:r w:rsidRPr="008F1661">
        <w:t>Brut</w:t>
      </w:r>
    </w:p>
    <w:p w:rsidP="008F1661" w:rsidR="008F1661" w:rsidRDefault="008F1661" w:rsidRPr="008F1661">
      <w:pPr>
        <w:pStyle w:val="Sansinterligne"/>
      </w:pPr>
      <w:r w:rsidRPr="008F1661">
        <w:t>- Pou</w:t>
      </w:r>
      <w:r w:rsidR="00CB7920">
        <w:t xml:space="preserve">r les salaires </w:t>
      </w:r>
      <w:r w:rsidR="00FF124A" w:rsidRPr="00FF124A">
        <w:t xml:space="preserve">de base bruts </w:t>
      </w:r>
      <w:r w:rsidR="00800E21" w:rsidRPr="00800E21">
        <w:t>≥</w:t>
      </w:r>
      <w:r w:rsidR="00800E21">
        <w:t xml:space="preserve"> 3500</w:t>
      </w:r>
      <w:r w:rsidRPr="008F1661">
        <w:t>€ : +30€</w:t>
      </w:r>
      <w:r>
        <w:t xml:space="preserve"> </w:t>
      </w:r>
      <w:r w:rsidRPr="008F1661">
        <w:t>Brut</w:t>
      </w:r>
    </w:p>
    <w:p w:rsidP="00AC1E70" w:rsidR="008F1661" w:rsidRDefault="008F1661">
      <w:pPr>
        <w:pStyle w:val="Sansinterligne"/>
        <w:jc w:val="both"/>
      </w:pPr>
    </w:p>
    <w:p w:rsidP="00AC1E70" w:rsidR="00800E21" w:rsidRDefault="00800E21">
      <w:pPr>
        <w:pStyle w:val="Sansinterligne"/>
        <w:jc w:val="both"/>
      </w:pPr>
      <w:r>
        <w:t>Ces augmentations seront calculées au prorata temporis pour les collaborateurs à temps partiels.</w:t>
      </w:r>
    </w:p>
    <w:p w:rsidP="00AC1E70" w:rsidR="003E5CA2" w:rsidRDefault="008F1661">
      <w:pPr>
        <w:pStyle w:val="Sansinterligne"/>
        <w:jc w:val="both"/>
      </w:pPr>
      <w:r>
        <w:t>Ces augmentations tiendront compte de</w:t>
      </w:r>
      <w:r w:rsidR="00BA1F5B">
        <w:t xml:space="preserve"> </w:t>
      </w:r>
      <w:r>
        <w:t>l'augmentation relative</w:t>
      </w:r>
      <w:r w:rsidR="00BA1F5B">
        <w:t xml:space="preserve"> au SMIC </w:t>
      </w:r>
      <w:r>
        <w:t>et d'augmentations précédentes suite à l'évolution de la grille de rémunération de l'office pour le personnel présent au 31/12/2022</w:t>
      </w:r>
      <w:r w:rsidR="00FF124A">
        <w:t xml:space="preserve"> et toujours présent à la date d'effet</w:t>
      </w:r>
      <w:r w:rsidR="00AC1E70">
        <w:t>.</w:t>
      </w:r>
      <w:r>
        <w:t xml:space="preserve"> Se rajoutera à cela l'augmentation générale de 17€ </w:t>
      </w:r>
      <w:r w:rsidRPr="008F1661">
        <w:t>perçue en janvier 2023</w:t>
      </w:r>
      <w:r>
        <w:t>.</w:t>
      </w:r>
    </w:p>
    <w:p w:rsidP="00AC1E70" w:rsidR="00BA1F5B" w:rsidRDefault="00BA1F5B" w:rsidRPr="00BA1F5B">
      <w:pPr>
        <w:pStyle w:val="Sansinterligne"/>
        <w:jc w:val="both"/>
        <w:rPr>
          <w:b/>
        </w:rPr>
      </w:pPr>
      <w:r w:rsidRPr="00BA1F5B">
        <w:rPr>
          <w:b/>
        </w:rPr>
        <w:t xml:space="preserve">Les augmentations </w:t>
      </w:r>
      <w:r w:rsidR="00FF124A">
        <w:rPr>
          <w:b/>
        </w:rPr>
        <w:t xml:space="preserve">prendront effet le 01 </w:t>
      </w:r>
      <w:r w:rsidR="008F1661">
        <w:rPr>
          <w:b/>
        </w:rPr>
        <w:t>Juin 2023</w:t>
      </w:r>
      <w:r w:rsidRPr="00BA1F5B">
        <w:rPr>
          <w:b/>
        </w:rPr>
        <w:t>.</w:t>
      </w:r>
    </w:p>
    <w:p w:rsidP="00AC1E70" w:rsidR="00BA1F5B" w:rsidRDefault="00BA1F5B">
      <w:pPr>
        <w:pStyle w:val="Sansinterligne"/>
        <w:jc w:val="both"/>
      </w:pPr>
    </w:p>
    <w:p w:rsidP="00AC1E70" w:rsidR="00653BDE" w:rsidRDefault="00653BDE">
      <w:pPr>
        <w:pStyle w:val="Sansinterligne"/>
        <w:jc w:val="both"/>
        <w:rPr>
          <w:b/>
        </w:rPr>
      </w:pPr>
    </w:p>
    <w:p w:rsidP="00BA6DE1" w:rsidR="00BA6DE1" w:rsidRDefault="00BA6DE1" w:rsidRPr="00BA6DE1">
      <w:pPr>
        <w:pStyle w:val="Sansinterligne"/>
        <w:ind w:left="360"/>
        <w:jc w:val="both"/>
        <w:rPr>
          <w:b/>
        </w:rPr>
      </w:pPr>
      <w:r w:rsidRPr="00BA6DE1">
        <w:rPr>
          <w:b/>
        </w:rPr>
        <w:t>2.1.2 INTERESSEMENT</w:t>
      </w:r>
    </w:p>
    <w:p w:rsidP="00BA6DE1" w:rsidR="00BA6DE1" w:rsidRDefault="00BA6DE1" w:rsidRPr="00BA6DE1">
      <w:pPr>
        <w:pStyle w:val="Sansinterligne"/>
        <w:rPr>
          <w:rFonts w:ascii="Cambria" w:hAnsi="Cambria"/>
          <w:b/>
          <w:sz w:val="24"/>
          <w:szCs w:val="24"/>
          <w:u w:val="single"/>
        </w:rPr>
      </w:pPr>
    </w:p>
    <w:p w:rsidP="00BA6DE1" w:rsidR="00BA6DE1" w:rsidRDefault="00BA6DE1" w:rsidRPr="00BA6DE1">
      <w:pPr>
        <w:pStyle w:val="Sansinterligne"/>
      </w:pPr>
      <w:r w:rsidRPr="00BA6DE1">
        <w:t>Hors négociations annuelles, pour information, un accord d’entreprise sur l’intéressement collectif du personnel OPH65 pour les exercices 2022-2023-2024 a été signé le 06 Mai 2022.</w:t>
      </w:r>
    </w:p>
    <w:p w:rsidP="00BA6DE1" w:rsidR="00BA6DE1" w:rsidRDefault="00BA6DE1" w:rsidRPr="00BA6DE1">
      <w:pPr>
        <w:pStyle w:val="Sansinterligne"/>
      </w:pPr>
      <w:r w:rsidRPr="00BA6DE1">
        <w:t>En application de l’article L.3312-5 du code du travail, il pourra être renouvelé par tacite reconduction pour une nouvelle période de trois ans.</w:t>
      </w:r>
    </w:p>
    <w:p w:rsidP="00C2178B" w:rsidR="0051257B" w:rsidRDefault="0051257B">
      <w:pPr>
        <w:pStyle w:val="Sansinterligne"/>
        <w:ind w:left="360"/>
        <w:jc w:val="both"/>
        <w:rPr>
          <w:rFonts w:ascii="Cambria" w:hAnsi="Cambria"/>
          <w:b/>
          <w:sz w:val="24"/>
          <w:szCs w:val="24"/>
          <w:u w:val="single"/>
        </w:rPr>
      </w:pPr>
    </w:p>
    <w:p w:rsidP="00C2178B" w:rsidR="00BA6DE1" w:rsidRDefault="00BA6DE1">
      <w:pPr>
        <w:pStyle w:val="Sansinterligne"/>
        <w:ind w:left="360"/>
        <w:jc w:val="both"/>
        <w:rPr>
          <w:rFonts w:ascii="Cambria" w:hAnsi="Cambria"/>
          <w:b/>
          <w:sz w:val="24"/>
          <w:szCs w:val="24"/>
          <w:u w:val="single"/>
        </w:rPr>
      </w:pPr>
    </w:p>
    <w:p w:rsidP="00C2178B" w:rsidR="00BA6DE1" w:rsidRDefault="00BA6DE1">
      <w:pPr>
        <w:pStyle w:val="Sansinterligne"/>
        <w:ind w:left="360"/>
        <w:jc w:val="both"/>
        <w:rPr>
          <w:rFonts w:ascii="Cambria" w:hAnsi="Cambria"/>
          <w:b/>
          <w:sz w:val="24"/>
          <w:szCs w:val="24"/>
          <w:u w:val="single"/>
        </w:rPr>
      </w:pPr>
    </w:p>
    <w:p w:rsidP="00C2178B" w:rsidR="00BA6DE1" w:rsidRDefault="00BA6DE1">
      <w:pPr>
        <w:pStyle w:val="Sansinterligne"/>
        <w:ind w:left="360"/>
        <w:jc w:val="both"/>
        <w:rPr>
          <w:rFonts w:ascii="Cambria" w:hAnsi="Cambria"/>
          <w:b/>
          <w:sz w:val="24"/>
          <w:szCs w:val="24"/>
          <w:u w:val="single"/>
        </w:rPr>
      </w:pPr>
    </w:p>
    <w:p w:rsidP="00C2178B" w:rsidR="00BA6DE1" w:rsidRDefault="00BA6DE1">
      <w:pPr>
        <w:pStyle w:val="Sansinterligne"/>
        <w:ind w:left="360"/>
        <w:jc w:val="both"/>
        <w:rPr>
          <w:rFonts w:ascii="Cambria" w:hAnsi="Cambria"/>
          <w:b/>
          <w:sz w:val="24"/>
          <w:szCs w:val="24"/>
          <w:u w:val="single"/>
        </w:rPr>
      </w:pPr>
    </w:p>
    <w:p w:rsidP="00C2178B" w:rsidR="00BA6DE1" w:rsidRDefault="00BA6DE1">
      <w:pPr>
        <w:pStyle w:val="Sansinterligne"/>
        <w:ind w:left="360"/>
        <w:jc w:val="both"/>
        <w:rPr>
          <w:rFonts w:ascii="Cambria" w:hAnsi="Cambria"/>
          <w:b/>
          <w:sz w:val="24"/>
          <w:szCs w:val="24"/>
          <w:u w:val="single"/>
        </w:rPr>
      </w:pPr>
    </w:p>
    <w:p w:rsidP="00C2178B" w:rsidR="00BA6DE1" w:rsidRDefault="00BA6DE1">
      <w:pPr>
        <w:pStyle w:val="Sansinterligne"/>
        <w:ind w:left="360"/>
        <w:jc w:val="both"/>
        <w:rPr>
          <w:rFonts w:ascii="Cambria" w:hAnsi="Cambria"/>
          <w:b/>
          <w:sz w:val="24"/>
          <w:szCs w:val="24"/>
          <w:u w:val="single"/>
        </w:rPr>
      </w:pPr>
    </w:p>
    <w:p w:rsidP="009C6C9C" w:rsidR="00EF3BB3" w:rsidRDefault="00FB4523" w:rsidRPr="009C6C9C">
      <w:pPr>
        <w:pStyle w:val="Sansinterligne"/>
        <w:jc w:val="both"/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</w:pPr>
      <w:r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  <w:t>Article</w:t>
      </w:r>
      <w:r w:rsidR="009C6C9C"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  <w:t xml:space="preserve"> 3</w:t>
      </w:r>
      <w:r w:rsidR="009C6C9C" w:rsidRPr="00E14492"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  <w:t>–</w:t>
      </w:r>
      <w:r w:rsidR="00EF3BB3" w:rsidRPr="009C6C9C">
        <w:rPr>
          <w:rFonts w:asciiTheme="majorHAnsi" w:hAnsiTheme="majorHAnsi"/>
          <w:b/>
          <w:sz w:val="24"/>
          <w:szCs w:val="24"/>
          <w:u w:val="single"/>
        </w:rPr>
        <w:t xml:space="preserve">Egalité </w:t>
      </w:r>
      <w:r w:rsidR="00782637" w:rsidRPr="009C6C9C">
        <w:rPr>
          <w:rFonts w:asciiTheme="majorHAnsi" w:hAnsiTheme="majorHAnsi"/>
          <w:b/>
          <w:sz w:val="24"/>
          <w:szCs w:val="24"/>
          <w:u w:val="single"/>
        </w:rPr>
        <w:t>professionnelle entre les hommes et les femmes et la Qualité de V</w:t>
      </w:r>
      <w:r w:rsidR="00EF3BB3" w:rsidRPr="009C6C9C">
        <w:rPr>
          <w:rFonts w:asciiTheme="majorHAnsi" w:hAnsiTheme="majorHAnsi"/>
          <w:b/>
          <w:sz w:val="24"/>
          <w:szCs w:val="24"/>
          <w:u w:val="single"/>
        </w:rPr>
        <w:t xml:space="preserve">ie </w:t>
      </w:r>
      <w:r w:rsidR="00BA6DE1">
        <w:rPr>
          <w:rFonts w:asciiTheme="majorHAnsi" w:hAnsiTheme="majorHAnsi"/>
          <w:b/>
          <w:sz w:val="24"/>
          <w:szCs w:val="24"/>
          <w:u w:val="single"/>
        </w:rPr>
        <w:t xml:space="preserve">et des conditions </w:t>
      </w:r>
      <w:r w:rsidR="00EF3BB3" w:rsidRPr="009C6C9C">
        <w:rPr>
          <w:rFonts w:asciiTheme="majorHAnsi" w:hAnsiTheme="majorHAnsi"/>
          <w:b/>
          <w:sz w:val="24"/>
          <w:szCs w:val="24"/>
          <w:u w:val="single"/>
        </w:rPr>
        <w:t xml:space="preserve">au </w:t>
      </w:r>
      <w:r w:rsidR="00782637" w:rsidRPr="009C6C9C">
        <w:rPr>
          <w:rFonts w:asciiTheme="majorHAnsi" w:hAnsiTheme="majorHAnsi"/>
          <w:b/>
          <w:sz w:val="24"/>
          <w:szCs w:val="24"/>
          <w:u w:val="single"/>
        </w:rPr>
        <w:t>T</w:t>
      </w:r>
      <w:r w:rsidR="00EF3BB3" w:rsidRPr="009C6C9C">
        <w:rPr>
          <w:rFonts w:asciiTheme="majorHAnsi" w:hAnsiTheme="majorHAnsi"/>
          <w:b/>
          <w:sz w:val="24"/>
          <w:szCs w:val="24"/>
          <w:u w:val="single"/>
        </w:rPr>
        <w:t>ravail</w:t>
      </w:r>
      <w:r w:rsidR="00BA6DE1">
        <w:rPr>
          <w:rFonts w:asciiTheme="majorHAnsi" w:hAnsiTheme="majorHAnsi"/>
          <w:b/>
          <w:sz w:val="24"/>
          <w:szCs w:val="24"/>
          <w:u w:val="single"/>
        </w:rPr>
        <w:t xml:space="preserve"> (QVCT)</w:t>
      </w:r>
    </w:p>
    <w:p w:rsidP="00D26CC3" w:rsidR="005029CD" w:rsidRDefault="005029CD" w:rsidRPr="009C6C9C">
      <w:pPr>
        <w:pStyle w:val="Sansinterligne"/>
        <w:ind w:left="360"/>
        <w:jc w:val="both"/>
        <w:rPr>
          <w:rFonts w:asciiTheme="majorHAnsi" w:hAnsiTheme="majorHAnsi"/>
          <w:b/>
          <w:color w:val="FF0000"/>
          <w:sz w:val="24"/>
          <w:szCs w:val="24"/>
        </w:rPr>
      </w:pPr>
    </w:p>
    <w:p w:rsidP="00D26CC3" w:rsidR="00D26CC3" w:rsidRDefault="009C6C9C" w:rsidRPr="005029CD">
      <w:pPr>
        <w:pStyle w:val="Sansinterligne"/>
        <w:ind w:left="360"/>
        <w:jc w:val="both"/>
        <w:rPr>
          <w:b/>
        </w:rPr>
      </w:pPr>
      <w:r>
        <w:rPr>
          <w:b/>
        </w:rPr>
        <w:t>3</w:t>
      </w:r>
      <w:r w:rsidR="00D26CC3" w:rsidRPr="005029CD">
        <w:rPr>
          <w:b/>
        </w:rPr>
        <w:t>.1 EGALITE PROFESSIONNELLE ENTRE LES HOMMES ET LES FEMMES</w:t>
      </w:r>
    </w:p>
    <w:p w:rsidP="00D26CC3" w:rsidR="00D26CC3" w:rsidRDefault="00D26CC3">
      <w:pPr>
        <w:jc w:val="both"/>
        <w:rPr>
          <w:rFonts w:asciiTheme="minorHAnsi" w:cstheme="minorBidi" w:eastAsiaTheme="minorHAnsi" w:hAnsiTheme="minorHAnsi"/>
          <w:sz w:val="22"/>
          <w:szCs w:val="22"/>
          <w:lang w:eastAsia="en-US"/>
        </w:rPr>
      </w:pPr>
    </w:p>
    <w:p w:rsidP="00D26CC3" w:rsidR="00D26CC3" w:rsidRDefault="00AC1E70">
      <w:pPr>
        <w:pStyle w:val="Sansinterligne"/>
        <w:jc w:val="both"/>
      </w:pPr>
      <w:r>
        <w:t>L</w:t>
      </w:r>
      <w:r w:rsidR="00AC7D5B" w:rsidRPr="00AC7D5B">
        <w:t xml:space="preserve">’OPH65 a signé en date du </w:t>
      </w:r>
      <w:r>
        <w:t>06 Mai 2022</w:t>
      </w:r>
      <w:r w:rsidR="00AC7D5B" w:rsidRPr="00AC7D5B">
        <w:t xml:space="preserve"> un </w:t>
      </w:r>
      <w:r w:rsidR="00AC7D5B">
        <w:t xml:space="preserve">nouvel </w:t>
      </w:r>
      <w:r w:rsidR="00AC7D5B" w:rsidRPr="00AC7D5B">
        <w:t>accord collectif d’entreprise relatif à l'égalité professionnelle en</w:t>
      </w:r>
      <w:r>
        <w:t xml:space="preserve">tre les femmes et les hommes et </w:t>
      </w:r>
      <w:r w:rsidRPr="00AC1E70">
        <w:t xml:space="preserve">la qualité de vie et des conditions au travail </w:t>
      </w:r>
      <w:r w:rsidR="00AC7D5B" w:rsidRPr="00AC7D5B">
        <w:t>(QV</w:t>
      </w:r>
      <w:r>
        <w:t>C</w:t>
      </w:r>
      <w:r w:rsidR="00AC7D5B" w:rsidRPr="00AC7D5B">
        <w:t>T)</w:t>
      </w:r>
      <w:r w:rsidR="00AC7D5B">
        <w:t xml:space="preserve">, pour une durée </w:t>
      </w:r>
      <w:r w:rsidR="00AC7D5B" w:rsidRPr="00AC7D5B">
        <w:t>déterminée</w:t>
      </w:r>
      <w:r w:rsidR="00AC7D5B">
        <w:t xml:space="preserve"> de 4 ans </w:t>
      </w:r>
      <w:r w:rsidR="00B148B8">
        <w:t>et prenant</w:t>
      </w:r>
      <w:r w:rsidR="00AC7D5B" w:rsidRPr="00AC7D5B">
        <w:t xml:space="preserve"> effet</w:t>
      </w:r>
      <w:r>
        <w:t xml:space="preserve"> à compter du 1er janvier 2022</w:t>
      </w:r>
      <w:r w:rsidR="00AC7D5B" w:rsidRPr="00AC7D5B">
        <w:t>.</w:t>
      </w:r>
    </w:p>
    <w:p w:rsidP="00AC1E70" w:rsidR="003E5CA2" w:rsidRDefault="00B148B8" w:rsidRPr="00BA6DE1">
      <w:pPr>
        <w:pStyle w:val="Sansinterligne"/>
        <w:jc w:val="both"/>
      </w:pPr>
      <w:r>
        <w:t xml:space="preserve">De plus, le 17 juillet 2017, un </w:t>
      </w:r>
      <w:r w:rsidRPr="00B148B8">
        <w:t xml:space="preserve">accord sur le droit à la déconnexion </w:t>
      </w:r>
      <w:r>
        <w:t xml:space="preserve">avait été signé pour une durée indéterminée. </w:t>
      </w:r>
    </w:p>
    <w:p w:rsidP="00AC1E70" w:rsidR="003E5CA2" w:rsidRDefault="003E5CA2">
      <w:pPr>
        <w:pStyle w:val="Sansinterligne"/>
        <w:jc w:val="both"/>
        <w:rPr>
          <w:b/>
        </w:rPr>
      </w:pPr>
    </w:p>
    <w:p w:rsidP="00A97C77" w:rsidR="00A97C77" w:rsidRDefault="00A97C77" w:rsidRPr="005029CD">
      <w:pPr>
        <w:pStyle w:val="Sansinterligne"/>
        <w:ind w:left="360"/>
        <w:jc w:val="both"/>
        <w:rPr>
          <w:b/>
        </w:rPr>
      </w:pPr>
      <w:r w:rsidRPr="005029CD">
        <w:rPr>
          <w:b/>
        </w:rPr>
        <w:t>3</w:t>
      </w:r>
      <w:r w:rsidR="009C6C9C">
        <w:rPr>
          <w:b/>
        </w:rPr>
        <w:t>.2</w:t>
      </w:r>
      <w:r w:rsidRPr="005029CD">
        <w:rPr>
          <w:b/>
        </w:rPr>
        <w:t xml:space="preserve"> QUALITE DE VIE AU TRAVAIL</w:t>
      </w:r>
    </w:p>
    <w:p w:rsidP="00A97C77" w:rsidR="00A97C77" w:rsidRDefault="00A97C77">
      <w:pPr>
        <w:jc w:val="both"/>
        <w:rPr>
          <w:rFonts w:asciiTheme="minorHAnsi" w:cstheme="minorBidi" w:eastAsiaTheme="minorHAnsi" w:hAnsiTheme="minorHAnsi"/>
          <w:sz w:val="22"/>
          <w:szCs w:val="22"/>
          <w:lang w:eastAsia="en-US"/>
        </w:rPr>
      </w:pPr>
    </w:p>
    <w:p w:rsidP="00A97C77" w:rsidR="00A97C77" w:rsidRDefault="00A97C77">
      <w:pPr>
        <w:pStyle w:val="Sansinterligne"/>
        <w:jc w:val="both"/>
      </w:pPr>
      <w:r>
        <w:t xml:space="preserve">Les parties ont convenu de poursuivre la démarche engagée en 2016 relative au diagnostic des risques Psychosociaux et à l’accompagnement par les services de santé au travail. </w:t>
      </w:r>
    </w:p>
    <w:p w:rsidP="00C2178B" w:rsidR="00B57469" w:rsidRDefault="00A97C77">
      <w:pPr>
        <w:pStyle w:val="Sansinterligne"/>
        <w:jc w:val="both"/>
      </w:pPr>
      <w:r>
        <w:t xml:space="preserve">A ce titre, le Comité de Qualité de Vie au Travail </w:t>
      </w:r>
      <w:r w:rsidR="00C2178B">
        <w:t>a été créé depuis 2018</w:t>
      </w:r>
      <w:r w:rsidR="00AC1E70">
        <w:t xml:space="preserve"> et poursuit différents projets annuellement</w:t>
      </w:r>
      <w:r w:rsidR="00C2178B">
        <w:t>.</w:t>
      </w:r>
    </w:p>
    <w:p w:rsidP="00C2178B" w:rsidR="00C2178B" w:rsidRDefault="00C2178B">
      <w:pPr>
        <w:pStyle w:val="Sansinterligne"/>
        <w:jc w:val="both"/>
      </w:pPr>
    </w:p>
    <w:p w:rsidP="00BA6DE1" w:rsidR="00BA6DE1" w:rsidRDefault="00BA6DE1" w:rsidRPr="00BA6DE1">
      <w:pPr>
        <w:pStyle w:val="Sansinterligne"/>
        <w:rPr>
          <w:b/>
        </w:rPr>
      </w:pPr>
      <w:r>
        <w:rPr>
          <w:b/>
        </w:rPr>
        <w:t xml:space="preserve">        3.3</w:t>
      </w:r>
      <w:r w:rsidRPr="00BA6DE1">
        <w:rPr>
          <w:b/>
        </w:rPr>
        <w:t xml:space="preserve"> </w:t>
      </w:r>
      <w:r w:rsidR="00EF6BAD">
        <w:rPr>
          <w:b/>
        </w:rPr>
        <w:t>PRIME ANNUELLE D'EVALUATION</w:t>
      </w:r>
    </w:p>
    <w:p w:rsidP="00BA6DE1" w:rsidR="00BA6DE1" w:rsidRDefault="00BA6DE1" w:rsidRPr="00BA6DE1">
      <w:pPr>
        <w:pStyle w:val="Sansinterligne"/>
      </w:pPr>
    </w:p>
    <w:p w:rsidP="00EF6BAD" w:rsidR="00EF6BAD" w:rsidRDefault="00EF6BAD" w:rsidRPr="00EF6BAD">
      <w:pPr>
        <w:pStyle w:val="Sansinterligne"/>
        <w:jc w:val="both"/>
      </w:pPr>
      <w:r w:rsidRPr="00EF6BAD">
        <w:t xml:space="preserve">Concernant la demande des élus de supprimer du support de l'évaluation le quota limitant à 20 % des salariés d'un même service la possibilité de bénéficier d'un taux supérieur à 1.5 %, la direction répond par la négative. Elle propose de revoir le formalisme d'application afin de laisser la possibilité à titre exceptionnel de moduler et dépasser le quota sur demande et argumentation spécifique du chef de service. </w:t>
      </w:r>
    </w:p>
    <w:p w:rsidP="00EF6BAD" w:rsidR="00EF6BAD" w:rsidRDefault="00EF6BAD">
      <w:pPr>
        <w:pStyle w:val="Sansinterligne"/>
        <w:jc w:val="both"/>
      </w:pPr>
      <w:r w:rsidRPr="00EF6BAD">
        <w:t>A la demande des élus du personnel, il est convenu que sur validation des modifications par la direction, une nouvelle formulation d'application concernant le quota des 20% sera apposée sur les supports d'évaluation 2023.</w:t>
      </w:r>
    </w:p>
    <w:p w:rsidP="00EF6BAD" w:rsidR="00EF6BAD" w:rsidRDefault="00EF6BAD">
      <w:pPr>
        <w:pStyle w:val="Sansinterligne"/>
        <w:jc w:val="both"/>
      </w:pPr>
    </w:p>
    <w:p w:rsidP="00EF6BAD" w:rsidR="00EF6BAD" w:rsidRDefault="00EF6BAD" w:rsidRPr="00EF6BAD">
      <w:pPr>
        <w:pStyle w:val="Sansinterligne"/>
        <w:jc w:val="both"/>
      </w:pPr>
      <w:r>
        <w:t>A compter des prochains entretiens annuels, les responsables N+1, évaluate</w:t>
      </w:r>
      <w:r w:rsidR="00C33252">
        <w:t>urs directs des salariés, pourront être</w:t>
      </w:r>
      <w:r>
        <w:t xml:space="preserve"> présents lors de la revue des évaluations auprès de la Direction. </w:t>
      </w:r>
    </w:p>
    <w:p w:rsidP="00BA6DE1" w:rsidR="00BA6DE1" w:rsidRDefault="00BA6DE1" w:rsidRPr="00BA6DE1">
      <w:pPr>
        <w:pStyle w:val="Sansinterligne"/>
      </w:pPr>
    </w:p>
    <w:p w:rsidP="009D6A33" w:rsidR="00C05D0A" w:rsidRDefault="00C05D0A">
      <w:pPr>
        <w:pStyle w:val="Sansinterligne"/>
        <w:jc w:val="both"/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</w:pPr>
    </w:p>
    <w:p w:rsidP="00BA1F5B" w:rsidR="009D6A33" w:rsidRDefault="009D6A33" w:rsidRPr="00FB4523">
      <w:pPr>
        <w:pStyle w:val="Sansinterligne"/>
        <w:jc w:val="both"/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</w:pPr>
      <w:r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  <w:t>Article 4</w:t>
      </w:r>
      <w:r w:rsidRPr="00FB4523"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  <w:t xml:space="preserve">-  </w:t>
      </w:r>
      <w:r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  <w:t>Suivi et révision de l’accord</w:t>
      </w:r>
    </w:p>
    <w:p w:rsidP="004F7F12" w:rsidR="00E14492" w:rsidRDefault="00E14492">
      <w:pPr>
        <w:pStyle w:val="Sansinterligne"/>
        <w:ind w:left="360"/>
        <w:jc w:val="both"/>
        <w:rPr>
          <w:b/>
          <w:u w:val="single"/>
        </w:rPr>
      </w:pPr>
    </w:p>
    <w:p w:rsidP="009D6A33" w:rsidR="009D6A33" w:rsidRDefault="009D6A33">
      <w:pPr>
        <w:jc w:val="both"/>
        <w:rPr>
          <w:rFonts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asciiTheme="minorHAnsi" w:cstheme="minorBidi" w:eastAsiaTheme="minorHAnsi" w:hAnsiTheme="minorHAnsi"/>
          <w:sz w:val="22"/>
          <w:szCs w:val="22"/>
          <w:lang w:eastAsia="en-US"/>
        </w:rPr>
        <w:t>Le présent accord est conclu pour une durée indéterminée.</w:t>
      </w:r>
    </w:p>
    <w:p w:rsidP="009D6A33" w:rsidR="009D6A33" w:rsidRDefault="009D6A33">
      <w:pPr>
        <w:jc w:val="both"/>
        <w:rPr>
          <w:rFonts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asciiTheme="minorHAnsi" w:cstheme="minorBidi" w:eastAsiaTheme="minorHAnsi" w:hAnsiTheme="minorHAnsi"/>
          <w:sz w:val="22"/>
          <w:szCs w:val="22"/>
          <w:lang w:eastAsia="en-US"/>
        </w:rPr>
        <w:t>Tout ou partie dudit accord cessera de produire ses effets dès l’application d’un nouvel accord portant sur un ou plusieurs des domaines abordés dans le présent document.</w:t>
      </w:r>
    </w:p>
    <w:p w:rsidP="009D6A33" w:rsidR="00BD4437" w:rsidRDefault="00BD4437">
      <w:pPr>
        <w:jc w:val="both"/>
        <w:rPr>
          <w:rFonts w:asciiTheme="minorHAnsi" w:cstheme="minorBidi" w:eastAsiaTheme="minorHAnsi" w:hAnsiTheme="minorHAnsi"/>
          <w:sz w:val="22"/>
          <w:szCs w:val="22"/>
          <w:lang w:eastAsia="en-US"/>
        </w:rPr>
      </w:pPr>
    </w:p>
    <w:p w:rsidP="009D6A33" w:rsidR="009D6A33" w:rsidRDefault="009D6A33">
      <w:pPr>
        <w:jc w:val="both"/>
        <w:rPr>
          <w:rFonts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asciiTheme="minorHAnsi" w:cstheme="minorBidi" w:eastAsiaTheme="minorHAnsi" w:hAnsiTheme="minorHAnsi"/>
          <w:sz w:val="22"/>
          <w:szCs w:val="22"/>
          <w:lang w:eastAsia="en-US"/>
        </w:rPr>
        <w:t xml:space="preserve">L’accord pourra être dénoncé à l’initiative des parties en vue de la renégociation d’un accord conforme aux dispositions législatives et réglementaires (art L2222-6 et L2261-9 et suivants du Code du Travail). </w:t>
      </w:r>
    </w:p>
    <w:p w:rsidP="009D6A33" w:rsidR="009D6A33" w:rsidRDefault="009D6A33">
      <w:pPr>
        <w:jc w:val="both"/>
        <w:rPr>
          <w:rFonts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asciiTheme="minorHAnsi" w:cstheme="minorBidi" w:eastAsiaTheme="minorHAnsi" w:hAnsiTheme="minorHAnsi"/>
          <w:sz w:val="22"/>
          <w:szCs w:val="22"/>
          <w:lang w:eastAsia="en-US"/>
        </w:rPr>
        <w:t>La dénonciation de l’accord sera notifiée par lettre recommandée avec demande d’avis de réception.</w:t>
      </w:r>
    </w:p>
    <w:p w:rsidP="009D6A33" w:rsidR="009D6A33" w:rsidRDefault="009D6A33">
      <w:pPr>
        <w:jc w:val="both"/>
        <w:rPr>
          <w:rFonts w:asciiTheme="minorHAnsi" w:cstheme="minorBidi" w:eastAsiaTheme="minorHAnsi" w:hAnsiTheme="minorHAnsi"/>
          <w:sz w:val="22"/>
          <w:szCs w:val="22"/>
          <w:lang w:eastAsia="en-US"/>
        </w:rPr>
      </w:pPr>
    </w:p>
    <w:p w:rsidP="009D6A33" w:rsidR="00B609F4" w:rsidRDefault="00B609F4" w:rsidRPr="00DE12FB">
      <w:pPr>
        <w:jc w:val="both"/>
        <w:rPr>
          <w:rFonts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asciiTheme="minorHAnsi" w:cstheme="minorBidi" w:eastAsiaTheme="minorHAnsi" w:hAnsiTheme="minorHAnsi"/>
          <w:sz w:val="22"/>
          <w:szCs w:val="22"/>
          <w:lang w:eastAsia="en-US"/>
        </w:rPr>
        <w:t>L’accord pourra être révisé conformément aux dispositions des articles L2261-7 et L2261-8 du Code du Travail. La volonté de réviser sera notifiée par lettre recommandée avec demande d’avis de réception.</w:t>
      </w:r>
    </w:p>
    <w:p w:rsidP="004F7F12" w:rsidR="00E14492" w:rsidRDefault="00E14492">
      <w:pPr>
        <w:pStyle w:val="Sansinterligne"/>
        <w:ind w:left="360"/>
        <w:jc w:val="both"/>
        <w:rPr>
          <w:b/>
          <w:u w:val="single"/>
        </w:rPr>
      </w:pPr>
    </w:p>
    <w:p w:rsidP="00C2178B" w:rsidR="00E14492" w:rsidRDefault="00E14492">
      <w:pPr>
        <w:pStyle w:val="Sansinterligne"/>
        <w:jc w:val="both"/>
        <w:rPr>
          <w:b/>
          <w:u w:val="single"/>
        </w:rPr>
      </w:pPr>
    </w:p>
    <w:p w:rsidP="00FB4523" w:rsidR="00BA6DE1" w:rsidRDefault="00BA6DE1">
      <w:pPr>
        <w:pStyle w:val="Sansinterligne"/>
        <w:jc w:val="both"/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</w:pPr>
    </w:p>
    <w:p w:rsidP="00FB4523" w:rsidR="00BA6DE1" w:rsidRDefault="00BA6DE1">
      <w:pPr>
        <w:pStyle w:val="Sansinterligne"/>
        <w:jc w:val="both"/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</w:pPr>
    </w:p>
    <w:p w:rsidP="00FB4523" w:rsidR="00BA6DE1" w:rsidRDefault="00BA6DE1">
      <w:pPr>
        <w:pStyle w:val="Sansinterligne"/>
        <w:jc w:val="both"/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</w:pPr>
    </w:p>
    <w:p w:rsidP="00FB4523" w:rsidR="00255C6E" w:rsidRDefault="00255C6E">
      <w:pPr>
        <w:pStyle w:val="Sansinterligne"/>
        <w:jc w:val="both"/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</w:pPr>
    </w:p>
    <w:p w:rsidP="00FB4523" w:rsidR="00255C6E" w:rsidRDefault="00255C6E">
      <w:pPr>
        <w:pStyle w:val="Sansinterligne"/>
        <w:jc w:val="both"/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</w:pPr>
    </w:p>
    <w:p w:rsidP="00FB4523" w:rsidR="00D23504" w:rsidRDefault="00FB4523" w:rsidRPr="00FB4523">
      <w:pPr>
        <w:pStyle w:val="Sansinterligne"/>
        <w:jc w:val="both"/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</w:pPr>
      <w:r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  <w:t>Article</w:t>
      </w:r>
      <w:r w:rsidR="009D6A33"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  <w:t xml:space="preserve"> 5</w:t>
      </w:r>
      <w:r w:rsidR="004F7F12" w:rsidRPr="00FB4523"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  <w:t>-  Formalités</w:t>
      </w:r>
      <w:r w:rsidR="00D23504" w:rsidRPr="00FB4523"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  <w:t xml:space="preserve"> de dépôt</w:t>
      </w:r>
      <w:r w:rsidR="00AB2C11" w:rsidRPr="00FB4523">
        <w:rPr>
          <w:rFonts w:ascii="Cambria" w:cs="Times New Roman" w:eastAsia="Times New Roman" w:hAnsi="Cambria"/>
          <w:b/>
          <w:bCs/>
          <w:sz w:val="24"/>
          <w:szCs w:val="24"/>
          <w:u w:val="single"/>
          <w:lang w:eastAsia="fr-FR"/>
        </w:rPr>
        <w:t xml:space="preserve"> et publicité</w:t>
      </w:r>
    </w:p>
    <w:p w:rsidP="004F7F12" w:rsidR="00D85AB6" w:rsidRDefault="00D85AB6" w:rsidRPr="004F7F12">
      <w:pPr>
        <w:pStyle w:val="Sansinterligne"/>
        <w:ind w:left="360"/>
        <w:jc w:val="both"/>
        <w:rPr>
          <w:b/>
          <w:u w:val="single"/>
        </w:rPr>
      </w:pPr>
    </w:p>
    <w:p w:rsidP="00DE12FB" w:rsidR="00DE12FB" w:rsidRDefault="00DE12FB" w:rsidRPr="00DE12FB">
      <w:pPr>
        <w:jc w:val="both"/>
        <w:rPr>
          <w:rFonts w:asciiTheme="minorHAnsi" w:cstheme="minorBidi" w:eastAsiaTheme="minorHAnsi" w:hAnsiTheme="minorHAnsi"/>
          <w:sz w:val="22"/>
          <w:szCs w:val="22"/>
          <w:lang w:eastAsia="en-US"/>
        </w:rPr>
      </w:pPr>
      <w:r w:rsidRPr="00DE12FB">
        <w:rPr>
          <w:rFonts w:asciiTheme="minorHAnsi" w:cstheme="minorBidi" w:eastAsiaTheme="minorHAnsi" w:hAnsiTheme="minorHAnsi"/>
          <w:sz w:val="22"/>
          <w:szCs w:val="22"/>
          <w:lang w:eastAsia="en-US"/>
        </w:rPr>
        <w:t xml:space="preserve">En application des dispositions des articles L 2231-5 et suivants du Code du Travail, le présent </w:t>
      </w:r>
      <w:r w:rsidR="00E14492">
        <w:rPr>
          <w:rFonts w:asciiTheme="minorHAnsi" w:cstheme="minorBidi" w:eastAsiaTheme="minorHAnsi" w:hAnsiTheme="minorHAnsi"/>
          <w:sz w:val="22"/>
          <w:szCs w:val="22"/>
          <w:lang w:eastAsia="en-US"/>
        </w:rPr>
        <w:t>procès-verbal d’</w:t>
      </w:r>
      <w:r w:rsidRPr="00D85AB6">
        <w:rPr>
          <w:rFonts w:asciiTheme="minorHAnsi" w:cstheme="minorBidi" w:eastAsiaTheme="minorHAnsi" w:hAnsiTheme="minorHAnsi"/>
          <w:sz w:val="22"/>
          <w:szCs w:val="22"/>
          <w:lang w:eastAsia="en-US"/>
        </w:rPr>
        <w:t>accord</w:t>
      </w:r>
      <w:r w:rsidRPr="00DE12FB">
        <w:rPr>
          <w:rFonts w:asciiTheme="minorHAnsi" w:cstheme="minorBidi" w:eastAsiaTheme="minorHAnsi" w:hAnsiTheme="minorHAnsi"/>
          <w:sz w:val="22"/>
          <w:szCs w:val="22"/>
          <w:lang w:eastAsia="en-US"/>
        </w:rPr>
        <w:t xml:space="preserve"> fera l’objet des procédures de notification et, à défaut d’opposition, de dépôt dans les conditions prévues par les articles D 2231-5-1 et suivants du Code du Travail, à la DIRECCTE et en un exemplaire au Greffe du Conseil de Prud’hommes de Tarbes.</w:t>
      </w:r>
    </w:p>
    <w:p w:rsidP="00DE12FB" w:rsidR="00DE12FB" w:rsidRDefault="00DE12FB" w:rsidRPr="00DE12FB">
      <w:pPr>
        <w:jc w:val="both"/>
        <w:rPr>
          <w:rFonts w:asciiTheme="minorHAnsi" w:cstheme="minorBidi" w:eastAsiaTheme="minorHAnsi" w:hAnsiTheme="minorHAnsi"/>
          <w:sz w:val="22"/>
          <w:szCs w:val="22"/>
          <w:lang w:eastAsia="en-US"/>
        </w:rPr>
      </w:pPr>
    </w:p>
    <w:p w:rsidP="00DE12FB" w:rsidR="00DE12FB" w:rsidRDefault="00DE12FB" w:rsidRPr="0024475D">
      <w:pPr>
        <w:pStyle w:val="tiident"/>
        <w:spacing w:after="0" w:afterAutospacing="0" w:before="0" w:beforeAutospacing="0"/>
        <w:jc w:val="both"/>
        <w:rPr>
          <w:rFonts w:ascii="Arial" w:cs="Arial" w:hAnsi="Arial"/>
        </w:rPr>
      </w:pPr>
      <w:r w:rsidRPr="00A53F5D">
        <w:rPr>
          <w:rFonts w:asciiTheme="minorHAnsi" w:cstheme="minorBidi" w:eastAsiaTheme="minorHAnsi" w:hAnsiTheme="minorHAnsi"/>
          <w:sz w:val="22"/>
          <w:szCs w:val="22"/>
          <w:lang w:eastAsia="en-US"/>
        </w:rPr>
        <w:t xml:space="preserve">Le présent </w:t>
      </w:r>
      <w:r w:rsidR="00E14492">
        <w:rPr>
          <w:rFonts w:asciiTheme="minorHAnsi" w:cstheme="minorBidi" w:eastAsiaTheme="minorHAnsi" w:hAnsiTheme="minorHAnsi"/>
          <w:sz w:val="22"/>
          <w:szCs w:val="22"/>
          <w:lang w:eastAsia="en-US"/>
        </w:rPr>
        <w:t>procès-verbal d’</w:t>
      </w:r>
      <w:r w:rsidRPr="00D85AB6">
        <w:rPr>
          <w:rFonts w:asciiTheme="minorHAnsi" w:cstheme="minorBidi" w:eastAsiaTheme="minorHAnsi" w:hAnsiTheme="minorHAnsi"/>
          <w:sz w:val="22"/>
          <w:szCs w:val="22"/>
          <w:lang w:eastAsia="en-US"/>
        </w:rPr>
        <w:t>accord</w:t>
      </w:r>
      <w:r w:rsidRPr="00A53F5D">
        <w:rPr>
          <w:rFonts w:asciiTheme="minorHAnsi" w:cstheme="minorBidi" w:eastAsiaTheme="minorHAnsi" w:hAnsiTheme="minorHAnsi"/>
          <w:sz w:val="22"/>
          <w:szCs w:val="22"/>
          <w:lang w:eastAsia="en-US"/>
        </w:rPr>
        <w:t xml:space="preserve"> est </w:t>
      </w:r>
      <w:r w:rsidR="00E30EBB">
        <w:rPr>
          <w:rFonts w:asciiTheme="minorHAnsi" w:cstheme="minorBidi" w:eastAsiaTheme="minorHAnsi" w:hAnsiTheme="minorHAnsi"/>
          <w:sz w:val="22"/>
          <w:szCs w:val="22"/>
          <w:lang w:eastAsia="en-US"/>
        </w:rPr>
        <w:t>notifié à</w:t>
      </w:r>
      <w:r w:rsidRPr="0024475D">
        <w:rPr>
          <w:rFonts w:asciiTheme="minorHAnsi" w:cstheme="minorBidi" w:eastAsiaTheme="minorHAnsi" w:hAnsiTheme="minorHAnsi"/>
          <w:sz w:val="22"/>
          <w:szCs w:val="22"/>
          <w:lang w:eastAsia="en-US"/>
        </w:rPr>
        <w:t xml:space="preserve"> chaque partie.</w:t>
      </w:r>
      <w:r w:rsidRPr="0024475D">
        <w:rPr>
          <w:rFonts w:ascii="Arial" w:cs="Arial" w:hAnsi="Arial"/>
        </w:rPr>
        <w:t xml:space="preserve"> </w:t>
      </w:r>
    </w:p>
    <w:p w:rsidP="00DE12FB" w:rsidR="00DE12FB" w:rsidRDefault="00DE12FB" w:rsidRPr="00DE12FB">
      <w:pPr>
        <w:jc w:val="both"/>
        <w:rPr>
          <w:rFonts w:asciiTheme="minorHAnsi" w:cstheme="minorBidi" w:eastAsiaTheme="minorHAnsi" w:hAnsiTheme="minorHAnsi"/>
          <w:sz w:val="22"/>
          <w:szCs w:val="22"/>
          <w:lang w:eastAsia="en-US"/>
        </w:rPr>
      </w:pPr>
    </w:p>
    <w:p w:rsidP="00DE12FB" w:rsidR="00DE12FB" w:rsidRDefault="00DE12FB" w:rsidRPr="00DE12FB">
      <w:pPr>
        <w:jc w:val="both"/>
        <w:rPr>
          <w:rFonts w:asciiTheme="minorHAnsi" w:cstheme="minorBidi" w:eastAsiaTheme="minorHAnsi" w:hAnsiTheme="minorHAnsi"/>
          <w:sz w:val="22"/>
          <w:szCs w:val="22"/>
          <w:lang w:eastAsia="en-US"/>
        </w:rPr>
      </w:pPr>
      <w:r w:rsidRPr="00DE12FB">
        <w:rPr>
          <w:rFonts w:asciiTheme="minorHAnsi" w:cstheme="minorBidi" w:eastAsiaTheme="minorHAnsi" w:hAnsiTheme="minorHAnsi"/>
          <w:sz w:val="22"/>
          <w:szCs w:val="22"/>
          <w:lang w:eastAsia="en-US"/>
        </w:rPr>
        <w:t xml:space="preserve">Le présent </w:t>
      </w:r>
      <w:r w:rsidR="00E14492">
        <w:rPr>
          <w:rFonts w:asciiTheme="minorHAnsi" w:cstheme="minorBidi" w:eastAsiaTheme="minorHAnsi" w:hAnsiTheme="minorHAnsi"/>
          <w:sz w:val="22"/>
          <w:szCs w:val="22"/>
          <w:lang w:eastAsia="en-US"/>
        </w:rPr>
        <w:t>procès-verbal d’</w:t>
      </w:r>
      <w:r w:rsidRPr="00D85AB6">
        <w:rPr>
          <w:rFonts w:asciiTheme="minorHAnsi" w:cstheme="minorBidi" w:eastAsiaTheme="minorHAnsi" w:hAnsiTheme="minorHAnsi"/>
          <w:sz w:val="22"/>
          <w:szCs w:val="22"/>
          <w:lang w:eastAsia="en-US"/>
        </w:rPr>
        <w:t>accord</w:t>
      </w:r>
      <w:r w:rsidRPr="00A53F5D">
        <w:rPr>
          <w:rFonts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asciiTheme="minorHAnsi" w:cstheme="minorBidi" w:eastAsiaTheme="minorHAnsi" w:hAnsiTheme="minorHAnsi"/>
          <w:sz w:val="22"/>
          <w:szCs w:val="22"/>
          <w:lang w:eastAsia="en-US"/>
        </w:rPr>
        <w:t xml:space="preserve">sera </w:t>
      </w:r>
      <w:r w:rsidRPr="00DE12FB">
        <w:rPr>
          <w:rFonts w:asciiTheme="minorHAnsi" w:cstheme="minorBidi" w:eastAsiaTheme="minorHAnsi" w:hAnsiTheme="minorHAnsi"/>
          <w:sz w:val="22"/>
          <w:szCs w:val="22"/>
          <w:lang w:eastAsia="en-US"/>
        </w:rPr>
        <w:t xml:space="preserve">versé dans la base de données nationale. Il sera publié dans une version ne comportant pas les noms et prénoms des négociateurs et des signataires, en application de l’article R 2231-1-1 et de l’article L 2231-5-1 du code du travail. </w:t>
      </w:r>
    </w:p>
    <w:p w:rsidP="00DE12FB" w:rsidR="00DE12FB" w:rsidRDefault="00DE12FB" w:rsidRPr="00DE12FB">
      <w:pPr>
        <w:jc w:val="both"/>
        <w:rPr>
          <w:rFonts w:asciiTheme="minorHAnsi" w:cstheme="minorBidi" w:eastAsiaTheme="minorHAnsi" w:hAnsiTheme="minorHAnsi"/>
          <w:sz w:val="22"/>
          <w:szCs w:val="22"/>
          <w:lang w:eastAsia="en-US"/>
        </w:rPr>
      </w:pPr>
    </w:p>
    <w:p w:rsidP="00DE12FB" w:rsidR="00DE12FB" w:rsidRDefault="00DE12FB">
      <w:pPr>
        <w:jc w:val="both"/>
        <w:rPr>
          <w:rFonts w:asciiTheme="minorHAnsi" w:cstheme="minorBidi" w:eastAsiaTheme="minorHAnsi" w:hAnsiTheme="minorHAnsi"/>
          <w:sz w:val="22"/>
          <w:szCs w:val="22"/>
          <w:lang w:eastAsia="en-US"/>
        </w:rPr>
      </w:pPr>
      <w:r w:rsidRPr="00DE12FB">
        <w:rPr>
          <w:rFonts w:asciiTheme="minorHAnsi" w:cstheme="minorBidi" w:eastAsiaTheme="minorHAnsi" w:hAnsiTheme="minorHAnsi"/>
          <w:sz w:val="22"/>
          <w:szCs w:val="22"/>
          <w:lang w:eastAsia="en-US"/>
        </w:rPr>
        <w:t xml:space="preserve">Le présent </w:t>
      </w:r>
      <w:r w:rsidR="00E14492">
        <w:rPr>
          <w:rFonts w:asciiTheme="minorHAnsi" w:cstheme="minorBidi" w:eastAsiaTheme="minorHAnsi" w:hAnsiTheme="minorHAnsi"/>
          <w:sz w:val="22"/>
          <w:szCs w:val="22"/>
          <w:lang w:eastAsia="en-US"/>
        </w:rPr>
        <w:t>procès-verbal d’a</w:t>
      </w:r>
      <w:r w:rsidRPr="00D85AB6">
        <w:rPr>
          <w:rFonts w:asciiTheme="minorHAnsi" w:cstheme="minorBidi" w:eastAsiaTheme="minorHAnsi" w:hAnsiTheme="minorHAnsi"/>
          <w:sz w:val="22"/>
          <w:szCs w:val="22"/>
          <w:lang w:eastAsia="en-US"/>
        </w:rPr>
        <w:t>ccord</w:t>
      </w:r>
      <w:r w:rsidRPr="00DE12FB">
        <w:rPr>
          <w:rFonts w:asciiTheme="minorHAnsi" w:cstheme="minorBidi" w:eastAsiaTheme="minorHAnsi" w:hAnsiTheme="minorHAnsi"/>
          <w:sz w:val="22"/>
          <w:szCs w:val="22"/>
          <w:lang w:eastAsia="en-US"/>
        </w:rPr>
        <w:t xml:space="preserve"> est diffusé à l’ensemble des salariés par voie d’affichage ainsi que sur l’intranet de l’OPH65.</w:t>
      </w:r>
    </w:p>
    <w:p w:rsidP="00007874" w:rsidR="00C05D0A" w:rsidRDefault="00C05D0A">
      <w:pPr>
        <w:pStyle w:val="Sansinterligne"/>
        <w:jc w:val="both"/>
      </w:pPr>
    </w:p>
    <w:p w:rsidP="00007874" w:rsidR="003E5CA2" w:rsidRDefault="003E5CA2">
      <w:pPr>
        <w:pStyle w:val="Sansinterligne"/>
        <w:jc w:val="both"/>
      </w:pPr>
    </w:p>
    <w:p w:rsidP="00007874" w:rsidR="00C05D0A" w:rsidRDefault="00C05D0A">
      <w:pPr>
        <w:pStyle w:val="Sansinterligne"/>
        <w:jc w:val="both"/>
      </w:pPr>
    </w:p>
    <w:p w:rsidP="00007874" w:rsidR="005D4BE8" w:rsidRDefault="00170CD4">
      <w:pPr>
        <w:pStyle w:val="Sansinterligne"/>
        <w:jc w:val="both"/>
      </w:pPr>
      <w:r>
        <w:t xml:space="preserve">Fait à TARBES, </w:t>
      </w:r>
      <w:r w:rsidR="008E597A">
        <w:t>le</w:t>
      </w:r>
      <w:r w:rsidR="00EF6BAD">
        <w:t xml:space="preserve"> 09/06/2023</w:t>
      </w:r>
    </w:p>
    <w:p w:rsidP="00007874" w:rsidR="002E276F" w:rsidRDefault="002E276F">
      <w:pPr>
        <w:pStyle w:val="Sansinterligne"/>
        <w:jc w:val="both"/>
      </w:pPr>
    </w:p>
    <w:p w:rsidP="00037766" w:rsidR="005D4BE8" w:rsidRDefault="00037766">
      <w:pPr>
        <w:pStyle w:val="Sansinterligne"/>
        <w:jc w:val="both"/>
      </w:pPr>
      <w:r>
        <w:t>Le Directeur Gé</w:t>
      </w:r>
      <w:r w:rsidR="00D85AB6">
        <w:t>néral,</w:t>
      </w:r>
    </w:p>
    <w:p w:rsidP="00037766" w:rsidR="00D85AB6" w:rsidRDefault="00D85AB6">
      <w:pPr>
        <w:pStyle w:val="Sansinterligne"/>
        <w:jc w:val="both"/>
      </w:pPr>
    </w:p>
    <w:p w:rsidP="00037766" w:rsidR="00D85AB6" w:rsidRDefault="00D85AB6">
      <w:pPr>
        <w:pStyle w:val="Sansinterligne"/>
        <w:jc w:val="both"/>
      </w:pPr>
    </w:p>
    <w:p w:rsidP="00037766" w:rsidR="003A76AB" w:rsidRDefault="003A76AB">
      <w:pPr>
        <w:pStyle w:val="Sansinterligne"/>
        <w:jc w:val="both"/>
      </w:pPr>
    </w:p>
    <w:p w:rsidP="00037766" w:rsidR="002E276F" w:rsidRDefault="002E276F">
      <w:pPr>
        <w:pStyle w:val="Sansinterligne"/>
        <w:jc w:val="both"/>
      </w:pPr>
    </w:p>
    <w:p w:rsidP="00007874" w:rsidR="005D4BE8" w:rsidRDefault="005D4BE8">
      <w:pPr>
        <w:pStyle w:val="Sansinterligne"/>
        <w:jc w:val="both"/>
      </w:pPr>
    </w:p>
    <w:p w:rsidP="00007874" w:rsidR="00304A72" w:rsidRDefault="00304A72">
      <w:pPr>
        <w:pStyle w:val="Sansinterligne"/>
        <w:jc w:val="both"/>
      </w:pPr>
    </w:p>
    <w:p w:rsidP="00007874" w:rsidR="00304A72" w:rsidRDefault="00304A72">
      <w:pPr>
        <w:pStyle w:val="Sansinterligne"/>
        <w:jc w:val="both"/>
      </w:pPr>
    </w:p>
    <w:p w:rsidP="00007874" w:rsidR="00304A72" w:rsidRDefault="00304A72">
      <w:pPr>
        <w:pStyle w:val="Sansinterligne"/>
        <w:jc w:val="both"/>
      </w:pPr>
    </w:p>
    <w:p w:rsidP="00007874" w:rsidR="00D85AB6" w:rsidRDefault="00EF6BAD">
      <w:pPr>
        <w:pStyle w:val="Sansinterligne"/>
        <w:jc w:val="both"/>
      </w:pPr>
      <w:r w:rsidRPr="00EF6BAD">
        <w:t xml:space="preserve">L’organisation syndicale CFTC, représentative des salariés, représentée par </w:t>
      </w:r>
    </w:p>
    <w:p w:rsidP="00007874" w:rsidR="00D85AB6" w:rsidRDefault="00D85AB6">
      <w:pPr>
        <w:pStyle w:val="Sansinterligne"/>
        <w:jc w:val="both"/>
      </w:pPr>
    </w:p>
    <w:p w:rsidP="00007874" w:rsidR="00D85AB6" w:rsidRDefault="00D85AB6">
      <w:pPr>
        <w:pStyle w:val="Sansinterligne"/>
        <w:jc w:val="both"/>
      </w:pPr>
    </w:p>
    <w:p w:rsidP="00007874" w:rsidR="005D4BE8" w:rsidRDefault="005D4BE8">
      <w:pPr>
        <w:pStyle w:val="Sansinterligne"/>
        <w:jc w:val="both"/>
      </w:pPr>
    </w:p>
    <w:sectPr w:rsidR="005D4BE8" w:rsidSect="00BC373D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code="9" w:h="16838" w:w="11906"/>
      <w:pgMar w:bottom="1418" w:footer="709" w:gutter="0" w:header="709" w:left="1418" w:right="1418" w:top="1418"/>
      <w:paperSrc w:first="259" w:other="2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F4D" w:rsidRDefault="00686F4D" w:rsidP="00686F4D">
      <w:r>
        <w:separator/>
      </w:r>
    </w:p>
  </w:endnote>
  <w:endnote w:type="continuationSeparator" w:id="0">
    <w:p w:rsidR="00686F4D" w:rsidRDefault="00686F4D" w:rsidP="00686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9D33BF" w:rsidRDefault="009D33BF">
    <w:pPr>
      <w:pStyle w:val="Pieddepage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id w:val="1576090853"/>
      <w:docPartObj>
        <w:docPartGallery w:val="Page Numbers (Bottom of Page)"/>
        <w:docPartUnique/>
      </w:docPartObj>
    </w:sdtPr>
    <w:sdtEndPr/>
    <w:sdtContent>
      <w:p w:rsidR="00D573BC" w:rsidRDefault="00D573B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D37">
          <w:rPr>
            <w:noProof/>
          </w:rPr>
          <w:t>1</w:t>
        </w:r>
        <w:r>
          <w:fldChar w:fldCharType="end"/>
        </w:r>
      </w:p>
    </w:sdtContent>
  </w:sdt>
  <w:p w:rsidR="00B04212" w:rsidRDefault="00B04212">
    <w:pPr>
      <w:pStyle w:val="Pieddepage"/>
    </w:pPr>
  </w:p>
</w:ftr>
</file>

<file path=word/footer3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9D33BF" w:rsidRDefault="009D33BF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686F4D" w:rsidR="00686F4D" w:rsidRDefault="00686F4D">
      <w:r>
        <w:separator/>
      </w:r>
    </w:p>
  </w:footnote>
  <w:footnote w:id="0" w:type="continuationSeparator">
    <w:p w:rsidP="00686F4D" w:rsidR="00686F4D" w:rsidRDefault="00686F4D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686F4D" w:rsidRDefault="00AC1E70">
    <w:pPr>
      <w:pStyle w:val="En-tte"/>
    </w:pPr>
    <w:r>
      <w:rPr>
        <w:noProof/>
      </w:rPr>
      <mc:AlternateContent>
        <mc:Choice Requires="wps">
          <w:drawing>
            <wp:anchor allowOverlap="1" behindDoc="1" distB="0" distL="114300" distR="114300" distT="0" layoutInCell="0" locked="0" relativeHeight="251657728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090285" cy="2030095"/>
              <wp:effectExtent b="1532255" l="0" r="0" t="1647825"/>
              <wp:wrapNone/>
              <wp:docPr id="1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090285" cy="20300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P="00AC1E70" w:rsidR="00AC1E70" w:rsidRDefault="00AC1E70">
                          <w:pPr>
                            <w:pStyle w:val="NormalWeb"/>
                            <w:spacing w:after="0" w:afterAutospacing="0" w:before="0" w:beforeAutospacing="0"/>
                            <w:jc w:val="center"/>
                          </w:pPr>
                          <w:r>
                            <w:rPr>
                              <w:color w:themeColor="text1" w:themeTint="80" w:val="7F7F7F"/>
                              <w:sz w:val="2"/>
                              <w:szCs w:val="2"/>
                              <w14:textFill>
                                <w14:solidFill>
                                  <w14:schemeClr w14:val="tx1">
                                    <w14:alpha w14:val="50000"/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PROJET</w:t>
                          </w:r>
                        </w:p>
                      </w:txbxContent>
                    </wps:txbx>
                    <wps:bodyPr fromWordArt="1" numCol="1" wrap="square">
                      <a:prstTxWarp prst="textPlain">
                        <a:avLst>
                          <a:gd fmla="val 50000" name="adj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>
              <v:stroke joinstyle="miter"/>
              <v:path gradientshapeok="t" o:connecttype="rect"/>
            </v:shapetype>
            <v:shape filled="f" id="WordArt 2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1feEhQIAAPwEAAAOAAAAZHJzL2Uyb0RvYy54bWysVMtu2zAQvBfoPxC8O6JU2bGEyEFe7iVt A8RFzrRIWWzFR0nakhH037uklFd7KYr6QJOr1ezszlBn54Ps0IFbJ7SqcHpCMOKq1kyoXYW/btaz JUbOU8VopxWv8JE7fL56/+6sNyXPdKs7xi0CEOXK3lS49d6USeLqlkvqTrThCh422krq4Wh3CbO0 B3TZJRkhi6TXlhmra+4cRK/Hh3gV8ZuG1/5L0zjuUVdh4ObjauO6DWuyOqPlzlLTinqiQf+BhaRC QdFnqGvqKdpb8QeUFLXVTjf+pNYy0U0jah57gG5S8ls39y01PPYCw3HmeUzu/8HWnw93FgkG2mGk qASJHmCiF9ajLAynN66EnHsDWX641ENIDI06c6vr7w4pfdVSteMX1uq+5ZQBuQA1hWMLm6MB3Bjd 8MHfMAE6pAE+eYU/FnOh0rb/pBm8Qvdex2pDYyWyOry2LEj4xTDMDwEjEPb4LCYUQDUEF6Qg2XKO UQ3PMvKBkGIeS9IyoIUejHX+I9cShU2FLbglwtLDrfOB3UtKSAdkiE+7Ud3HIs1ycpkVs/VieTrL 1/l8VpyS5YykxWWxIHmRX69/BtA0L1vBGFe3QvEnp6X53yk5eX70SPQa6itczLN55Ot0J9hadF3g 5uxue9VZdKDB8uOsxl7epFm9VwzitAyi3Ux7T0U37pO3jOMwYABP/3EQUb0g2CidH7YDIAZJt5od QcceLlaF3Y89tRw8sZdXGkiBERqr5eSzcA40ggab4YFaM8nhodxd93SxoiYhb8cmn1L2DYBkB/cV ekXz6Iqx0yl50m9EjbMxF+CotYjivvCcfAhXLLY3fQ7CHX59jlkvH63VLwAAAP//AwBQSwMEFAAG AAgAAAAhAH0gySfcAAAABQEAAA8AAABkcnMvZG93bnJldi54bWxMj81OwzAQhO9IvIO1SNyoEyp+ EuJUiIhDj20RZzfeJgF7HWKnSXl6Fi7lstJoRjPfFqvZWXHEIXSeFKSLBARS7U1HjYK33evNI4gQ NRltPaGCEwZYlZcXhc6Nn2iDx21sBJdQyLWCNsY+lzLULTodFr5HYu/gB6cjy6GRZtATlzsrb5Pk XjrdES+0useXFuvP7egUmO/DqV9O02693lTjl+2qCt8/lLq+mp+fQESc4zkMv/iMDiUz7f1IJgir gB+Jf5e97C5LQewVLNPsAWRZyP/05Q8AAAD//wMAUEsBAi0AFAAGAAgAAAAhALaDOJL+AAAA4QEA ABMAAAAAAAAAAAAAAAAAAAAAAFtDb250ZW50X1R5cGVzXS54bWxQSwECLQAUAAYACAAAACEAOP0h /9YAAACUAQAACwAAAAAAAAAAAAAAAAAvAQAAX3JlbHMvLnJlbHNQSwECLQAUAAYACAAAACEA1NX3 hIUCAAD8BAAADgAAAAAAAAAAAAAAAAAuAgAAZHJzL2Uyb0RvYy54bWxQSwECLQAUAAYACAAAACEA fSDJJ9wAAAAFAQAADwAAAAAAAAAAAAAAAADfBAAAZHJzL2Rvd25yZXYueG1sUEsFBgAAAAAEAAQA 8wAAAOgFAAAAAA== " o:spid="_x0000_s1026" stroked="f" style="position:absolute;margin-left:0;margin-top:0;width:479.55pt;height:159.85pt;rotation:-45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type="#_x0000_t202">
              <v:stroke joinstyle="round"/>
              <o:lock shapetype="t" v:ext="edit"/>
              <v:textbox style="mso-fit-shape-to-text:t">
                <w:txbxContent>
                  <w:p w:rsidP="00AC1E70" w:rsidR="00AC1E70" w:rsidRDefault="00AC1E70">
                    <w:pPr>
                      <w:pStyle w:val="NormalWeb"/>
                      <w:spacing w:after="0" w:afterAutospacing="0" w:before="0" w:beforeAutospacing="0"/>
                      <w:jc w:val="center"/>
                    </w:pPr>
                    <w:r>
                      <w:rPr>
                        <w:color w:themeColor="text1" w:themeTint="80" w:val="7F7F7F"/>
                        <w:sz w:val="2"/>
                        <w:szCs w:val="2"/>
                        <w14:textFill>
                          <w14:solidFill>
                            <w14:schemeClr w14:val="tx1">
                              <w14:alpha w14:val="50000"/>
                              <w14:lumMod w14:val="50000"/>
                              <w14:lumOff w14:val="50000"/>
                            </w14:schemeClr>
                          </w14:solidFill>
                        </w14:textFill>
                      </w:rPr>
                      <w:t>PROJET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9D33BF" w:rsidRDefault="009D33BF">
    <w:pPr>
      <w:pStyle w:val="En-tte"/>
    </w:pPr>
  </w:p>
</w:hdr>
</file>

<file path=word/header3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9D33BF" w:rsidRDefault="009D33BF">
    <w:pPr>
      <w:pStyle w:val="En-tte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7D471DB"/>
    <w:multiLevelType w:val="multilevel"/>
    <w:tmpl w:val="466050CC"/>
    <w:lvl w:ilvl="0">
      <w:start w:val="2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">
    <w:nsid w:val="08AD0FEE"/>
    <w:multiLevelType w:val="multilevel"/>
    <w:tmpl w:val="A1CA3A04"/>
    <w:lvl w:ilvl="0">
      <w:start w:val="2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7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7560"/>
      </w:pPr>
      <w:rPr>
        <w:rFonts w:hint="default"/>
      </w:rPr>
    </w:lvl>
  </w:abstractNum>
  <w:abstractNum w15:restartNumberingAfterBreak="0" w:abstractNumId="2">
    <w:nsid w:val="0DF349E0"/>
    <w:multiLevelType w:val="hybridMultilevel"/>
    <w:tmpl w:val="3EEE976C"/>
    <w:lvl w:ilvl="0" w:tplc="AD4CB870">
      <w:start w:val="4"/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5AC0E8A"/>
    <w:multiLevelType w:val="multilevel"/>
    <w:tmpl w:val="02000B8C"/>
    <w:lvl w:ilvl="0">
      <w:start w:val="2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7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7560"/>
      </w:pPr>
      <w:rPr>
        <w:rFonts w:hint="default"/>
      </w:rPr>
    </w:lvl>
  </w:abstractNum>
  <w:abstractNum w15:restartNumberingAfterBreak="0" w:abstractNumId="4">
    <w:nsid w:val="218700E9"/>
    <w:multiLevelType w:val="multilevel"/>
    <w:tmpl w:val="15466CCE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hint="default"/>
      </w:rPr>
    </w:lvl>
  </w:abstractNum>
  <w:abstractNum w15:restartNumberingAfterBreak="0" w:abstractNumId="5">
    <w:nsid w:val="31F83FA6"/>
    <w:multiLevelType w:val="multilevel"/>
    <w:tmpl w:val="06D8DB8E"/>
    <w:lvl w:ilvl="0">
      <w:start w:val="2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7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7560"/>
      </w:pPr>
      <w:rPr>
        <w:rFonts w:hint="default"/>
      </w:rPr>
    </w:lvl>
  </w:abstractNum>
  <w:abstractNum w15:restartNumberingAfterBreak="0" w:abstractNumId="6">
    <w:nsid w:val="34107DCF"/>
    <w:multiLevelType w:val="hybridMultilevel"/>
    <w:tmpl w:val="6652DC38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BF37ED"/>
    <w:multiLevelType w:val="hybridMultilevel"/>
    <w:tmpl w:val="F8DEFDA8"/>
    <w:lvl w:ilvl="0" w:tplc="B6C8C234">
      <w:start w:val="2"/>
      <w:numFmt w:val="bullet"/>
      <w:lvlText w:val=""/>
      <w:lvlJc w:val="left"/>
      <w:pPr>
        <w:ind w:hanging="360" w:left="720"/>
      </w:pPr>
      <w:rPr>
        <w:rFonts w:ascii="Wingdings" w:cstheme="minorBidi" w:eastAsiaTheme="minorHAnsi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B9D27A5"/>
    <w:multiLevelType w:val="multilevel"/>
    <w:tmpl w:val="38A44F92"/>
    <w:lvl w:ilvl="0">
      <w:start w:val="2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7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7560"/>
      </w:pPr>
      <w:rPr>
        <w:rFonts w:hint="default"/>
      </w:rPr>
    </w:lvl>
  </w:abstractNum>
  <w:abstractNum w15:restartNumberingAfterBreak="0" w:abstractNumId="9">
    <w:nsid w:val="3F5141EB"/>
    <w:multiLevelType w:val="multilevel"/>
    <w:tmpl w:val="94445CF0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4"/>
      <w:numFmt w:val="decimal"/>
      <w:isLgl/>
      <w:lvlText w:val="%1.%2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720" w:left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080" w:left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080" w:left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440" w:left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440" w:left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800" w:left="2160"/>
      </w:pPr>
      <w:rPr>
        <w:rFonts w:hint="default"/>
      </w:rPr>
    </w:lvl>
  </w:abstractNum>
  <w:abstractNum w15:restartNumberingAfterBreak="0" w:abstractNumId="10">
    <w:nsid w:val="445C3B92"/>
    <w:multiLevelType w:val="hybridMultilevel"/>
    <w:tmpl w:val="12E646DE"/>
    <w:lvl w:ilvl="0" w:tplc="357676A4">
      <w:start w:val="1"/>
      <w:numFmt w:val="upp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64833C83"/>
    <w:multiLevelType w:val="hybridMultilevel"/>
    <w:tmpl w:val="81D445A2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697F7BC5"/>
    <w:multiLevelType w:val="multilevel"/>
    <w:tmpl w:val="F1E44CB2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3">
    <w:nsid w:val="744B2683"/>
    <w:multiLevelType w:val="hybridMultilevel"/>
    <w:tmpl w:val="8CDE88BA"/>
    <w:lvl w:ilvl="0" w:tplc="72303F30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6B72B49"/>
    <w:multiLevelType w:val="hybridMultilevel"/>
    <w:tmpl w:val="01B0FBBA"/>
    <w:lvl w:ilvl="0" w:tplc="D624E508">
      <w:start w:val="2"/>
      <w:numFmt w:val="bullet"/>
      <w:lvlText w:val=""/>
      <w:lvlJc w:val="left"/>
      <w:pPr>
        <w:ind w:hanging="360" w:left="720"/>
      </w:pPr>
      <w:rPr>
        <w:rFonts w:ascii="Wingdings" w:cstheme="minorBidi" w:eastAsiaTheme="minorHAnsi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7DEE6C39"/>
    <w:multiLevelType w:val="hybridMultilevel"/>
    <w:tmpl w:val="3218443A"/>
    <w:lvl w:ilvl="0" w:tplc="040C0003">
      <w:start w:val="1"/>
      <w:numFmt w:val="bullet"/>
      <w:lvlText w:val="o"/>
      <w:lvlJc w:val="left"/>
      <w:pPr>
        <w:ind w:hanging="360" w:left="1068"/>
      </w:pPr>
      <w:rPr>
        <w:rFonts w:ascii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2"/>
  </w:num>
  <w:num w:numId="5">
    <w:abstractNumId w:val="13"/>
  </w:num>
  <w:num w:numId="6">
    <w:abstractNumId w:val="12"/>
  </w:num>
  <w:num w:numId="7">
    <w:abstractNumId w:val="10"/>
  </w:num>
  <w:num w:numId="8">
    <w:abstractNumId w:val="15"/>
  </w:num>
  <w:num w:numId="9">
    <w:abstractNumId w:val="9"/>
  </w:num>
  <w:num w:numId="10">
    <w:abstractNumId w:val="11"/>
  </w:num>
  <w:num w:numId="11">
    <w:abstractNumId w:val="5"/>
  </w:num>
  <w:num w:numId="12">
    <w:abstractNumId w:val="1"/>
  </w:num>
  <w:num w:numId="13">
    <w:abstractNumId w:val="0"/>
  </w:num>
  <w:num w:numId="14">
    <w:abstractNumId w:val="3"/>
  </w:num>
  <w:num w:numId="15">
    <w:abstractNumId w:val="8"/>
  </w:num>
  <w:num w:numId="16">
    <w:abstractNumId w:val="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fr-FR" w:nlCheck="1" w:vendorID="64"/>
  <w:defaultTabStop w:val="708"/>
  <w:hyphenationZone w:val="425"/>
  <w:characterSpacingControl w:val="doNotCompress"/>
  <w:hdrShapeDefaults>
    <o:shapedefaults spidmax="61441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BE"/>
    <w:rsid w:val="00007874"/>
    <w:rsid w:val="00022F8A"/>
    <w:rsid w:val="0003608B"/>
    <w:rsid w:val="00037766"/>
    <w:rsid w:val="000505AF"/>
    <w:rsid w:val="00054C02"/>
    <w:rsid w:val="0006371D"/>
    <w:rsid w:val="00063B37"/>
    <w:rsid w:val="000670AA"/>
    <w:rsid w:val="0007024A"/>
    <w:rsid w:val="000964F8"/>
    <w:rsid w:val="00097A83"/>
    <w:rsid w:val="000C2BD5"/>
    <w:rsid w:val="000D53A9"/>
    <w:rsid w:val="000F4D95"/>
    <w:rsid w:val="00111772"/>
    <w:rsid w:val="00123A37"/>
    <w:rsid w:val="001271FD"/>
    <w:rsid w:val="00151BA2"/>
    <w:rsid w:val="00152822"/>
    <w:rsid w:val="00170CD4"/>
    <w:rsid w:val="00184585"/>
    <w:rsid w:val="001B036B"/>
    <w:rsid w:val="001B30DB"/>
    <w:rsid w:val="001C3619"/>
    <w:rsid w:val="001D01A5"/>
    <w:rsid w:val="001D1095"/>
    <w:rsid w:val="001D25B6"/>
    <w:rsid w:val="001E4B0E"/>
    <w:rsid w:val="001F17A6"/>
    <w:rsid w:val="00200CAC"/>
    <w:rsid w:val="00215BB1"/>
    <w:rsid w:val="00236D3B"/>
    <w:rsid w:val="002433DA"/>
    <w:rsid w:val="0024475D"/>
    <w:rsid w:val="00251D29"/>
    <w:rsid w:val="00255C6E"/>
    <w:rsid w:val="00256E37"/>
    <w:rsid w:val="00257C8F"/>
    <w:rsid w:val="00272201"/>
    <w:rsid w:val="00274180"/>
    <w:rsid w:val="00277AD7"/>
    <w:rsid w:val="002872DF"/>
    <w:rsid w:val="00293E0D"/>
    <w:rsid w:val="002A300E"/>
    <w:rsid w:val="002B2743"/>
    <w:rsid w:val="002C1415"/>
    <w:rsid w:val="002C1A3E"/>
    <w:rsid w:val="002E276F"/>
    <w:rsid w:val="002F10DE"/>
    <w:rsid w:val="002F142A"/>
    <w:rsid w:val="002F3530"/>
    <w:rsid w:val="00304397"/>
    <w:rsid w:val="00304A72"/>
    <w:rsid w:val="00307C10"/>
    <w:rsid w:val="00326E7D"/>
    <w:rsid w:val="0033125E"/>
    <w:rsid w:val="003429D3"/>
    <w:rsid w:val="00354C59"/>
    <w:rsid w:val="00355BF0"/>
    <w:rsid w:val="003563E8"/>
    <w:rsid w:val="003748CB"/>
    <w:rsid w:val="003831BE"/>
    <w:rsid w:val="00383CE7"/>
    <w:rsid w:val="00384C83"/>
    <w:rsid w:val="00392244"/>
    <w:rsid w:val="003971C6"/>
    <w:rsid w:val="003A76AB"/>
    <w:rsid w:val="003B1C12"/>
    <w:rsid w:val="003C66FE"/>
    <w:rsid w:val="003E5CA2"/>
    <w:rsid w:val="003F1417"/>
    <w:rsid w:val="003F340C"/>
    <w:rsid w:val="003F4B4F"/>
    <w:rsid w:val="003F5CD5"/>
    <w:rsid w:val="00402AAB"/>
    <w:rsid w:val="00413EB9"/>
    <w:rsid w:val="00447483"/>
    <w:rsid w:val="00454B65"/>
    <w:rsid w:val="00466B28"/>
    <w:rsid w:val="00467D2F"/>
    <w:rsid w:val="00472E7C"/>
    <w:rsid w:val="00473743"/>
    <w:rsid w:val="00474719"/>
    <w:rsid w:val="00476F4C"/>
    <w:rsid w:val="00485F87"/>
    <w:rsid w:val="00486B7D"/>
    <w:rsid w:val="004873A0"/>
    <w:rsid w:val="004A2B01"/>
    <w:rsid w:val="004A3C44"/>
    <w:rsid w:val="004A4BC9"/>
    <w:rsid w:val="004E08F0"/>
    <w:rsid w:val="004F4652"/>
    <w:rsid w:val="004F7F12"/>
    <w:rsid w:val="005029CD"/>
    <w:rsid w:val="00510578"/>
    <w:rsid w:val="0051257B"/>
    <w:rsid w:val="0051441D"/>
    <w:rsid w:val="00515DE0"/>
    <w:rsid w:val="00517273"/>
    <w:rsid w:val="005203FD"/>
    <w:rsid w:val="00537790"/>
    <w:rsid w:val="0055414F"/>
    <w:rsid w:val="00561D0E"/>
    <w:rsid w:val="00577D88"/>
    <w:rsid w:val="0058794B"/>
    <w:rsid w:val="005907FD"/>
    <w:rsid w:val="00592D40"/>
    <w:rsid w:val="005A0C90"/>
    <w:rsid w:val="005A6152"/>
    <w:rsid w:val="005C3EE8"/>
    <w:rsid w:val="005D4BE8"/>
    <w:rsid w:val="005D5037"/>
    <w:rsid w:val="005D5DA1"/>
    <w:rsid w:val="005D6EFF"/>
    <w:rsid w:val="005E2BD9"/>
    <w:rsid w:val="005E31D9"/>
    <w:rsid w:val="005F145E"/>
    <w:rsid w:val="00601CCC"/>
    <w:rsid w:val="006065BD"/>
    <w:rsid w:val="00610F96"/>
    <w:rsid w:val="00613FDD"/>
    <w:rsid w:val="00623379"/>
    <w:rsid w:val="00626042"/>
    <w:rsid w:val="006271A5"/>
    <w:rsid w:val="00647082"/>
    <w:rsid w:val="00652CB6"/>
    <w:rsid w:val="00653BDE"/>
    <w:rsid w:val="006629CE"/>
    <w:rsid w:val="00677784"/>
    <w:rsid w:val="00685CF3"/>
    <w:rsid w:val="00686F4D"/>
    <w:rsid w:val="00690043"/>
    <w:rsid w:val="006B5545"/>
    <w:rsid w:val="006C650F"/>
    <w:rsid w:val="006E4374"/>
    <w:rsid w:val="00704117"/>
    <w:rsid w:val="00704D37"/>
    <w:rsid w:val="00724A41"/>
    <w:rsid w:val="00730A6B"/>
    <w:rsid w:val="00735757"/>
    <w:rsid w:val="00760AAC"/>
    <w:rsid w:val="00764B32"/>
    <w:rsid w:val="00782637"/>
    <w:rsid w:val="007A5114"/>
    <w:rsid w:val="007A5DBE"/>
    <w:rsid w:val="007A7F0C"/>
    <w:rsid w:val="007B7978"/>
    <w:rsid w:val="007C51CF"/>
    <w:rsid w:val="007C6D24"/>
    <w:rsid w:val="00800E21"/>
    <w:rsid w:val="00804605"/>
    <w:rsid w:val="00812DEE"/>
    <w:rsid w:val="008142E4"/>
    <w:rsid w:val="00840281"/>
    <w:rsid w:val="00842F7B"/>
    <w:rsid w:val="0085147C"/>
    <w:rsid w:val="0087112B"/>
    <w:rsid w:val="00871D80"/>
    <w:rsid w:val="00875BAE"/>
    <w:rsid w:val="008A2F6E"/>
    <w:rsid w:val="008B5318"/>
    <w:rsid w:val="008B58E1"/>
    <w:rsid w:val="008D13F3"/>
    <w:rsid w:val="008D3BBB"/>
    <w:rsid w:val="008E597A"/>
    <w:rsid w:val="008F1661"/>
    <w:rsid w:val="00907088"/>
    <w:rsid w:val="00907EE7"/>
    <w:rsid w:val="00914FB6"/>
    <w:rsid w:val="00925F9E"/>
    <w:rsid w:val="00940B60"/>
    <w:rsid w:val="0094558C"/>
    <w:rsid w:val="0094796F"/>
    <w:rsid w:val="0097143C"/>
    <w:rsid w:val="00971A2B"/>
    <w:rsid w:val="00972EB2"/>
    <w:rsid w:val="0098207E"/>
    <w:rsid w:val="00994184"/>
    <w:rsid w:val="009B0117"/>
    <w:rsid w:val="009B433A"/>
    <w:rsid w:val="009B5480"/>
    <w:rsid w:val="009C1715"/>
    <w:rsid w:val="009C6C9C"/>
    <w:rsid w:val="009D163A"/>
    <w:rsid w:val="009D33BF"/>
    <w:rsid w:val="009D6A33"/>
    <w:rsid w:val="00A17C43"/>
    <w:rsid w:val="00A53F5D"/>
    <w:rsid w:val="00A97C77"/>
    <w:rsid w:val="00AA08E9"/>
    <w:rsid w:val="00AA1955"/>
    <w:rsid w:val="00AA2DDE"/>
    <w:rsid w:val="00AB0048"/>
    <w:rsid w:val="00AB2C11"/>
    <w:rsid w:val="00AB42A5"/>
    <w:rsid w:val="00AC1E70"/>
    <w:rsid w:val="00AC7D5B"/>
    <w:rsid w:val="00AD155F"/>
    <w:rsid w:val="00AD4916"/>
    <w:rsid w:val="00AE09CD"/>
    <w:rsid w:val="00AE2FE2"/>
    <w:rsid w:val="00AE40E0"/>
    <w:rsid w:val="00AF0933"/>
    <w:rsid w:val="00B03F8D"/>
    <w:rsid w:val="00B04212"/>
    <w:rsid w:val="00B12CFC"/>
    <w:rsid w:val="00B148B8"/>
    <w:rsid w:val="00B423F0"/>
    <w:rsid w:val="00B53842"/>
    <w:rsid w:val="00B53D10"/>
    <w:rsid w:val="00B54E27"/>
    <w:rsid w:val="00B564A0"/>
    <w:rsid w:val="00B56EEF"/>
    <w:rsid w:val="00B57469"/>
    <w:rsid w:val="00B609F4"/>
    <w:rsid w:val="00B72D4A"/>
    <w:rsid w:val="00B74979"/>
    <w:rsid w:val="00B82E0D"/>
    <w:rsid w:val="00B8592E"/>
    <w:rsid w:val="00B9310C"/>
    <w:rsid w:val="00BA0FD7"/>
    <w:rsid w:val="00BA1F5B"/>
    <w:rsid w:val="00BA6DE1"/>
    <w:rsid w:val="00BC373D"/>
    <w:rsid w:val="00BC5C11"/>
    <w:rsid w:val="00BC6F30"/>
    <w:rsid w:val="00BC7600"/>
    <w:rsid w:val="00BC79C6"/>
    <w:rsid w:val="00BD4437"/>
    <w:rsid w:val="00BD7250"/>
    <w:rsid w:val="00BE2B47"/>
    <w:rsid w:val="00BF03CE"/>
    <w:rsid w:val="00C05D0A"/>
    <w:rsid w:val="00C05EEC"/>
    <w:rsid w:val="00C1551D"/>
    <w:rsid w:val="00C15DC1"/>
    <w:rsid w:val="00C2178B"/>
    <w:rsid w:val="00C263CD"/>
    <w:rsid w:val="00C33252"/>
    <w:rsid w:val="00C53AC7"/>
    <w:rsid w:val="00C540FF"/>
    <w:rsid w:val="00C80120"/>
    <w:rsid w:val="00C948A1"/>
    <w:rsid w:val="00C94AC1"/>
    <w:rsid w:val="00CA74BB"/>
    <w:rsid w:val="00CB7920"/>
    <w:rsid w:val="00CD737D"/>
    <w:rsid w:val="00CE1911"/>
    <w:rsid w:val="00CF2AA9"/>
    <w:rsid w:val="00CF435B"/>
    <w:rsid w:val="00D02198"/>
    <w:rsid w:val="00D031BF"/>
    <w:rsid w:val="00D23504"/>
    <w:rsid w:val="00D26CC3"/>
    <w:rsid w:val="00D27C02"/>
    <w:rsid w:val="00D43512"/>
    <w:rsid w:val="00D573BC"/>
    <w:rsid w:val="00D659DE"/>
    <w:rsid w:val="00D85AB6"/>
    <w:rsid w:val="00DA7A72"/>
    <w:rsid w:val="00DE12FB"/>
    <w:rsid w:val="00DE5B24"/>
    <w:rsid w:val="00DF311E"/>
    <w:rsid w:val="00DF72E9"/>
    <w:rsid w:val="00E14492"/>
    <w:rsid w:val="00E245BE"/>
    <w:rsid w:val="00E30EBB"/>
    <w:rsid w:val="00E66A64"/>
    <w:rsid w:val="00E75866"/>
    <w:rsid w:val="00E83F74"/>
    <w:rsid w:val="00E8505F"/>
    <w:rsid w:val="00E878C9"/>
    <w:rsid w:val="00E91F21"/>
    <w:rsid w:val="00E97C8C"/>
    <w:rsid w:val="00EA2687"/>
    <w:rsid w:val="00ED2FA9"/>
    <w:rsid w:val="00EE7DCA"/>
    <w:rsid w:val="00EF3BB3"/>
    <w:rsid w:val="00EF6BAD"/>
    <w:rsid w:val="00F00ACE"/>
    <w:rsid w:val="00F26098"/>
    <w:rsid w:val="00F5222F"/>
    <w:rsid w:val="00F732F3"/>
    <w:rsid w:val="00F73B1C"/>
    <w:rsid w:val="00F73E2B"/>
    <w:rsid w:val="00F84662"/>
    <w:rsid w:val="00F96CE4"/>
    <w:rsid w:val="00FB4523"/>
    <w:rsid w:val="00FB4C70"/>
    <w:rsid w:val="00FB7AC2"/>
    <w:rsid w:val="00FC186E"/>
    <w:rsid w:val="00FC468B"/>
    <w:rsid w:val="00FE39C3"/>
    <w:rsid w:val="00FF124A"/>
    <w:rsid w:val="00F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41" v:ext="edit"/>
    <o:shapelayout v:ext="edit">
      <o:idmap data="1" v:ext="edit"/>
    </o:shapelayout>
  </w:shapeDefaults>
  <w:decimalSymbol w:val=","/>
  <w:listSeparator w:val=";"/>
  <w15:docId w15:val="{353337D8-4E86-499C-9F2B-93B15DD1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A97C77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</w:style>
  <w:style w:default="1" w:styleId="Policepardfaut" w:type="character">
    <w:name w:val="Default Paragraph Font"/>
    <w:uiPriority w:val="1"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Sansinterligne" w:type="paragraph">
    <w:name w:val="No Spacing"/>
    <w:uiPriority w:val="1"/>
    <w:qFormat/>
    <w:rsid w:val="007A5DBE"/>
    <w:pPr>
      <w:spacing w:after="0" w:line="240" w:lineRule="auto"/>
    </w:pPr>
  </w:style>
  <w:style w:styleId="Paragraphedeliste" w:type="paragraph">
    <w:name w:val="List Paragraph"/>
    <w:basedOn w:val="Normal"/>
    <w:uiPriority w:val="34"/>
    <w:qFormat/>
    <w:rsid w:val="00623379"/>
    <w:pPr>
      <w:ind w:left="720"/>
      <w:contextualSpacing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686F4D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86F4D"/>
    <w:rPr>
      <w:rFonts w:ascii="Tahoma" w:cs="Tahoma" w:eastAsia="Times New Roman" w:hAnsi="Tahoma"/>
      <w:sz w:val="16"/>
      <w:szCs w:val="16"/>
      <w:lang w:eastAsia="fr-FR"/>
    </w:rPr>
  </w:style>
  <w:style w:styleId="En-tte" w:type="paragraph">
    <w:name w:val="header"/>
    <w:basedOn w:val="Normal"/>
    <w:link w:val="En-tteCar"/>
    <w:uiPriority w:val="99"/>
    <w:unhideWhenUsed/>
    <w:rsid w:val="00686F4D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686F4D"/>
    <w:rPr>
      <w:rFonts w:ascii="Times New Roman" w:cs="Times New Roman" w:eastAsia="Times New Roman" w:hAnsi="Times New Roman"/>
      <w:sz w:val="20"/>
      <w:szCs w:val="20"/>
      <w:lang w:eastAsia="fr-FR"/>
    </w:rPr>
  </w:style>
  <w:style w:styleId="Pieddepage" w:type="paragraph">
    <w:name w:val="footer"/>
    <w:basedOn w:val="Normal"/>
    <w:link w:val="PieddepageCar"/>
    <w:uiPriority w:val="99"/>
    <w:unhideWhenUsed/>
    <w:rsid w:val="00686F4D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686F4D"/>
    <w:rPr>
      <w:rFonts w:ascii="Times New Roman" w:cs="Times New Roman" w:eastAsia="Times New Roman" w:hAnsi="Times New Roman"/>
      <w:sz w:val="20"/>
      <w:szCs w:val="20"/>
      <w:lang w:eastAsia="fr-FR"/>
    </w:rPr>
  </w:style>
  <w:style w:customStyle="1" w:styleId="tiident" w:type="paragraph">
    <w:name w:val="tiident"/>
    <w:basedOn w:val="Normal"/>
    <w:rsid w:val="0024475D"/>
    <w:pPr>
      <w:spacing w:after="100" w:afterAutospacing="1" w:before="100" w:beforeAutospacing="1"/>
    </w:pPr>
    <w:rPr>
      <w:sz w:val="24"/>
      <w:szCs w:val="24"/>
    </w:rPr>
  </w:style>
  <w:style w:styleId="Grilledutableau" w:type="table">
    <w:name w:val="Table Grid"/>
    <w:basedOn w:val="TableauNormal"/>
    <w:uiPriority w:val="59"/>
    <w:rsid w:val="00C15DC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ormalWeb" w:type="paragraph">
    <w:name w:val="Normal (Web)"/>
    <w:basedOn w:val="Normal"/>
    <w:uiPriority w:val="99"/>
    <w:semiHidden/>
    <w:unhideWhenUsed/>
    <w:rsid w:val="00AC1E70"/>
    <w:pPr>
      <w:spacing w:after="100" w:afterAutospacing="1" w:before="100" w:before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8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FA432-4A13-42C8-82D7-20EB5E696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1189</Words>
  <Characters>6544</Characters>
  <Application>Microsoft Office Word</Application>
  <DocSecurity>0</DocSecurity>
  <Lines>54</Lines>
  <Paragraphs>15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2023-06-13T14:15:00Z</dcterms:created>
  <cp:lastPrinted>2023-06-07T12:51:00Z</cp:lastPrinted>
  <dcterms:modified xsi:type="dcterms:W3CDTF">2023-06-13T14:15:00Z</dcterms:modified>
  <cp:revision>2</cp:revision>
</cp:coreProperties>
</file>