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669F56F" w14:textId="77777777" w:rsidP="004A3C78" w:rsidR="004A3C78" w:rsidRDefault="004A3C78" w:rsidRPr="00F425BA">
      <w:pPr>
        <w:pBdr>
          <w:top w:color="auto" w:space="1" w:sz="24" w:val="thinThickSmallGap"/>
          <w:left w:color="auto" w:space="4" w:sz="24" w:val="thinThickSmallGap"/>
          <w:bottom w:color="auto" w:space="1" w:sz="24" w:val="thickThinSmallGap"/>
          <w:right w:color="auto" w:space="4" w:sz="24" w:val="thickThinSmallGap"/>
        </w:pBdr>
        <w:shd w:color="auto" w:fill="F2F2F2" w:val="clear"/>
        <w:spacing w:after="0" w:line="240" w:lineRule="auto"/>
        <w:jc w:val="center"/>
        <w:rPr>
          <w:rFonts w:ascii="Verdana" w:cs="Arial" w:hAnsi="Verdana"/>
          <w:b/>
          <w:smallCaps/>
          <w:sz w:val="16"/>
          <w:szCs w:val="16"/>
          <w:lang w:val="fr-FR"/>
        </w:rPr>
      </w:pPr>
      <w:r w:rsidRPr="00F425BA">
        <w:rPr>
          <w:rFonts w:ascii="Verdana" w:cs="Arial" w:hAnsi="Verdana"/>
          <w:b/>
          <w:smallCaps/>
          <w:sz w:val="16"/>
          <w:szCs w:val="16"/>
          <w:lang w:val="fr-FR"/>
        </w:rPr>
        <w:t>Négociation Annuelle Obligatoire</w:t>
      </w:r>
    </w:p>
    <w:p w14:paraId="49F97BBD" w14:textId="69DD7B0B" w:rsidP="004A3C78" w:rsidR="004A3C78" w:rsidRDefault="00FE5DC3" w:rsidRPr="00F425BA">
      <w:pPr>
        <w:pBdr>
          <w:top w:color="auto" w:space="1" w:sz="24" w:val="thinThickSmallGap"/>
          <w:left w:color="auto" w:space="4" w:sz="24" w:val="thinThickSmallGap"/>
          <w:bottom w:color="auto" w:space="1" w:sz="24" w:val="thickThinSmallGap"/>
          <w:right w:color="auto" w:space="4" w:sz="24" w:val="thickThinSmallGap"/>
        </w:pBdr>
        <w:shd w:color="auto" w:fill="F2F2F2" w:val="clear"/>
        <w:spacing w:after="0" w:before="120" w:line="240" w:lineRule="auto"/>
        <w:jc w:val="center"/>
        <w:rPr>
          <w:rFonts w:ascii="Verdana" w:cs="Arial" w:hAnsi="Verdana"/>
          <w:b/>
          <w:smallCaps/>
          <w:sz w:val="16"/>
          <w:szCs w:val="16"/>
          <w:lang w:val="fr-FR"/>
        </w:rPr>
      </w:pPr>
      <w:r w:rsidRPr="00F425BA">
        <w:rPr>
          <w:rFonts w:ascii="Verdana" w:cs="Arial" w:hAnsi="Verdana"/>
          <w:b/>
          <w:smallCaps/>
          <w:sz w:val="16"/>
          <w:szCs w:val="16"/>
          <w:lang w:val="fr-FR"/>
        </w:rPr>
        <w:t>Accord collectif d’entreprise</w:t>
      </w:r>
    </w:p>
    <w:p w14:paraId="030CE864" w14:textId="77777777" w:rsidP="004A3C78" w:rsidR="004A3C78" w:rsidRDefault="004A3C78" w:rsidRPr="00F425BA">
      <w:pPr>
        <w:spacing w:after="0" w:line="240" w:lineRule="auto"/>
        <w:jc w:val="both"/>
        <w:rPr>
          <w:rFonts w:ascii="Verdana" w:cs="Arial" w:hAnsi="Verdana"/>
          <w:sz w:val="16"/>
          <w:szCs w:val="16"/>
          <w:lang w:val="fr-FR"/>
        </w:rPr>
      </w:pPr>
    </w:p>
    <w:p w14:paraId="213BF8EE" w14:textId="77777777" w:rsidP="004A3C78" w:rsidR="004A3C78" w:rsidRDefault="004A3C78" w:rsidRPr="00F425BA">
      <w:pPr>
        <w:jc w:val="both"/>
        <w:rPr>
          <w:rFonts w:ascii="Verdana" w:cs="Arial" w:hAnsi="Verdana"/>
          <w:sz w:val="16"/>
          <w:szCs w:val="16"/>
          <w:lang w:val="fr-FR"/>
        </w:rPr>
      </w:pPr>
    </w:p>
    <w:p w14:paraId="14C98993" w14:textId="77777777" w:rsidP="004A3C78" w:rsidR="004A3C78" w:rsidRDefault="004A3C78" w:rsidRPr="00F425BA">
      <w:pPr>
        <w:jc w:val="both"/>
        <w:rPr>
          <w:rFonts w:ascii="Verdana" w:cs="Arial" w:eastAsia="Times New Roman" w:hAnsi="Verdana"/>
          <w:b/>
          <w:sz w:val="16"/>
          <w:szCs w:val="16"/>
          <w:u w:val="single"/>
          <w:lang w:eastAsia="fr-FR" w:val="fr-FR"/>
        </w:rPr>
      </w:pPr>
      <w:r w:rsidRPr="00F425BA">
        <w:rPr>
          <w:rFonts w:ascii="Verdana" w:cs="Arial" w:hAnsi="Verdana"/>
          <w:b/>
          <w:sz w:val="16"/>
          <w:szCs w:val="16"/>
          <w:u w:val="single"/>
          <w:lang w:val="fr-FR"/>
        </w:rPr>
        <w:t>Entre les soussignés :</w:t>
      </w:r>
    </w:p>
    <w:p w14:paraId="12AF7EFB" w14:textId="77777777" w:rsidP="004A3C78" w:rsidR="004A3C78" w:rsidRDefault="004A3C78" w:rsidRPr="00F425BA">
      <w:pPr>
        <w:spacing w:after="0" w:line="240" w:lineRule="auto"/>
        <w:jc w:val="both"/>
        <w:rPr>
          <w:rFonts w:ascii="Verdana" w:cs="Arial" w:eastAsia="Times New Roman" w:hAnsi="Verdana"/>
          <w:b/>
          <w:sz w:val="16"/>
          <w:szCs w:val="16"/>
          <w:lang w:eastAsia="fr-FR" w:val="fr-FR"/>
        </w:rPr>
      </w:pPr>
    </w:p>
    <w:p w14:paraId="71A72DF6" w14:textId="49A6E441" w:rsidP="004A3C78" w:rsidR="004A3C78" w:rsidRDefault="004A3C78" w:rsidRPr="00F425BA">
      <w:pPr>
        <w:spacing w:after="0" w:line="240" w:lineRule="auto"/>
        <w:jc w:val="both"/>
        <w:rPr>
          <w:rFonts w:ascii="Verdana" w:cs="Arial" w:eastAsia="Times New Roman" w:hAnsi="Verdana"/>
          <w:snapToGrid w:val="0"/>
          <w:sz w:val="16"/>
          <w:szCs w:val="16"/>
          <w:lang w:eastAsia="fr-FR" w:val="fr-FR"/>
        </w:rPr>
      </w:pPr>
      <w:r w:rsidRPr="00F425BA">
        <w:rPr>
          <w:rFonts w:ascii="Verdana" w:cs="Arial" w:eastAsia="Times New Roman" w:hAnsi="Verdana"/>
          <w:sz w:val="16"/>
          <w:szCs w:val="16"/>
          <w:lang w:eastAsia="fr-FR" w:val="fr-FR"/>
        </w:rPr>
        <w:t>La société Ortho</w:t>
      </w:r>
      <w:r w:rsidR="0064235F" w:rsidRPr="00F425BA">
        <w:rPr>
          <w:rFonts w:ascii="Verdana" w:cs="Arial" w:eastAsia="Times New Roman" w:hAnsi="Verdana"/>
          <w:sz w:val="16"/>
          <w:szCs w:val="16"/>
          <w:lang w:eastAsia="fr-FR" w:val="fr-FR"/>
        </w:rPr>
        <w:t xml:space="preserve"> </w:t>
      </w:r>
      <w:r w:rsidRPr="00F425BA">
        <w:rPr>
          <w:rFonts w:ascii="Verdana" w:cs="Arial" w:eastAsia="Times New Roman" w:hAnsi="Verdana"/>
          <w:sz w:val="16"/>
          <w:szCs w:val="16"/>
          <w:lang w:eastAsia="fr-FR" w:val="fr-FR"/>
        </w:rPr>
        <w:t>Clinical Diagnostics</w:t>
      </w:r>
      <w:r w:rsidR="00FE5DC3" w:rsidRPr="00F425BA">
        <w:rPr>
          <w:rFonts w:ascii="Verdana" w:cs="Arial" w:eastAsia="Times New Roman" w:hAnsi="Verdana"/>
          <w:sz w:val="16"/>
          <w:szCs w:val="16"/>
          <w:lang w:eastAsia="fr-FR" w:val="fr-FR"/>
        </w:rPr>
        <w:t xml:space="preserve"> France</w:t>
      </w:r>
      <w:r w:rsidRPr="00F425BA">
        <w:rPr>
          <w:rFonts w:ascii="Verdana" w:cs="Arial" w:eastAsia="Times New Roman" w:hAnsi="Verdana"/>
          <w:sz w:val="16"/>
          <w:szCs w:val="16"/>
          <w:lang w:eastAsia="fr-FR" w:val="fr-FR"/>
        </w:rPr>
        <w:t>, Société par Actions Simplifiée au capital de 42 591 311,00 €, dont le siège social est situé 1500 Boulevard Sébastien Brant 67400 Illkirch-Graffenstaden, immatriculée au Registre du Commerce et des Sociétés de Strasbourg sous le numéro 801 393 984, représentée aux fins des présentes par</w:t>
      </w:r>
      <w:r w:rsidR="005F5816">
        <w:rPr>
          <w:rFonts w:ascii="Verdana" w:cs="Arial" w:eastAsia="Times New Roman" w:hAnsi="Verdana"/>
          <w:sz w:val="16"/>
          <w:szCs w:val="16"/>
          <w:lang w:eastAsia="fr-FR" w:val="fr-FR"/>
        </w:rPr>
        <w:t xml:space="preserve">                               </w:t>
      </w:r>
      <w:proofErr w:type="gramStart"/>
      <w:r w:rsidR="005F5816">
        <w:rPr>
          <w:rFonts w:ascii="Verdana" w:cs="Arial" w:eastAsia="Times New Roman" w:hAnsi="Verdana"/>
          <w:sz w:val="16"/>
          <w:szCs w:val="16"/>
          <w:lang w:eastAsia="fr-FR" w:val="fr-FR"/>
        </w:rPr>
        <w:t xml:space="preserve">  </w:t>
      </w:r>
      <w:r w:rsidRPr="00F425BA">
        <w:rPr>
          <w:rFonts w:ascii="Verdana" w:cs="Arial" w:eastAsia="Times New Roman" w:hAnsi="Verdana"/>
          <w:sz w:val="16"/>
          <w:szCs w:val="16"/>
          <w:lang w:eastAsia="fr-FR" w:val="fr-FR"/>
        </w:rPr>
        <w:t>,</w:t>
      </w:r>
      <w:proofErr w:type="gramEnd"/>
      <w:r w:rsidRPr="00F425BA">
        <w:rPr>
          <w:rFonts w:ascii="Verdana" w:cs="Arial" w:eastAsia="Times New Roman" w:hAnsi="Verdana"/>
          <w:sz w:val="16"/>
          <w:szCs w:val="16"/>
          <w:lang w:eastAsia="fr-FR" w:val="fr-FR"/>
        </w:rPr>
        <w:t xml:space="preserve"> agissant en sa qualité de Président,</w:t>
      </w:r>
    </w:p>
    <w:p w14:paraId="359B1AD9" w14:textId="77777777" w:rsidP="004A3C78" w:rsidR="004A3C78" w:rsidRDefault="004A3C78" w:rsidRPr="00F425BA">
      <w:pPr>
        <w:spacing w:after="0" w:line="240" w:lineRule="auto"/>
        <w:jc w:val="both"/>
        <w:rPr>
          <w:rFonts w:ascii="Verdana" w:cs="Arial" w:eastAsia="Times New Roman" w:hAnsi="Verdana"/>
          <w:snapToGrid w:val="0"/>
          <w:sz w:val="16"/>
          <w:szCs w:val="16"/>
          <w:lang w:eastAsia="fr-FR" w:val="fr-FR"/>
        </w:rPr>
      </w:pPr>
    </w:p>
    <w:p w14:paraId="1A61C0A4" w14:textId="77777777" w:rsidP="004A3C78" w:rsidR="004A3C78" w:rsidRDefault="004A3C78" w:rsidRPr="00F425BA">
      <w:pPr>
        <w:spacing w:after="0" w:line="240" w:lineRule="auto"/>
        <w:jc w:val="both"/>
        <w:rPr>
          <w:rFonts w:ascii="Verdana" w:cs="Arial" w:eastAsia="Times New Roman" w:hAnsi="Verdana"/>
          <w:snapToGrid w:val="0"/>
          <w:sz w:val="16"/>
          <w:szCs w:val="16"/>
          <w:lang w:eastAsia="fr-FR" w:val="fr-FR"/>
        </w:rPr>
      </w:pPr>
    </w:p>
    <w:p w14:paraId="332803D5" w14:textId="77777777" w:rsidP="004A3C78" w:rsidR="004A3C78" w:rsidRDefault="004A3C78" w:rsidRPr="00F425BA">
      <w:pPr>
        <w:tabs>
          <w:tab w:pos="5954" w:val="left"/>
        </w:tabs>
        <w:spacing w:after="0" w:line="240" w:lineRule="auto"/>
        <w:jc w:val="right"/>
        <w:rPr>
          <w:rFonts w:ascii="Verdana" w:cs="Arial" w:eastAsia="Times New Roman" w:hAnsi="Verdana"/>
          <w:sz w:val="16"/>
          <w:szCs w:val="16"/>
          <w:lang w:eastAsia="fr-FR" w:val="fr-FR"/>
        </w:rPr>
      </w:pPr>
      <w:r w:rsidRPr="00F425BA">
        <w:rPr>
          <w:rFonts w:ascii="Verdana" w:cs="Arial" w:eastAsia="Times New Roman" w:hAnsi="Verdana"/>
          <w:b/>
          <w:sz w:val="16"/>
          <w:szCs w:val="16"/>
          <w:lang w:eastAsia="fr-FR" w:val="fr-FR"/>
        </w:rPr>
        <w:t>Ci-après dénommée « la Direction » ou « la Société »</w:t>
      </w:r>
    </w:p>
    <w:p w14:paraId="2127DB52" w14:textId="77777777" w:rsidP="004A3C78" w:rsidR="004A3C78" w:rsidRDefault="004A3C78" w:rsidRPr="00F425BA">
      <w:pPr>
        <w:tabs>
          <w:tab w:pos="5104" w:val="left"/>
        </w:tabs>
        <w:spacing w:after="0" w:line="240" w:lineRule="auto"/>
        <w:ind w:hanging="284" w:left="284"/>
        <w:jc w:val="both"/>
        <w:rPr>
          <w:rFonts w:ascii="Verdana" w:cs="Arial" w:eastAsia="Times New Roman" w:hAnsi="Verdana"/>
          <w:sz w:val="16"/>
          <w:szCs w:val="16"/>
          <w:lang w:eastAsia="fr-FR" w:val="fr-FR"/>
        </w:rPr>
      </w:pPr>
    </w:p>
    <w:p w14:paraId="1115A392" w14:textId="77777777" w:rsidP="004A3C78" w:rsidR="004A3C78" w:rsidRDefault="004A3C78" w:rsidRPr="00F425BA">
      <w:pPr>
        <w:tabs>
          <w:tab w:pos="5104" w:val="left"/>
        </w:tabs>
        <w:spacing w:after="0" w:line="240" w:lineRule="auto"/>
        <w:ind w:hanging="284" w:left="284"/>
        <w:jc w:val="both"/>
        <w:rPr>
          <w:rFonts w:ascii="Verdana" w:cs="Arial" w:eastAsia="Times New Roman" w:hAnsi="Verdana"/>
          <w:b/>
          <w:sz w:val="16"/>
          <w:szCs w:val="16"/>
          <w:lang w:eastAsia="fr-FR" w:val="fr-FR"/>
        </w:rPr>
      </w:pPr>
      <w:r w:rsidRPr="00F425BA">
        <w:rPr>
          <w:rFonts w:ascii="Verdana" w:cs="Arial" w:eastAsia="Times New Roman" w:hAnsi="Verdana"/>
          <w:b/>
          <w:sz w:val="16"/>
          <w:szCs w:val="16"/>
          <w:u w:val="single"/>
          <w:lang w:eastAsia="fr-FR" w:val="fr-FR"/>
        </w:rPr>
        <w:t>ET</w:t>
      </w:r>
      <w:r w:rsidRPr="00F425BA">
        <w:rPr>
          <w:rFonts w:ascii="Verdana" w:cs="Arial" w:eastAsia="Times New Roman" w:hAnsi="Verdana"/>
          <w:b/>
          <w:sz w:val="16"/>
          <w:szCs w:val="16"/>
          <w:lang w:eastAsia="fr-FR" w:val="fr-FR"/>
        </w:rPr>
        <w:t xml:space="preserve"> :</w:t>
      </w:r>
    </w:p>
    <w:p w14:paraId="0630D629" w14:textId="77777777" w:rsidP="004A3C78" w:rsidR="004A3C78" w:rsidRDefault="004A3C78" w:rsidRPr="00F425BA">
      <w:pPr>
        <w:tabs>
          <w:tab w:pos="5104" w:val="left"/>
        </w:tabs>
        <w:spacing w:after="0" w:line="240" w:lineRule="auto"/>
        <w:ind w:hanging="284" w:left="284"/>
        <w:jc w:val="both"/>
        <w:rPr>
          <w:rFonts w:ascii="Verdana" w:cs="Arial" w:eastAsia="Times New Roman" w:hAnsi="Verdana"/>
          <w:sz w:val="16"/>
          <w:szCs w:val="16"/>
          <w:lang w:eastAsia="fr-FR" w:val="fr-FR"/>
        </w:rPr>
      </w:pPr>
    </w:p>
    <w:p w14:paraId="1A948643" w14:textId="77777777" w:rsidP="004A3C78" w:rsidR="004A3C78" w:rsidRDefault="004A3C78" w:rsidRPr="00F425BA">
      <w:pPr>
        <w:tabs>
          <w:tab w:pos="5104" w:val="left"/>
        </w:tabs>
        <w:spacing w:after="0" w:line="240" w:lineRule="auto"/>
        <w:jc w:val="both"/>
        <w:rPr>
          <w:rFonts w:ascii="Verdana" w:cs="Arial" w:eastAsia="Times New Roman" w:hAnsi="Verdana"/>
          <w:sz w:val="16"/>
          <w:szCs w:val="16"/>
          <w:lang w:eastAsia="fr-FR" w:val="fr-FR"/>
        </w:rPr>
      </w:pPr>
    </w:p>
    <w:p w14:paraId="4EEF87FD" w14:textId="3D95D74A" w:rsidP="008D4971" w:rsidR="004A3C78" w:rsidRDefault="004A3C78" w:rsidRPr="00F425BA">
      <w:pPr>
        <w:tabs>
          <w:tab w:pos="5104" w:val="left"/>
        </w:tabs>
        <w:spacing w:after="0" w:line="240" w:lineRule="auto"/>
        <w:jc w:val="both"/>
        <w:rPr>
          <w:rFonts w:ascii="Verdana" w:cs="Arial" w:eastAsia="Times New Roman" w:hAnsi="Verdana"/>
          <w:sz w:val="16"/>
          <w:szCs w:val="16"/>
          <w:lang w:eastAsia="fr-FR" w:val="fr-FR"/>
        </w:rPr>
      </w:pPr>
      <w:r w:rsidRPr="00F425BA">
        <w:rPr>
          <w:rFonts w:ascii="Verdana" w:cs="Arial" w:eastAsia="Times New Roman" w:hAnsi="Verdana"/>
          <w:b/>
          <w:sz w:val="16"/>
          <w:szCs w:val="16"/>
          <w:lang w:eastAsia="fr-FR" w:val="fr-FR"/>
        </w:rPr>
        <w:t>Le syndicat CFDT</w:t>
      </w:r>
      <w:r w:rsidRPr="00F425BA">
        <w:rPr>
          <w:rFonts w:ascii="Verdana" w:cs="Arial" w:eastAsia="Times New Roman" w:hAnsi="Verdana"/>
          <w:sz w:val="16"/>
          <w:szCs w:val="16"/>
          <w:lang w:eastAsia="fr-FR" w:val="fr-FR"/>
        </w:rPr>
        <w:t>, unique syndicat représentatif au sein de la Société</w:t>
      </w:r>
      <w:r w:rsidR="00A67904" w:rsidRPr="00F425BA">
        <w:rPr>
          <w:rFonts w:ascii="Verdana" w:cs="Arial" w:eastAsia="Times New Roman" w:hAnsi="Verdana"/>
          <w:sz w:val="16"/>
          <w:szCs w:val="16"/>
          <w:lang w:eastAsia="fr-FR" w:val="fr-FR"/>
        </w:rPr>
        <w:t>, ayant recueilli 100% des suffrages exprimés au 1</w:t>
      </w:r>
      <w:r w:rsidR="00A67904" w:rsidRPr="00F425BA">
        <w:rPr>
          <w:rFonts w:ascii="Verdana" w:cs="Arial" w:eastAsia="Times New Roman" w:hAnsi="Verdana"/>
          <w:sz w:val="16"/>
          <w:szCs w:val="16"/>
          <w:vertAlign w:val="superscript"/>
          <w:lang w:eastAsia="fr-FR" w:val="fr-FR"/>
        </w:rPr>
        <w:t>er</w:t>
      </w:r>
      <w:r w:rsidR="00A67904" w:rsidRPr="00F425BA">
        <w:rPr>
          <w:rFonts w:ascii="Verdana" w:cs="Arial" w:eastAsia="Times New Roman" w:hAnsi="Verdana"/>
          <w:sz w:val="16"/>
          <w:szCs w:val="16"/>
          <w:lang w:eastAsia="fr-FR" w:val="fr-FR"/>
        </w:rPr>
        <w:t xml:space="preserve"> tour</w:t>
      </w:r>
      <w:r w:rsidR="008D4971" w:rsidRPr="00F425BA">
        <w:rPr>
          <w:rFonts w:ascii="Verdana" w:cs="Arial" w:eastAsia="Times New Roman" w:hAnsi="Verdana"/>
          <w:sz w:val="16"/>
          <w:szCs w:val="16"/>
          <w:lang w:eastAsia="fr-FR" w:val="fr-FR"/>
        </w:rPr>
        <w:t xml:space="preserve"> </w:t>
      </w:r>
      <w:r w:rsidR="00A67904" w:rsidRPr="00F425BA">
        <w:rPr>
          <w:rFonts w:ascii="Verdana" w:cs="Arial" w:eastAsia="Times New Roman" w:hAnsi="Verdana"/>
          <w:sz w:val="16"/>
          <w:szCs w:val="16"/>
          <w:lang w:eastAsia="fr-FR" w:val="fr-FR"/>
        </w:rPr>
        <w:t>des dernières élections professionnelles,</w:t>
      </w:r>
    </w:p>
    <w:p w14:paraId="6403C811" w14:textId="77777777" w:rsidP="004A3C78" w:rsidR="008D4971" w:rsidRDefault="008D4971" w:rsidRPr="00F425BA">
      <w:pPr>
        <w:tabs>
          <w:tab w:pos="5104" w:val="left"/>
        </w:tabs>
        <w:spacing w:after="0" w:line="240" w:lineRule="auto"/>
        <w:jc w:val="both"/>
        <w:rPr>
          <w:rFonts w:ascii="Verdana" w:cs="Arial" w:eastAsia="Times New Roman" w:hAnsi="Verdana"/>
          <w:sz w:val="16"/>
          <w:szCs w:val="16"/>
          <w:lang w:eastAsia="fr-FR" w:val="fr-FR"/>
        </w:rPr>
      </w:pPr>
    </w:p>
    <w:p w14:paraId="6E6E6AEB" w14:textId="5E4FD0DC" w:rsidP="004A3C78" w:rsidR="004A3C78" w:rsidRDefault="004A3C78" w:rsidRPr="00F425BA">
      <w:pPr>
        <w:tabs>
          <w:tab w:pos="5104" w:val="left"/>
        </w:tabs>
        <w:spacing w:after="0" w:line="240" w:lineRule="auto"/>
        <w:jc w:val="both"/>
        <w:rPr>
          <w:rFonts w:ascii="Verdana" w:cs="Arial" w:eastAsia="Times New Roman" w:hAnsi="Verdana"/>
          <w:sz w:val="16"/>
          <w:szCs w:val="16"/>
          <w:lang w:eastAsia="fr-FR" w:val="fr-FR"/>
        </w:rPr>
      </w:pPr>
      <w:r w:rsidRPr="00F425BA">
        <w:rPr>
          <w:rFonts w:ascii="Verdana" w:cs="Arial" w:eastAsia="Times New Roman" w:hAnsi="Verdana"/>
          <w:sz w:val="16"/>
          <w:szCs w:val="16"/>
          <w:lang w:eastAsia="fr-FR" w:val="fr-FR"/>
        </w:rPr>
        <w:t xml:space="preserve">Représenté, par </w:t>
      </w:r>
      <w:r w:rsidR="005F5816">
        <w:rPr>
          <w:rFonts w:ascii="Verdana" w:cs="Arial" w:eastAsia="Times New Roman" w:hAnsi="Verdana"/>
          <w:sz w:val="16"/>
          <w:szCs w:val="16"/>
          <w:lang w:eastAsia="fr-FR" w:val="fr-FR"/>
        </w:rPr>
        <w:t xml:space="preserve">             </w:t>
      </w:r>
      <w:proofErr w:type="gramStart"/>
      <w:r w:rsidR="005F5816">
        <w:rPr>
          <w:rFonts w:ascii="Verdana" w:cs="Arial" w:eastAsia="Times New Roman" w:hAnsi="Verdana"/>
          <w:sz w:val="16"/>
          <w:szCs w:val="16"/>
          <w:lang w:eastAsia="fr-FR" w:val="fr-FR"/>
        </w:rPr>
        <w:t xml:space="preserve">  </w:t>
      </w:r>
      <w:r w:rsidRPr="00F425BA">
        <w:rPr>
          <w:rFonts w:ascii="Verdana" w:cs="Arial" w:eastAsia="Times New Roman" w:hAnsi="Verdana"/>
          <w:sz w:val="16"/>
          <w:szCs w:val="16"/>
          <w:lang w:eastAsia="fr-FR" w:val="fr-FR"/>
        </w:rPr>
        <w:t>,</w:t>
      </w:r>
      <w:proofErr w:type="gramEnd"/>
      <w:r w:rsidRPr="00F425BA">
        <w:rPr>
          <w:rFonts w:ascii="Verdana" w:cs="Arial" w:eastAsia="Times New Roman" w:hAnsi="Verdana"/>
          <w:sz w:val="16"/>
          <w:szCs w:val="16"/>
          <w:lang w:eastAsia="fr-FR" w:val="fr-FR"/>
        </w:rPr>
        <w:t xml:space="preserve"> Déléguée syndicale centrale</w:t>
      </w:r>
      <w:r w:rsidR="00A67904" w:rsidRPr="00F425BA">
        <w:rPr>
          <w:rFonts w:ascii="Verdana" w:cs="Arial" w:eastAsia="Times New Roman" w:hAnsi="Verdana"/>
          <w:sz w:val="16"/>
          <w:szCs w:val="16"/>
          <w:lang w:eastAsia="fr-FR" w:val="fr-FR"/>
        </w:rPr>
        <w:t>,</w:t>
      </w:r>
    </w:p>
    <w:p w14:paraId="1D08BE12" w14:textId="77777777" w:rsidP="004A3C78" w:rsidR="004A3C78" w:rsidRDefault="004A3C78" w:rsidRPr="00F425BA">
      <w:pPr>
        <w:tabs>
          <w:tab w:pos="5104" w:val="left"/>
        </w:tabs>
        <w:spacing w:after="0" w:line="240" w:lineRule="auto"/>
        <w:ind w:hanging="284" w:left="284"/>
        <w:jc w:val="both"/>
        <w:rPr>
          <w:rFonts w:ascii="Verdana" w:cs="Arial" w:eastAsia="Times New Roman" w:hAnsi="Verdana"/>
          <w:sz w:val="16"/>
          <w:szCs w:val="16"/>
          <w:lang w:eastAsia="fr-FR" w:val="fr-FR"/>
        </w:rPr>
      </w:pPr>
    </w:p>
    <w:p w14:paraId="73708663" w14:textId="77777777" w:rsidP="004A3C78" w:rsidR="004A3C78" w:rsidRDefault="004A3C78" w:rsidRPr="00F425BA">
      <w:pPr>
        <w:tabs>
          <w:tab w:pos="5104" w:val="left"/>
        </w:tabs>
        <w:spacing w:after="0" w:line="240" w:lineRule="auto"/>
        <w:jc w:val="both"/>
        <w:rPr>
          <w:rFonts w:ascii="Verdana" w:cs="Arial" w:eastAsia="Times New Roman" w:hAnsi="Verdana"/>
          <w:sz w:val="16"/>
          <w:szCs w:val="16"/>
          <w:lang w:eastAsia="fr-FR" w:val="fr-FR"/>
        </w:rPr>
      </w:pPr>
    </w:p>
    <w:p w14:paraId="3EE0799A" w14:textId="77777777" w:rsidP="004A3C78" w:rsidR="004A3C78" w:rsidRDefault="004A3C78" w:rsidRPr="00F425BA">
      <w:pPr>
        <w:tabs>
          <w:tab w:pos="5954" w:val="left"/>
        </w:tabs>
        <w:spacing w:after="0" w:line="240" w:lineRule="auto"/>
        <w:jc w:val="right"/>
        <w:rPr>
          <w:rFonts w:ascii="Verdana" w:cs="Arial" w:eastAsia="Times New Roman" w:hAnsi="Verdana"/>
          <w:sz w:val="16"/>
          <w:szCs w:val="16"/>
          <w:lang w:eastAsia="fr-FR" w:val="fr-FR"/>
        </w:rPr>
      </w:pPr>
      <w:r w:rsidRPr="00F425BA">
        <w:rPr>
          <w:rFonts w:ascii="Verdana" w:cs="Arial" w:eastAsia="Times New Roman" w:hAnsi="Verdana"/>
          <w:b/>
          <w:sz w:val="16"/>
          <w:szCs w:val="16"/>
          <w:lang w:eastAsia="fr-FR" w:val="fr-FR"/>
        </w:rPr>
        <w:t xml:space="preserve">Ci-après dénommé « l’Organisation Syndicale Représentative » </w:t>
      </w:r>
    </w:p>
    <w:p w14:paraId="44A5E9AE" w14:textId="77777777"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 xml:space="preserve">  </w:t>
      </w:r>
    </w:p>
    <w:p w14:paraId="2C027ECC" w14:textId="77777777" w:rsidP="004A3C78" w:rsidR="004A3C78" w:rsidRDefault="004A3C78" w:rsidRPr="00F425BA">
      <w:pPr>
        <w:jc w:val="both"/>
        <w:rPr>
          <w:rFonts w:ascii="Verdana" w:cs="Arial" w:hAnsi="Verdana"/>
          <w:b/>
          <w:sz w:val="16"/>
          <w:szCs w:val="16"/>
          <w:u w:val="single"/>
          <w:lang w:val="fr-FR"/>
        </w:rPr>
      </w:pPr>
      <w:r w:rsidRPr="00F425BA">
        <w:rPr>
          <w:rFonts w:ascii="Verdana" w:cs="Arial" w:hAnsi="Verdana"/>
          <w:b/>
          <w:sz w:val="16"/>
          <w:szCs w:val="16"/>
          <w:u w:val="single"/>
          <w:lang w:val="fr-FR"/>
        </w:rPr>
        <w:t>En Préambule, il est rappelé ce qui suit :</w:t>
      </w:r>
    </w:p>
    <w:p w14:paraId="76C70FA1" w14:textId="028DAD00" w:rsidP="004A3C78" w:rsidR="004A3C78" w:rsidRDefault="004A3C78" w:rsidRPr="00F425BA">
      <w:pPr>
        <w:spacing w:after="120" w:line="240" w:lineRule="auto"/>
        <w:jc w:val="both"/>
        <w:rPr>
          <w:rFonts w:ascii="Verdana" w:cs="Arial" w:hAnsi="Verdana"/>
          <w:sz w:val="16"/>
          <w:szCs w:val="16"/>
          <w:lang w:val="fr-FR"/>
        </w:rPr>
      </w:pPr>
      <w:r w:rsidRPr="00F425BA">
        <w:rPr>
          <w:rFonts w:ascii="Verdana" w:cs="Arial" w:hAnsi="Verdana"/>
          <w:sz w:val="16"/>
          <w:szCs w:val="16"/>
          <w:lang w:val="fr-FR"/>
        </w:rPr>
        <w:t>Conformément à l’article L.2242-1 du Code du travail, des négociations se sont tenues au sein de la société Ortho</w:t>
      </w:r>
      <w:r w:rsidR="0064235F" w:rsidRPr="00F425BA">
        <w:rPr>
          <w:rFonts w:ascii="Verdana" w:cs="Arial" w:hAnsi="Verdana"/>
          <w:sz w:val="16"/>
          <w:szCs w:val="16"/>
          <w:lang w:val="fr-FR"/>
        </w:rPr>
        <w:t xml:space="preserve"> </w:t>
      </w:r>
      <w:r w:rsidRPr="00F425BA">
        <w:rPr>
          <w:rFonts w:ascii="Verdana" w:cs="Arial" w:hAnsi="Verdana"/>
          <w:sz w:val="16"/>
          <w:szCs w:val="16"/>
          <w:lang w:val="fr-FR"/>
        </w:rPr>
        <w:t xml:space="preserve">Clinical Diagnostics </w:t>
      </w:r>
      <w:r w:rsidR="00A67904" w:rsidRPr="00F425BA">
        <w:rPr>
          <w:rFonts w:ascii="Verdana" w:cs="Arial" w:hAnsi="Verdana"/>
          <w:sz w:val="16"/>
          <w:szCs w:val="16"/>
          <w:lang w:val="fr-FR"/>
        </w:rPr>
        <w:t xml:space="preserve">France </w:t>
      </w:r>
      <w:r w:rsidRPr="00F425BA">
        <w:rPr>
          <w:rFonts w:ascii="Verdana" w:cs="Arial" w:hAnsi="Verdana"/>
          <w:sz w:val="16"/>
          <w:szCs w:val="16"/>
          <w:lang w:val="fr-FR"/>
        </w:rPr>
        <w:t>au titre de la Négociation Annuelle Obligatoire, sur la rémunération, le temps de travail et le partage de la valeur ajoutée dans l’entreprise</w:t>
      </w:r>
      <w:r w:rsidR="00A67904" w:rsidRPr="00F425BA">
        <w:rPr>
          <w:rFonts w:ascii="Verdana" w:cs="Arial" w:hAnsi="Verdana"/>
          <w:sz w:val="16"/>
          <w:szCs w:val="16"/>
          <w:lang w:val="fr-FR"/>
        </w:rPr>
        <w:t>,</w:t>
      </w:r>
      <w:r w:rsidRPr="00F425BA">
        <w:rPr>
          <w:rFonts w:ascii="Verdana" w:cs="Arial" w:hAnsi="Verdana"/>
          <w:sz w:val="16"/>
          <w:szCs w:val="16"/>
          <w:lang w:val="fr-FR"/>
        </w:rPr>
        <w:t xml:space="preserve"> l’égalité professionnelle entre les femmes et les hommes et la qualité de vie </w:t>
      </w:r>
      <w:r w:rsidR="00095C78" w:rsidRPr="00F425BA">
        <w:rPr>
          <w:rFonts w:ascii="Verdana" w:cs="Arial" w:hAnsi="Verdana"/>
          <w:sz w:val="16"/>
          <w:szCs w:val="16"/>
          <w:lang w:val="fr-FR"/>
        </w:rPr>
        <w:t>et les conditions de</w:t>
      </w:r>
      <w:r w:rsidRPr="00F425BA">
        <w:rPr>
          <w:rFonts w:ascii="Verdana" w:cs="Arial" w:hAnsi="Verdana"/>
          <w:sz w:val="16"/>
          <w:szCs w:val="16"/>
          <w:lang w:val="fr-FR"/>
        </w:rPr>
        <w:t xml:space="preserve"> travail.</w:t>
      </w:r>
    </w:p>
    <w:p w14:paraId="4DAF842E" w14:textId="3ED3D549" w:rsidP="004A3C78" w:rsidR="004A3C78" w:rsidRDefault="004A3C78" w:rsidRPr="00F425BA">
      <w:pPr>
        <w:spacing w:after="120" w:line="240" w:lineRule="auto"/>
        <w:jc w:val="both"/>
        <w:rPr>
          <w:rFonts w:ascii="Verdana" w:cs="Arial" w:hAnsi="Verdana"/>
          <w:sz w:val="16"/>
          <w:szCs w:val="16"/>
          <w:lang w:val="fr-FR"/>
        </w:rPr>
      </w:pPr>
      <w:r w:rsidRPr="00F425BA">
        <w:rPr>
          <w:rFonts w:ascii="Verdana" w:cs="Arial" w:hAnsi="Verdana"/>
          <w:sz w:val="16"/>
          <w:szCs w:val="16"/>
          <w:lang w:val="fr-FR"/>
        </w:rPr>
        <w:t xml:space="preserve">Les Parties à la Négociation Annuelle Obligatoire (NAO) se sont rencontrées le </w:t>
      </w:r>
      <w:r w:rsidR="00B50B21" w:rsidRPr="00F425BA">
        <w:rPr>
          <w:rFonts w:ascii="Verdana" w:cs="Arial" w:hAnsi="Verdana"/>
          <w:sz w:val="16"/>
          <w:szCs w:val="16"/>
          <w:lang w:val="fr-FR"/>
        </w:rPr>
        <w:t xml:space="preserve">25 </w:t>
      </w:r>
      <w:r w:rsidR="00F63E90" w:rsidRPr="00F425BA">
        <w:rPr>
          <w:rFonts w:ascii="Verdana" w:cs="Arial" w:hAnsi="Verdana"/>
          <w:sz w:val="16"/>
          <w:szCs w:val="16"/>
          <w:lang w:val="fr-FR"/>
        </w:rPr>
        <w:t>novembre</w:t>
      </w:r>
      <w:r w:rsidR="00B50B21" w:rsidRPr="00F425BA">
        <w:rPr>
          <w:rFonts w:ascii="Verdana" w:cs="Arial" w:hAnsi="Verdana"/>
          <w:sz w:val="16"/>
          <w:szCs w:val="16"/>
          <w:lang w:val="fr-FR"/>
        </w:rPr>
        <w:t xml:space="preserve"> 2022</w:t>
      </w:r>
      <w:r w:rsidR="00095C78" w:rsidRPr="00F425BA">
        <w:rPr>
          <w:rFonts w:ascii="Verdana" w:cs="Arial" w:hAnsi="Verdana"/>
          <w:sz w:val="16"/>
          <w:szCs w:val="16"/>
          <w:lang w:val="fr-FR"/>
        </w:rPr>
        <w:t xml:space="preserve"> </w:t>
      </w:r>
      <w:r w:rsidRPr="00F425BA">
        <w:rPr>
          <w:rFonts w:ascii="Verdana" w:cs="Arial" w:hAnsi="Verdana"/>
          <w:sz w:val="16"/>
          <w:szCs w:val="16"/>
          <w:lang w:val="fr-FR"/>
        </w:rPr>
        <w:t>et ont défini ensemble le lieu et le calendrier de</w:t>
      </w:r>
      <w:r w:rsidR="00F63E90" w:rsidRPr="00F425BA">
        <w:rPr>
          <w:rFonts w:ascii="Verdana" w:cs="Arial" w:hAnsi="Verdana"/>
          <w:sz w:val="16"/>
          <w:szCs w:val="16"/>
          <w:lang w:val="fr-FR"/>
        </w:rPr>
        <w:t>s</w:t>
      </w:r>
      <w:r w:rsidRPr="00F425BA">
        <w:rPr>
          <w:rFonts w:ascii="Verdana" w:cs="Arial" w:hAnsi="Verdana"/>
          <w:sz w:val="16"/>
          <w:szCs w:val="16"/>
          <w:lang w:val="fr-FR"/>
        </w:rPr>
        <w:t xml:space="preserve"> négociation</w:t>
      </w:r>
      <w:r w:rsidR="00F63E90" w:rsidRPr="00F425BA">
        <w:rPr>
          <w:rFonts w:ascii="Verdana" w:cs="Arial" w:hAnsi="Verdana"/>
          <w:sz w:val="16"/>
          <w:szCs w:val="16"/>
          <w:lang w:val="fr-FR"/>
        </w:rPr>
        <w:t>s</w:t>
      </w:r>
      <w:r w:rsidRPr="00F425BA">
        <w:rPr>
          <w:rFonts w:ascii="Verdana" w:cs="Arial" w:hAnsi="Verdana"/>
          <w:sz w:val="16"/>
          <w:szCs w:val="16"/>
          <w:lang w:val="fr-FR"/>
        </w:rPr>
        <w:t>, les informations remises aux parties à la négociation et la date de cette remise, ainsi que les modalités de déroulement de la négociation.</w:t>
      </w:r>
    </w:p>
    <w:p w14:paraId="616EB9BE" w14:textId="1BF29541" w:rsidP="004A3C78" w:rsidR="004A3C78" w:rsidRDefault="004A3C78" w:rsidRPr="00F425BA">
      <w:pPr>
        <w:spacing w:after="120" w:line="240" w:lineRule="auto"/>
        <w:jc w:val="both"/>
        <w:rPr>
          <w:rFonts w:ascii="Verdana" w:cs="Arial" w:hAnsi="Verdana"/>
          <w:sz w:val="16"/>
          <w:szCs w:val="16"/>
          <w:lang w:val="fr-FR"/>
        </w:rPr>
      </w:pPr>
      <w:r w:rsidRPr="00F425BA">
        <w:rPr>
          <w:rFonts w:ascii="Verdana" w:cs="Arial" w:hAnsi="Verdana"/>
          <w:sz w:val="16"/>
          <w:szCs w:val="16"/>
          <w:lang w:val="fr-FR"/>
        </w:rPr>
        <w:t xml:space="preserve">A ce titre, lors de la réunion préparatoire du </w:t>
      </w:r>
      <w:r w:rsidR="00B50B21" w:rsidRPr="00F425BA">
        <w:rPr>
          <w:rFonts w:ascii="Verdana" w:cs="Arial" w:hAnsi="Verdana"/>
          <w:sz w:val="16"/>
          <w:szCs w:val="16"/>
          <w:lang w:val="fr-FR"/>
        </w:rPr>
        <w:t xml:space="preserve">25 </w:t>
      </w:r>
      <w:r w:rsidR="00F63E90" w:rsidRPr="00F425BA">
        <w:rPr>
          <w:rFonts w:ascii="Verdana" w:cs="Arial" w:hAnsi="Verdana"/>
          <w:sz w:val="16"/>
          <w:szCs w:val="16"/>
          <w:lang w:val="fr-FR"/>
        </w:rPr>
        <w:t>n</w:t>
      </w:r>
      <w:r w:rsidR="00B50B21" w:rsidRPr="00F425BA">
        <w:rPr>
          <w:rFonts w:ascii="Verdana" w:cs="Arial" w:hAnsi="Verdana"/>
          <w:sz w:val="16"/>
          <w:szCs w:val="16"/>
          <w:lang w:val="fr-FR"/>
        </w:rPr>
        <w:t>ovembre 2022</w:t>
      </w:r>
      <w:r w:rsidRPr="00F425BA">
        <w:rPr>
          <w:rFonts w:ascii="Verdana" w:cs="Arial" w:hAnsi="Verdana"/>
          <w:sz w:val="16"/>
          <w:szCs w:val="16"/>
          <w:lang w:val="fr-FR"/>
        </w:rPr>
        <w:t>, la Direction a présenté et remis à l’Organisation syndicale représentative différents documents faisant notamment état des éléments suivants :</w:t>
      </w:r>
    </w:p>
    <w:p w14:paraId="193EF2AC" w14:textId="77777777" w:rsidP="00E27545" w:rsidR="00E27545" w:rsidRDefault="00E27545"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Contexte économique au niveau national </w:t>
      </w:r>
    </w:p>
    <w:p w14:paraId="1EF06756" w14:textId="2AFF1A84" w:rsidP="00E27545" w:rsidR="00E27545" w:rsidRDefault="00E27545"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Résultats d’Ortho</w:t>
      </w:r>
      <w:r w:rsidR="008D4971" w:rsidRPr="00F425BA">
        <w:rPr>
          <w:rFonts w:ascii="Verdana" w:cs="Arial" w:hAnsi="Verdana"/>
          <w:sz w:val="16"/>
          <w:szCs w:val="16"/>
          <w:lang w:val="fr-FR"/>
        </w:rPr>
        <w:t xml:space="preserve"> </w:t>
      </w:r>
      <w:r w:rsidRPr="00F425BA">
        <w:rPr>
          <w:rFonts w:ascii="Verdana" w:cs="Arial" w:hAnsi="Verdana"/>
          <w:sz w:val="16"/>
          <w:szCs w:val="16"/>
          <w:lang w:val="fr-FR"/>
        </w:rPr>
        <w:t xml:space="preserve">Clinical Diagnostics </w:t>
      </w:r>
      <w:r w:rsidR="00DC254D" w:rsidRPr="00F425BA">
        <w:rPr>
          <w:rFonts w:ascii="Verdana" w:cs="Arial" w:hAnsi="Verdana"/>
          <w:sz w:val="16"/>
          <w:szCs w:val="16"/>
          <w:lang w:val="fr-FR"/>
        </w:rPr>
        <w:t>France et EMEA</w:t>
      </w:r>
    </w:p>
    <w:p w14:paraId="6FD8907A" w14:textId="6FD4692F"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Données salariales au niveau national</w:t>
      </w:r>
      <w:r w:rsidR="00E27545" w:rsidRPr="00F425BA">
        <w:rPr>
          <w:rFonts w:ascii="Verdana" w:cs="Arial" w:hAnsi="Verdana"/>
          <w:sz w:val="16"/>
          <w:szCs w:val="16"/>
          <w:lang w:val="fr-FR"/>
        </w:rPr>
        <w:t xml:space="preserve"> </w:t>
      </w:r>
    </w:p>
    <w:p w14:paraId="42D41B5F" w14:textId="08F5625B" w:rsidP="004A3C78" w:rsidR="00E27545" w:rsidRDefault="00E27545"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Données salariales au niveau d’Ortho</w:t>
      </w:r>
      <w:r w:rsidR="008D4971" w:rsidRPr="00F425BA">
        <w:rPr>
          <w:rFonts w:ascii="Verdana" w:cs="Arial" w:hAnsi="Verdana"/>
          <w:sz w:val="16"/>
          <w:szCs w:val="16"/>
          <w:lang w:val="fr-FR"/>
        </w:rPr>
        <w:t xml:space="preserve"> </w:t>
      </w:r>
      <w:r w:rsidRPr="00F425BA">
        <w:rPr>
          <w:rFonts w:ascii="Verdana" w:cs="Arial" w:hAnsi="Verdana"/>
          <w:sz w:val="16"/>
          <w:szCs w:val="16"/>
          <w:lang w:val="fr-FR"/>
        </w:rPr>
        <w:t>Clinical Diagnostics France</w:t>
      </w:r>
    </w:p>
    <w:p w14:paraId="01FE721C" w14:textId="4532610D"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Evolution de la masse salariale d’Ortho</w:t>
      </w:r>
      <w:r w:rsidR="008D4971" w:rsidRPr="00F425BA">
        <w:rPr>
          <w:rFonts w:ascii="Verdana" w:cs="Arial" w:hAnsi="Verdana"/>
          <w:sz w:val="16"/>
          <w:szCs w:val="16"/>
          <w:lang w:val="fr-FR"/>
        </w:rPr>
        <w:t xml:space="preserve"> </w:t>
      </w:r>
      <w:r w:rsidRPr="00F425BA">
        <w:rPr>
          <w:rFonts w:ascii="Verdana" w:cs="Arial" w:hAnsi="Verdana"/>
          <w:sz w:val="16"/>
          <w:szCs w:val="16"/>
          <w:lang w:val="fr-FR"/>
        </w:rPr>
        <w:t>Clinical Diagnostics France par sexe et par classification</w:t>
      </w:r>
    </w:p>
    <w:p w14:paraId="196C4E74" w14:textId="77777777"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Organisation du temps de travail et travail à temps partiel</w:t>
      </w:r>
    </w:p>
    <w:p w14:paraId="6B0A670C" w14:textId="58C05EF6"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Calendrier des jours fériés </w:t>
      </w:r>
      <w:r w:rsidR="00862EC1" w:rsidRPr="00F425BA">
        <w:rPr>
          <w:rFonts w:ascii="Verdana" w:cs="Arial" w:hAnsi="Verdana"/>
          <w:sz w:val="16"/>
          <w:szCs w:val="16"/>
          <w:lang w:val="fr-FR"/>
        </w:rPr>
        <w:t>202</w:t>
      </w:r>
      <w:r w:rsidR="00095C78" w:rsidRPr="00F425BA">
        <w:rPr>
          <w:rFonts w:ascii="Verdana" w:cs="Arial" w:hAnsi="Verdana"/>
          <w:sz w:val="16"/>
          <w:szCs w:val="16"/>
          <w:lang w:val="fr-FR"/>
        </w:rPr>
        <w:t>3</w:t>
      </w:r>
    </w:p>
    <w:p w14:paraId="09201CF7" w14:textId="6C06BEBA"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Nombre d’embauches </w:t>
      </w:r>
      <w:r w:rsidR="00862EC1" w:rsidRPr="00F425BA">
        <w:rPr>
          <w:rFonts w:ascii="Verdana" w:cs="Arial" w:hAnsi="Verdana"/>
          <w:sz w:val="16"/>
          <w:szCs w:val="16"/>
          <w:lang w:val="fr-FR"/>
        </w:rPr>
        <w:t>202</w:t>
      </w:r>
      <w:r w:rsidR="00095C78" w:rsidRPr="00F425BA">
        <w:rPr>
          <w:rFonts w:ascii="Verdana" w:cs="Arial" w:hAnsi="Verdana"/>
          <w:sz w:val="16"/>
          <w:szCs w:val="16"/>
          <w:lang w:val="fr-FR"/>
        </w:rPr>
        <w:t>1</w:t>
      </w:r>
      <w:r w:rsidRPr="00F425BA">
        <w:rPr>
          <w:rFonts w:ascii="Verdana" w:cs="Arial" w:hAnsi="Verdana"/>
          <w:sz w:val="16"/>
          <w:szCs w:val="16"/>
          <w:lang w:val="fr-FR"/>
        </w:rPr>
        <w:t xml:space="preserve"> par classification et par sexe </w:t>
      </w:r>
    </w:p>
    <w:p w14:paraId="3003EEE5" w14:textId="19372E27"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Nombre de promotions </w:t>
      </w:r>
      <w:r w:rsidR="00862EC1" w:rsidRPr="00F425BA">
        <w:rPr>
          <w:rFonts w:ascii="Verdana" w:cs="Arial" w:hAnsi="Verdana"/>
          <w:sz w:val="16"/>
          <w:szCs w:val="16"/>
          <w:lang w:val="fr-FR"/>
        </w:rPr>
        <w:t>202</w:t>
      </w:r>
      <w:r w:rsidR="00095C78" w:rsidRPr="00F425BA">
        <w:rPr>
          <w:rFonts w:ascii="Verdana" w:cs="Arial" w:hAnsi="Verdana"/>
          <w:sz w:val="16"/>
          <w:szCs w:val="16"/>
          <w:lang w:val="fr-FR"/>
        </w:rPr>
        <w:t>1</w:t>
      </w:r>
      <w:r w:rsidRPr="00F425BA">
        <w:rPr>
          <w:rFonts w:ascii="Verdana" w:cs="Arial" w:hAnsi="Verdana"/>
          <w:sz w:val="16"/>
          <w:szCs w:val="16"/>
          <w:lang w:val="fr-FR"/>
        </w:rPr>
        <w:t xml:space="preserve"> par classification et par sexe </w:t>
      </w:r>
    </w:p>
    <w:p w14:paraId="74F244A3" w14:textId="7D2617E6" w:rsidP="004A3C78" w:rsidR="00B50B21" w:rsidRDefault="00B50B21"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Nombre d’ajustements de salaire 2022 par classification et par sexe</w:t>
      </w:r>
    </w:p>
    <w:p w14:paraId="21F0A5C1" w14:textId="77EB7414"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Nombre de jours de congés </w:t>
      </w:r>
      <w:r w:rsidR="00862EC1" w:rsidRPr="00F425BA">
        <w:rPr>
          <w:rFonts w:ascii="Verdana" w:cs="Arial" w:hAnsi="Verdana"/>
          <w:sz w:val="16"/>
          <w:szCs w:val="16"/>
          <w:lang w:val="fr-FR"/>
        </w:rPr>
        <w:t>202</w:t>
      </w:r>
      <w:r w:rsidR="00095C78" w:rsidRPr="00F425BA">
        <w:rPr>
          <w:rFonts w:ascii="Verdana" w:cs="Arial" w:hAnsi="Verdana"/>
          <w:sz w:val="16"/>
          <w:szCs w:val="16"/>
          <w:lang w:val="fr-FR"/>
        </w:rPr>
        <w:t>1</w:t>
      </w:r>
    </w:p>
    <w:p w14:paraId="2813996F" w14:textId="77777777"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Accès à la formation par sexe</w:t>
      </w:r>
    </w:p>
    <w:p w14:paraId="670E5D87" w14:textId="37198542" w:rsidP="004A3C78" w:rsidR="004A3C78" w:rsidRDefault="004A3C78" w:rsidRPr="00F425BA">
      <w:pPr>
        <w:numPr>
          <w:ilvl w:val="0"/>
          <w:numId w:val="1"/>
        </w:numPr>
        <w:jc w:val="both"/>
        <w:rPr>
          <w:rFonts w:ascii="Verdana" w:cs="Arial" w:hAnsi="Verdana"/>
          <w:sz w:val="16"/>
          <w:szCs w:val="16"/>
          <w:lang w:val="fr-FR"/>
        </w:rPr>
      </w:pPr>
      <w:r w:rsidRPr="00F425BA">
        <w:rPr>
          <w:rFonts w:ascii="Verdana" w:cs="Arial" w:hAnsi="Verdana"/>
          <w:sz w:val="16"/>
          <w:szCs w:val="16"/>
          <w:lang w:val="fr-FR"/>
        </w:rPr>
        <w:t xml:space="preserve">Evolution et maintien de l’emploi des travailleurs handicapés en </w:t>
      </w:r>
      <w:r w:rsidR="00862EC1" w:rsidRPr="00F425BA">
        <w:rPr>
          <w:rFonts w:ascii="Verdana" w:cs="Arial" w:hAnsi="Verdana"/>
          <w:sz w:val="16"/>
          <w:szCs w:val="16"/>
          <w:lang w:val="fr-FR"/>
        </w:rPr>
        <w:t>202</w:t>
      </w:r>
      <w:r w:rsidR="00095C78" w:rsidRPr="00F425BA">
        <w:rPr>
          <w:rFonts w:ascii="Verdana" w:cs="Arial" w:hAnsi="Verdana"/>
          <w:sz w:val="16"/>
          <w:szCs w:val="16"/>
          <w:lang w:val="fr-FR"/>
        </w:rPr>
        <w:t>1</w:t>
      </w:r>
    </w:p>
    <w:p w14:paraId="2D26FE7A" w14:textId="4AECEAD4"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lastRenderedPageBreak/>
        <w:t xml:space="preserve">Les Parties se sont encore rencontrées les </w:t>
      </w:r>
      <w:r w:rsidR="00B50B21" w:rsidRPr="00F425BA">
        <w:rPr>
          <w:rFonts w:ascii="Verdana" w:cs="Arial" w:hAnsi="Verdana"/>
          <w:sz w:val="16"/>
          <w:szCs w:val="16"/>
          <w:lang w:val="fr-FR"/>
        </w:rPr>
        <w:t xml:space="preserve">5 </w:t>
      </w:r>
      <w:r w:rsidR="00F63E90" w:rsidRPr="00F425BA">
        <w:rPr>
          <w:rFonts w:ascii="Verdana" w:cs="Arial" w:hAnsi="Verdana"/>
          <w:sz w:val="16"/>
          <w:szCs w:val="16"/>
          <w:lang w:val="fr-FR"/>
        </w:rPr>
        <w:t>décembre</w:t>
      </w:r>
      <w:r w:rsidR="00131ECC" w:rsidRPr="00F425BA">
        <w:rPr>
          <w:rFonts w:ascii="Verdana" w:cs="Arial" w:hAnsi="Verdana"/>
          <w:sz w:val="16"/>
          <w:szCs w:val="16"/>
          <w:lang w:val="fr-FR"/>
        </w:rPr>
        <w:t xml:space="preserve">, 9 </w:t>
      </w:r>
      <w:r w:rsidR="00F63E90" w:rsidRPr="00F425BA">
        <w:rPr>
          <w:rFonts w:ascii="Verdana" w:cs="Arial" w:hAnsi="Verdana"/>
          <w:sz w:val="16"/>
          <w:szCs w:val="16"/>
          <w:lang w:val="fr-FR"/>
        </w:rPr>
        <w:t>d</w:t>
      </w:r>
      <w:r w:rsidR="00131ECC" w:rsidRPr="00F425BA">
        <w:rPr>
          <w:rFonts w:ascii="Verdana" w:cs="Arial" w:hAnsi="Verdana"/>
          <w:sz w:val="16"/>
          <w:szCs w:val="16"/>
          <w:lang w:val="fr-FR"/>
        </w:rPr>
        <w:t>écembre</w:t>
      </w:r>
      <w:r w:rsidR="00260EB0" w:rsidRPr="00F425BA">
        <w:rPr>
          <w:rFonts w:ascii="Verdana" w:cs="Arial" w:hAnsi="Verdana"/>
          <w:sz w:val="16"/>
          <w:szCs w:val="16"/>
          <w:lang w:val="fr-FR"/>
        </w:rPr>
        <w:t xml:space="preserve">, </w:t>
      </w:r>
      <w:r w:rsidR="00131ECC" w:rsidRPr="00F425BA">
        <w:rPr>
          <w:rFonts w:ascii="Verdana" w:cs="Arial" w:hAnsi="Verdana"/>
          <w:sz w:val="16"/>
          <w:szCs w:val="16"/>
          <w:lang w:val="fr-FR"/>
        </w:rPr>
        <w:t>12</w:t>
      </w:r>
      <w:r w:rsidR="00B50B21" w:rsidRPr="00F425BA">
        <w:rPr>
          <w:rFonts w:ascii="Verdana" w:cs="Arial" w:hAnsi="Verdana"/>
          <w:sz w:val="16"/>
          <w:szCs w:val="16"/>
          <w:lang w:val="fr-FR"/>
        </w:rPr>
        <w:t xml:space="preserve"> </w:t>
      </w:r>
      <w:r w:rsidR="00F63E90" w:rsidRPr="00F425BA">
        <w:rPr>
          <w:rFonts w:ascii="Verdana" w:cs="Arial" w:hAnsi="Verdana"/>
          <w:sz w:val="16"/>
          <w:szCs w:val="16"/>
          <w:lang w:val="fr-FR"/>
        </w:rPr>
        <w:t>d</w:t>
      </w:r>
      <w:r w:rsidR="00B50B21" w:rsidRPr="00F425BA">
        <w:rPr>
          <w:rFonts w:ascii="Verdana" w:cs="Arial" w:hAnsi="Verdana"/>
          <w:sz w:val="16"/>
          <w:szCs w:val="16"/>
          <w:lang w:val="fr-FR"/>
        </w:rPr>
        <w:t xml:space="preserve">écembre </w:t>
      </w:r>
      <w:r w:rsidR="00260EB0" w:rsidRPr="00F425BA">
        <w:rPr>
          <w:rFonts w:ascii="Verdana" w:cs="Arial" w:hAnsi="Verdana"/>
          <w:sz w:val="16"/>
          <w:szCs w:val="16"/>
          <w:lang w:val="fr-FR"/>
        </w:rPr>
        <w:t xml:space="preserve">et 19 décembre </w:t>
      </w:r>
      <w:r w:rsidR="00B50B21" w:rsidRPr="00F425BA">
        <w:rPr>
          <w:rFonts w:ascii="Verdana" w:cs="Arial" w:hAnsi="Verdana"/>
          <w:sz w:val="16"/>
          <w:szCs w:val="16"/>
          <w:lang w:val="fr-FR"/>
        </w:rPr>
        <w:t>202</w:t>
      </w:r>
      <w:r w:rsidR="00A67904" w:rsidRPr="00F425BA">
        <w:rPr>
          <w:rFonts w:ascii="Verdana" w:cs="Arial" w:hAnsi="Verdana"/>
          <w:sz w:val="16"/>
          <w:szCs w:val="16"/>
          <w:lang w:val="fr-FR"/>
        </w:rPr>
        <w:t>2</w:t>
      </w:r>
      <w:r w:rsidRPr="00F425BA">
        <w:rPr>
          <w:rFonts w:ascii="Verdana" w:cs="Arial" w:hAnsi="Verdana"/>
          <w:sz w:val="16"/>
          <w:szCs w:val="16"/>
          <w:lang w:val="fr-FR"/>
        </w:rPr>
        <w:t xml:space="preserve">. </w:t>
      </w:r>
    </w:p>
    <w:p w14:paraId="4BFD6084" w14:textId="757DEBB2"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 xml:space="preserve">Au terme de ces négociations, les Parties, </w:t>
      </w:r>
      <w:r w:rsidR="00A67904" w:rsidRPr="00F425BA">
        <w:rPr>
          <w:rFonts w:ascii="Verdana" w:cs="Arial" w:hAnsi="Verdana"/>
          <w:sz w:val="16"/>
          <w:szCs w:val="16"/>
          <w:lang w:val="fr-FR"/>
        </w:rPr>
        <w:t xml:space="preserve">qui ont pris en compte l’objectif d’égalité professionnelle entre les femmes et les hommes, </w:t>
      </w:r>
      <w:r w:rsidRPr="00F425BA">
        <w:rPr>
          <w:rFonts w:ascii="Verdana" w:cs="Arial" w:hAnsi="Verdana"/>
          <w:sz w:val="16"/>
          <w:szCs w:val="16"/>
          <w:lang w:val="fr-FR"/>
        </w:rPr>
        <w:t xml:space="preserve">sont convenues des dispositions suivantes. </w:t>
      </w:r>
    </w:p>
    <w:p w14:paraId="3B3BF47F" w14:textId="2C49811B"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Le présent accord s’applique à tous les salariés</w:t>
      </w:r>
      <w:r w:rsidR="00A67904" w:rsidRPr="00F425BA">
        <w:rPr>
          <w:rFonts w:ascii="Verdana" w:cs="Arial" w:hAnsi="Verdana"/>
          <w:sz w:val="16"/>
          <w:szCs w:val="16"/>
          <w:lang w:val="fr-FR"/>
        </w:rPr>
        <w:t>, dont le contrat de travail est soumis au droit français,</w:t>
      </w:r>
      <w:r w:rsidRPr="00F425BA">
        <w:rPr>
          <w:rFonts w:ascii="Verdana" w:cs="Arial" w:hAnsi="Verdana"/>
          <w:sz w:val="16"/>
          <w:szCs w:val="16"/>
          <w:lang w:val="fr-FR"/>
        </w:rPr>
        <w:t xml:space="preserve"> de la société Ortho</w:t>
      </w:r>
      <w:r w:rsidR="00873ACB" w:rsidRPr="00F425BA">
        <w:rPr>
          <w:rFonts w:ascii="Verdana" w:cs="Arial" w:hAnsi="Verdana"/>
          <w:sz w:val="16"/>
          <w:szCs w:val="16"/>
          <w:lang w:val="fr-FR"/>
        </w:rPr>
        <w:t xml:space="preserve"> </w:t>
      </w:r>
      <w:r w:rsidRPr="00F425BA">
        <w:rPr>
          <w:rFonts w:ascii="Verdana" w:cs="Arial" w:hAnsi="Verdana"/>
          <w:sz w:val="16"/>
          <w:szCs w:val="16"/>
          <w:lang w:val="fr-FR"/>
        </w:rPr>
        <w:t xml:space="preserve">Clinical Diagnostics France. </w:t>
      </w:r>
      <w:r w:rsidR="00A67904" w:rsidRPr="00F425BA">
        <w:rPr>
          <w:rFonts w:ascii="Verdana" w:cs="Arial" w:hAnsi="Verdana"/>
          <w:sz w:val="16"/>
          <w:szCs w:val="16"/>
          <w:lang w:val="fr-FR"/>
        </w:rPr>
        <w:t>Après le rappel</w:t>
      </w:r>
      <w:r w:rsidRPr="00F425BA">
        <w:rPr>
          <w:rFonts w:ascii="Verdana" w:cs="Arial" w:hAnsi="Verdana"/>
          <w:sz w:val="16"/>
          <w:szCs w:val="16"/>
          <w:lang w:val="fr-FR"/>
        </w:rPr>
        <w:t xml:space="preserve"> </w:t>
      </w:r>
      <w:r w:rsidR="00A67904" w:rsidRPr="00F425BA">
        <w:rPr>
          <w:rFonts w:ascii="Verdana" w:cs="Arial" w:hAnsi="Verdana"/>
          <w:sz w:val="16"/>
          <w:szCs w:val="16"/>
          <w:lang w:val="fr-FR"/>
        </w:rPr>
        <w:t>d</w:t>
      </w:r>
      <w:r w:rsidRPr="00F425BA">
        <w:rPr>
          <w:rFonts w:ascii="Verdana" w:cs="Arial" w:hAnsi="Verdana"/>
          <w:sz w:val="16"/>
          <w:szCs w:val="16"/>
          <w:lang w:val="fr-FR"/>
        </w:rPr>
        <w:t xml:space="preserve">es positions </w:t>
      </w:r>
      <w:r w:rsidR="00A67904" w:rsidRPr="00F425BA">
        <w:rPr>
          <w:rFonts w:ascii="Verdana" w:cs="Arial" w:hAnsi="Verdana"/>
          <w:sz w:val="16"/>
          <w:szCs w:val="16"/>
          <w:lang w:val="fr-FR"/>
        </w:rPr>
        <w:t xml:space="preserve">respectives des Parties, il contient </w:t>
      </w:r>
      <w:r w:rsidRPr="00F425BA">
        <w:rPr>
          <w:rFonts w:ascii="Verdana" w:cs="Arial" w:hAnsi="Verdana"/>
          <w:sz w:val="16"/>
          <w:szCs w:val="16"/>
          <w:lang w:val="fr-FR"/>
        </w:rPr>
        <w:t xml:space="preserve">les mesures sur lesquelles les Parties ont décidé de s’accorder. </w:t>
      </w:r>
    </w:p>
    <w:p w14:paraId="061F799E" w14:textId="77777777" w:rsidP="004A3C78" w:rsidR="004A3C78" w:rsidRDefault="004A3C78" w:rsidRPr="00F425BA">
      <w:pPr>
        <w:jc w:val="both"/>
        <w:rPr>
          <w:rFonts w:ascii="Verdana" w:cs="Arial" w:hAnsi="Verdana"/>
          <w:b/>
          <w:sz w:val="16"/>
          <w:szCs w:val="16"/>
          <w:u w:val="single"/>
          <w:lang w:val="fr-FR"/>
        </w:rPr>
      </w:pPr>
      <w:r w:rsidRPr="00F425BA">
        <w:rPr>
          <w:rFonts w:ascii="Verdana" w:cs="Arial" w:hAnsi="Verdana"/>
          <w:b/>
          <w:sz w:val="16"/>
          <w:szCs w:val="16"/>
          <w:u w:val="single"/>
          <w:lang w:val="fr-FR"/>
        </w:rPr>
        <w:t>Article 1 – Positions de l’Organisation Syndicale Représentative</w:t>
      </w:r>
    </w:p>
    <w:p w14:paraId="00894ED6" w14:textId="5C6A5812" w:rsidP="004A3C78" w:rsidR="004A3C78" w:rsidRDefault="004A3C78" w:rsidRPr="00F425BA">
      <w:pPr>
        <w:spacing w:after="120" w:line="240" w:lineRule="auto"/>
        <w:jc w:val="both"/>
        <w:rPr>
          <w:rFonts w:ascii="Verdana" w:cs="Arial" w:hAnsi="Verdana"/>
          <w:sz w:val="16"/>
          <w:szCs w:val="16"/>
          <w:lang w:val="fr-FR"/>
        </w:rPr>
      </w:pPr>
      <w:r w:rsidRPr="00F425BA">
        <w:rPr>
          <w:rFonts w:ascii="Verdana" w:cs="Arial" w:hAnsi="Verdana"/>
          <w:sz w:val="16"/>
          <w:szCs w:val="16"/>
          <w:lang w:val="fr-FR"/>
        </w:rPr>
        <w:t xml:space="preserve">Dans le cadre des négociations, l’Organisation Syndicale Représentative dans l’entreprise a fait valoir ses demandes relatives aux thèmes de la rémunération, le temps de travail et le partage de la valeur ajoutée, à l’égalité entre les hommes et les femmes et la qualité de vie </w:t>
      </w:r>
      <w:r w:rsidR="005C4444" w:rsidRPr="00F425BA">
        <w:rPr>
          <w:rFonts w:ascii="Verdana" w:cs="Arial" w:hAnsi="Verdana"/>
          <w:sz w:val="16"/>
          <w:szCs w:val="16"/>
          <w:lang w:val="fr-FR"/>
        </w:rPr>
        <w:t xml:space="preserve">et les conditions de </w:t>
      </w:r>
      <w:r w:rsidRPr="00F425BA">
        <w:rPr>
          <w:rFonts w:ascii="Verdana" w:cs="Arial" w:hAnsi="Verdana"/>
          <w:sz w:val="16"/>
          <w:szCs w:val="16"/>
          <w:lang w:val="fr-FR"/>
        </w:rPr>
        <w:t xml:space="preserve">travail : </w:t>
      </w:r>
    </w:p>
    <w:p w14:paraId="08A01B85" w14:textId="0FB67ABC" w:rsidP="004A3C78" w:rsidR="004A3C78"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L’Organisation Syndicale demande à la Direction que l’augmentation individuelle au mérite soit de 6%.</w:t>
      </w:r>
    </w:p>
    <w:p w14:paraId="52653531" w14:textId="50912C67" w:rsidP="004A3C78" w:rsidR="005C4444"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L’Organisation Syndicale demande à la Direction l’augmentation de la valeur des Tickets Restaurants à 11,00€ (6,00€ pour l’entreprise et 5,00€ pour le salarié).</w:t>
      </w:r>
    </w:p>
    <w:p w14:paraId="1CA8039B" w14:textId="29261D2B" w:rsidP="004A3C78" w:rsidR="005C4444"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 xml:space="preserve">L’Organisation Syndicale demande à la Direction d’accorder un forfait repas journalier ou d’organiser le versement de Tickets Restaurants aux salariés itinérants lorsqu’ils </w:t>
      </w:r>
      <w:r w:rsidR="00DC254D" w:rsidRPr="00F425BA">
        <w:rPr>
          <w:rFonts w:ascii="Verdana" w:cs="Arial" w:hAnsi="Verdana"/>
          <w:sz w:val="16"/>
          <w:szCs w:val="16"/>
          <w:lang w:val="fr-FR"/>
        </w:rPr>
        <w:t>travaillent depuis leur domicile</w:t>
      </w:r>
      <w:r w:rsidRPr="00F425BA">
        <w:rPr>
          <w:rFonts w:ascii="Verdana" w:cs="Arial" w:hAnsi="Verdana"/>
          <w:sz w:val="16"/>
          <w:szCs w:val="16"/>
          <w:lang w:val="fr-FR"/>
        </w:rPr>
        <w:t>.</w:t>
      </w:r>
    </w:p>
    <w:p w14:paraId="014C8062" w14:textId="501DD484" w:rsidP="004A3C78" w:rsidR="004A3C78"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 xml:space="preserve">L’Organisation Syndicale demande à la Direction une revalorisation </w:t>
      </w:r>
      <w:r w:rsidR="00F15674" w:rsidRPr="00F425BA">
        <w:rPr>
          <w:rFonts w:ascii="Verdana" w:cs="Arial" w:hAnsi="Verdana"/>
          <w:sz w:val="16"/>
          <w:szCs w:val="16"/>
          <w:lang w:val="fr-FR"/>
        </w:rPr>
        <w:t xml:space="preserve">du forfait des astreintes de 5% pour les collaborateurs du GTSC ainsi que pour les collaborateurs terrain qui travaillent les samedis et dimanches. </w:t>
      </w:r>
    </w:p>
    <w:p w14:paraId="236EB2AF" w14:textId="72CB5374" w:rsidP="004A3C78" w:rsidR="00F15674" w:rsidRDefault="00F1567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L’Organisation Syndicale demande à la Direction l’augmentation du forfait mobilité durable à 15€ par mois.</w:t>
      </w:r>
    </w:p>
    <w:p w14:paraId="046D74FD" w14:textId="5C9D2279" w:rsidP="004A3C78" w:rsidR="00F15674" w:rsidRDefault="00F1567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 xml:space="preserve">L’Organisation Syndicale demande à la Direction l’autorisation de </w:t>
      </w:r>
      <w:r w:rsidR="00E27545" w:rsidRPr="00F425BA">
        <w:rPr>
          <w:rFonts w:ascii="Verdana" w:cs="Arial" w:hAnsi="Verdana"/>
          <w:sz w:val="16"/>
          <w:szCs w:val="16"/>
          <w:lang w:val="fr-FR"/>
        </w:rPr>
        <w:t xml:space="preserve">pouvoir </w:t>
      </w:r>
      <w:r w:rsidRPr="00F425BA">
        <w:rPr>
          <w:rFonts w:ascii="Verdana" w:cs="Arial" w:hAnsi="Verdana"/>
          <w:sz w:val="16"/>
          <w:szCs w:val="16"/>
          <w:lang w:val="fr-FR"/>
        </w:rPr>
        <w:t>télétravailler depuis un autre lieu que son domicile</w:t>
      </w:r>
      <w:r w:rsidR="0062784C" w:rsidRPr="00F425BA">
        <w:rPr>
          <w:rFonts w:ascii="Verdana" w:cs="Arial" w:hAnsi="Verdana"/>
          <w:sz w:val="16"/>
          <w:szCs w:val="16"/>
          <w:lang w:val="fr-FR"/>
        </w:rPr>
        <w:t xml:space="preserve"> </w:t>
      </w:r>
      <w:r w:rsidRPr="00F425BA">
        <w:rPr>
          <w:rFonts w:ascii="Verdana" w:cs="Arial" w:hAnsi="Verdana"/>
          <w:sz w:val="16"/>
          <w:szCs w:val="16"/>
          <w:lang w:val="fr-FR"/>
        </w:rPr>
        <w:t>à hauteur de 10 jours par année civile</w:t>
      </w:r>
      <w:r w:rsidR="00DC254D" w:rsidRPr="00F425BA">
        <w:rPr>
          <w:rFonts w:ascii="Verdana" w:cs="Arial" w:hAnsi="Verdana"/>
          <w:sz w:val="16"/>
          <w:szCs w:val="16"/>
          <w:lang w:val="fr-FR"/>
        </w:rPr>
        <w:t xml:space="preserve"> et cela pour tout </w:t>
      </w:r>
      <w:proofErr w:type="gramStart"/>
      <w:r w:rsidR="00DC254D" w:rsidRPr="00F425BA">
        <w:rPr>
          <w:rFonts w:ascii="Verdana" w:cs="Arial" w:hAnsi="Verdana"/>
          <w:sz w:val="16"/>
          <w:szCs w:val="16"/>
          <w:lang w:val="fr-FR"/>
        </w:rPr>
        <w:t>salarié</w:t>
      </w:r>
      <w:proofErr w:type="gramEnd"/>
      <w:r w:rsidR="00DC254D" w:rsidRPr="00F425BA">
        <w:rPr>
          <w:rFonts w:ascii="Verdana" w:cs="Arial" w:hAnsi="Verdana"/>
          <w:sz w:val="16"/>
          <w:szCs w:val="16"/>
          <w:lang w:val="fr-FR"/>
        </w:rPr>
        <w:t>, peu importe que ce dernier ait ou non de la famille à l’étranger.</w:t>
      </w:r>
    </w:p>
    <w:p w14:paraId="3F583BCA" w14:textId="0F7545F0" w:rsidP="004A3C78" w:rsidR="00F15674" w:rsidRDefault="00F1567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 xml:space="preserve">L’Organisation Syndicale demande à la Direction de favoriser le travail à temps partiel pour les salariés qui en feraient la demande si </w:t>
      </w:r>
      <w:r w:rsidR="005B4132" w:rsidRPr="00F425BA">
        <w:rPr>
          <w:rFonts w:ascii="Verdana" w:cs="Arial" w:hAnsi="Verdana"/>
          <w:sz w:val="16"/>
          <w:szCs w:val="16"/>
          <w:lang w:val="fr-FR"/>
        </w:rPr>
        <w:t xml:space="preserve">l’organisation du département le permet. </w:t>
      </w:r>
    </w:p>
    <w:p w14:paraId="31D2D2EC" w14:textId="6B878C68" w:rsidP="005C4444" w:rsidR="005C4444"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L’Organisation Syndicale demande à la Direction que le lundi de Pentecôte (</w:t>
      </w:r>
      <w:r w:rsidR="005B4132" w:rsidRPr="00F425BA">
        <w:rPr>
          <w:rFonts w:ascii="Verdana" w:cs="Arial" w:hAnsi="Verdana"/>
          <w:sz w:val="16"/>
          <w:szCs w:val="16"/>
          <w:lang w:val="fr-FR"/>
        </w:rPr>
        <w:t xml:space="preserve">29 </w:t>
      </w:r>
      <w:r w:rsidR="00F63E90" w:rsidRPr="00F425BA">
        <w:rPr>
          <w:rFonts w:ascii="Verdana" w:cs="Arial" w:hAnsi="Verdana"/>
          <w:sz w:val="16"/>
          <w:szCs w:val="16"/>
          <w:lang w:val="fr-FR"/>
        </w:rPr>
        <w:t>m</w:t>
      </w:r>
      <w:r w:rsidR="005B4132" w:rsidRPr="00F425BA">
        <w:rPr>
          <w:rFonts w:ascii="Verdana" w:cs="Arial" w:hAnsi="Verdana"/>
          <w:sz w:val="16"/>
          <w:szCs w:val="16"/>
          <w:lang w:val="fr-FR"/>
        </w:rPr>
        <w:t>ai</w:t>
      </w:r>
      <w:r w:rsidRPr="00F425BA">
        <w:rPr>
          <w:rFonts w:ascii="Verdana" w:cs="Arial" w:hAnsi="Verdana"/>
          <w:sz w:val="16"/>
          <w:szCs w:val="16"/>
          <w:lang w:val="fr-FR"/>
        </w:rPr>
        <w:t xml:space="preserve"> 202</w:t>
      </w:r>
      <w:r w:rsidR="005B4132" w:rsidRPr="00F425BA">
        <w:rPr>
          <w:rFonts w:ascii="Verdana" w:cs="Arial" w:hAnsi="Verdana"/>
          <w:sz w:val="16"/>
          <w:szCs w:val="16"/>
          <w:lang w:val="fr-FR"/>
        </w:rPr>
        <w:t>3</w:t>
      </w:r>
      <w:r w:rsidRPr="00F425BA">
        <w:rPr>
          <w:rFonts w:ascii="Verdana" w:cs="Arial" w:hAnsi="Verdana"/>
          <w:sz w:val="16"/>
          <w:szCs w:val="16"/>
          <w:lang w:val="fr-FR"/>
        </w:rPr>
        <w:t xml:space="preserve">) soit un jour férié chômé en échange du samedi </w:t>
      </w:r>
      <w:r w:rsidR="005B4132" w:rsidRPr="00F425BA">
        <w:rPr>
          <w:rFonts w:ascii="Verdana" w:cs="Arial" w:hAnsi="Verdana"/>
          <w:sz w:val="16"/>
          <w:szCs w:val="16"/>
          <w:lang w:val="fr-FR"/>
        </w:rPr>
        <w:t>11 novembre</w:t>
      </w:r>
      <w:r w:rsidRPr="00F425BA">
        <w:rPr>
          <w:rFonts w:ascii="Verdana" w:cs="Arial" w:hAnsi="Verdana"/>
          <w:sz w:val="16"/>
          <w:szCs w:val="16"/>
          <w:lang w:val="fr-FR"/>
        </w:rPr>
        <w:t xml:space="preserve"> 202</w:t>
      </w:r>
      <w:r w:rsidR="005B4132" w:rsidRPr="00F425BA">
        <w:rPr>
          <w:rFonts w:ascii="Verdana" w:cs="Arial" w:hAnsi="Verdana"/>
          <w:sz w:val="16"/>
          <w:szCs w:val="16"/>
          <w:lang w:val="fr-FR"/>
        </w:rPr>
        <w:t>3 qui ne serait donc pas récupéré</w:t>
      </w:r>
      <w:r w:rsidRPr="00F425BA">
        <w:rPr>
          <w:rFonts w:ascii="Verdana" w:cs="Arial" w:hAnsi="Verdana"/>
          <w:sz w:val="16"/>
          <w:szCs w:val="16"/>
          <w:lang w:val="fr-FR"/>
        </w:rPr>
        <w:t>.</w:t>
      </w:r>
    </w:p>
    <w:p w14:paraId="7FF26C11" w14:textId="77777777" w:rsidP="005C4444" w:rsidR="005C4444" w:rsidRDefault="005C4444" w:rsidRPr="00F425BA">
      <w:pPr>
        <w:pStyle w:val="ListParagraph"/>
        <w:rPr>
          <w:rFonts w:ascii="Verdana" w:cs="Arial" w:hAnsi="Verdana"/>
          <w:sz w:val="16"/>
          <w:szCs w:val="16"/>
          <w:lang w:val="fr-FR"/>
        </w:rPr>
      </w:pPr>
    </w:p>
    <w:p w14:paraId="1228BB32" w14:textId="17DD00DA" w:rsidP="005C4444" w:rsidR="005C4444" w:rsidRDefault="005C4444" w:rsidRPr="00F425BA">
      <w:pPr>
        <w:pStyle w:val="NoSpacing"/>
        <w:numPr>
          <w:ilvl w:val="0"/>
          <w:numId w:val="2"/>
        </w:numPr>
        <w:jc w:val="both"/>
        <w:rPr>
          <w:rFonts w:ascii="Verdana" w:cs="Arial" w:hAnsi="Verdana"/>
          <w:sz w:val="16"/>
          <w:szCs w:val="16"/>
        </w:rPr>
      </w:pPr>
      <w:r w:rsidRPr="00F425BA">
        <w:rPr>
          <w:rFonts w:ascii="Verdana" w:cs="Arial" w:hAnsi="Verdana"/>
          <w:sz w:val="16"/>
          <w:szCs w:val="16"/>
        </w:rPr>
        <w:t>L’Organisation Syndicale demande le maintien de l’engagement de la Direction sur le thème de l’égalité professionnelle entre les femmes et les hommes.</w:t>
      </w:r>
      <w:r w:rsidR="005B4132" w:rsidRPr="00F425BA">
        <w:rPr>
          <w:rFonts w:ascii="Verdana" w:cs="Arial" w:hAnsi="Verdana"/>
          <w:sz w:val="16"/>
          <w:szCs w:val="16"/>
        </w:rPr>
        <w:t xml:space="preserve"> Elle souhaiterait obtenir des chiffres arrêtés pour une même période de référence lors de la présentation faite par l’entreprise en 2023.</w:t>
      </w:r>
    </w:p>
    <w:p w14:paraId="3BC0701C" w14:textId="33B7BFE9" w:rsidP="005C4444" w:rsidR="005C4444" w:rsidRDefault="005C4444" w:rsidRPr="00F425BA">
      <w:pPr>
        <w:numPr>
          <w:ilvl w:val="0"/>
          <w:numId w:val="2"/>
        </w:numPr>
        <w:spacing w:after="0" w:before="120" w:line="240" w:lineRule="auto"/>
        <w:jc w:val="both"/>
        <w:rPr>
          <w:rFonts w:ascii="Verdana" w:cs="Arial" w:hAnsi="Verdana"/>
          <w:sz w:val="16"/>
          <w:szCs w:val="16"/>
          <w:lang w:val="fr-FR"/>
        </w:rPr>
      </w:pPr>
      <w:r w:rsidRPr="00F425BA">
        <w:rPr>
          <w:rFonts w:ascii="Verdana" w:cs="Arial" w:hAnsi="Verdana"/>
          <w:sz w:val="16"/>
          <w:szCs w:val="16"/>
          <w:lang w:val="fr-FR"/>
        </w:rPr>
        <w:t>L’Organisation Syndicale demande à la Direction de continuer à s’engager sur le thème de l’insertion professionnelle et le maintien dans l’emploi des travailleurs handicapés.</w:t>
      </w:r>
      <w:r w:rsidR="00CA2057" w:rsidRPr="00F425BA">
        <w:rPr>
          <w:rFonts w:ascii="Verdana" w:cs="Arial" w:hAnsi="Verdana"/>
          <w:sz w:val="16"/>
          <w:szCs w:val="16"/>
          <w:lang w:val="fr-FR"/>
        </w:rPr>
        <w:t xml:space="preserve"> Elle réitère sa volonté d’ouvrir tous les postes aux personnes en situation de handicap. </w:t>
      </w:r>
    </w:p>
    <w:p w14:paraId="6EE5D284" w14:textId="77777777" w:rsidP="004A3C78" w:rsidR="004A3C78" w:rsidRDefault="004A3C78" w:rsidRPr="00F425BA">
      <w:pPr>
        <w:spacing w:after="0" w:line="240" w:lineRule="auto"/>
        <w:jc w:val="both"/>
        <w:rPr>
          <w:rFonts w:ascii="Verdana" w:cs="Arial" w:hAnsi="Verdana"/>
          <w:sz w:val="16"/>
          <w:szCs w:val="16"/>
          <w:lang w:val="fr-FR"/>
        </w:rPr>
      </w:pPr>
    </w:p>
    <w:p w14:paraId="01CA0486" w14:textId="77777777" w:rsidP="004A3C78" w:rsidR="004A3C78" w:rsidRDefault="004A3C78" w:rsidRPr="00F425BA">
      <w:pPr>
        <w:jc w:val="both"/>
        <w:rPr>
          <w:rFonts w:ascii="Verdana" w:cs="Arial" w:hAnsi="Verdana"/>
          <w:b/>
          <w:sz w:val="16"/>
          <w:szCs w:val="16"/>
          <w:u w:val="single"/>
          <w:lang w:val="fr-FR"/>
        </w:rPr>
      </w:pPr>
      <w:r w:rsidRPr="00F425BA">
        <w:rPr>
          <w:rFonts w:ascii="Verdana" w:cs="Arial" w:hAnsi="Verdana"/>
          <w:b/>
          <w:sz w:val="16"/>
          <w:szCs w:val="16"/>
          <w:u w:val="single"/>
          <w:lang w:val="fr-FR"/>
        </w:rPr>
        <w:t xml:space="preserve">Article 2 – Positions de la Direction </w:t>
      </w:r>
    </w:p>
    <w:p w14:paraId="1083C902" w14:textId="398DA4EB" w:rsidP="004A3C78" w:rsidR="004A3C78" w:rsidRDefault="004A3C78" w:rsidRPr="00F425BA">
      <w:pPr>
        <w:spacing w:after="0" w:line="240" w:lineRule="auto"/>
        <w:jc w:val="both"/>
        <w:rPr>
          <w:rFonts w:ascii="Verdana" w:cs="Arial" w:hAnsi="Verdana"/>
          <w:sz w:val="16"/>
          <w:szCs w:val="16"/>
          <w:lang w:val="fr-FR"/>
        </w:rPr>
      </w:pPr>
      <w:r w:rsidRPr="00F425BA">
        <w:rPr>
          <w:rFonts w:ascii="Verdana" w:cs="Arial" w:hAnsi="Verdana"/>
          <w:sz w:val="16"/>
          <w:szCs w:val="16"/>
          <w:lang w:val="fr-FR"/>
        </w:rPr>
        <w:t>Dans le cadre des négociations sur les différents thèmes, la Direction a quant à elle fait valoir les éléments suivants :</w:t>
      </w:r>
    </w:p>
    <w:p w14:paraId="3B66560E" w14:textId="77777777" w:rsidP="003275DB" w:rsidR="003275DB" w:rsidRDefault="00F43CE0"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L’entreprise n’a pas pour vocation de compenser l’inflation. Les augmentations de salaire n’ont jamais été fixées en fonction de l’inflation (jusqu’à l’année dernière les augmentations de salaire ont toujours été au-delà de l’inflation), mais vise à une juste prise en compte des résultats de l’entreprise, du coût de la main d’œuvre, et de la nécessité d’assurer des salaires cohérents avec le marché. Ainsi, les années précédentes l’augmentation de salaire a été de 2%, sauf l’année dernière où cel</w:t>
      </w:r>
      <w:r w:rsidR="00F63E90" w:rsidRPr="00F425BA">
        <w:rPr>
          <w:rFonts w:ascii="Verdana" w:cs="Arial" w:hAnsi="Verdana"/>
          <w:sz w:val="16"/>
          <w:szCs w:val="16"/>
          <w:lang w:val="fr-FR"/>
        </w:rPr>
        <w:t>le-ci</w:t>
      </w:r>
      <w:r w:rsidRPr="00F425BA">
        <w:rPr>
          <w:rFonts w:ascii="Verdana" w:cs="Arial" w:hAnsi="Verdana"/>
          <w:sz w:val="16"/>
          <w:szCs w:val="16"/>
          <w:lang w:val="fr-FR"/>
        </w:rPr>
        <w:t xml:space="preserve"> a été porté</w:t>
      </w:r>
      <w:r w:rsidR="00F63E90" w:rsidRPr="00F425BA">
        <w:rPr>
          <w:rFonts w:ascii="Verdana" w:cs="Arial" w:hAnsi="Verdana"/>
          <w:sz w:val="16"/>
          <w:szCs w:val="16"/>
          <w:lang w:val="fr-FR"/>
        </w:rPr>
        <w:t>e</w:t>
      </w:r>
      <w:r w:rsidRPr="00F425BA">
        <w:rPr>
          <w:rFonts w:ascii="Verdana" w:cs="Arial" w:hAnsi="Verdana"/>
          <w:sz w:val="16"/>
          <w:szCs w:val="16"/>
          <w:lang w:val="fr-FR"/>
        </w:rPr>
        <w:t xml:space="preserve"> à 2,5% et cela même en période d’inflation nulle, de déflation ou/et de résultats en deçà des objectifs.</w:t>
      </w:r>
    </w:p>
    <w:p w14:paraId="502ED152" w14:textId="29149683" w:rsidP="003275DB" w:rsidR="003275DB" w:rsidRDefault="003275DB"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 xml:space="preserve">L’entreprise fait face à plusieurs problématiques business actuellement : si le Chiffre </w:t>
      </w:r>
      <w:proofErr w:type="gramStart"/>
      <w:r w:rsidRPr="00F425BA">
        <w:rPr>
          <w:rFonts w:ascii="Verdana" w:cs="Arial" w:hAnsi="Verdana"/>
          <w:sz w:val="16"/>
          <w:szCs w:val="16"/>
          <w:lang w:val="fr-FR"/>
        </w:rPr>
        <w:t>d’Affaire</w:t>
      </w:r>
      <w:proofErr w:type="gramEnd"/>
      <w:r w:rsidRPr="00F425BA">
        <w:rPr>
          <w:rFonts w:ascii="Verdana" w:cs="Arial" w:hAnsi="Verdana"/>
          <w:sz w:val="16"/>
          <w:szCs w:val="16"/>
          <w:lang w:val="fr-FR"/>
        </w:rPr>
        <w:t xml:space="preserve"> (CA) en France devrait être au niveau de l’AOP les résultats EMEA sont plus compliqués. Outre le CA, l’EBITDA qui désigne le bénéfice d’une société avant que n’en soient soustraits les intérêts, les impôts sur les sociétés, les dotations aux amortissements et les provisions sur immobilisations, n’est pas au niveau escompté et est un véritable problème au niveau EMEA. Par ailleurs, face aux problématiques de hausse des prix, les coûts en énergie et produits pour l’entreprise ont également augmenté de façon importante, mais l’entreprise n’est pas en mesure d’augmenter le prix de ses produits de la même façon. En effet, le business Ortho est un business « B to B » (de professionnel à professionnel) fortement encadré soit par les lois (marchés publics), soit par les contrats en place. D’une manière générale en France par exemple il n’est pas possible d’aller au-delà de 2% d’augmentation annuelle et uniquement dans certains cas. L’entreprise ne peut donc compenser l’augmentation des charges qui pèsent sur elle</w:t>
      </w:r>
      <w:r w:rsidRPr="00F425BA">
        <w:rPr>
          <w:rFonts w:ascii="Verdana" w:hAnsi="Verdana"/>
          <w:sz w:val="16"/>
          <w:szCs w:val="16"/>
          <w:lang w:val="fr-FR"/>
        </w:rPr>
        <w:t>.</w:t>
      </w:r>
    </w:p>
    <w:p w14:paraId="6B0C01BC" w14:textId="6F418A72" w:rsidP="00F43CE0" w:rsidR="00F43CE0" w:rsidRDefault="00D05D84"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L</w:t>
      </w:r>
      <w:r w:rsidR="00F43CE0" w:rsidRPr="00F425BA">
        <w:rPr>
          <w:rFonts w:ascii="Verdana" w:cs="Arial" w:hAnsi="Verdana"/>
          <w:sz w:val="16"/>
          <w:szCs w:val="16"/>
          <w:lang w:val="fr-FR"/>
        </w:rPr>
        <w:t xml:space="preserve">’entreprise a conscience de la situation actuelle et du contexte social économique tendu, issu de phénomènes et d’évènements soudains extérieurs sur lesquels elle ne peut influencer et qui par ailleurs </w:t>
      </w:r>
      <w:r w:rsidR="00F43CE0" w:rsidRPr="00F425BA">
        <w:rPr>
          <w:rFonts w:ascii="Verdana" w:cs="Arial" w:hAnsi="Verdana"/>
          <w:sz w:val="16"/>
          <w:szCs w:val="16"/>
          <w:lang w:val="fr-FR"/>
        </w:rPr>
        <w:lastRenderedPageBreak/>
        <w:t xml:space="preserve">l’impactent aussi de manière négative (augmentation du coût des énergies, des matières premières et donc de production, manque de disponibilité des produits etc.). Cependant et de manière exceptionnelle et unique, l’entreprise souhaite soutenir une partie des salariés avec le versement d’une </w:t>
      </w:r>
      <w:r w:rsidR="00F425BA">
        <w:rPr>
          <w:rFonts w:ascii="Verdana" w:cs="Arial" w:hAnsi="Verdana"/>
          <w:sz w:val="16"/>
          <w:szCs w:val="16"/>
          <w:lang w:val="fr-FR"/>
        </w:rPr>
        <w:t>P</w:t>
      </w:r>
      <w:r w:rsidR="00F43CE0" w:rsidRPr="00F425BA">
        <w:rPr>
          <w:rFonts w:ascii="Verdana" w:cs="Arial" w:hAnsi="Verdana"/>
          <w:sz w:val="16"/>
          <w:szCs w:val="16"/>
          <w:lang w:val="fr-FR"/>
        </w:rPr>
        <w:t xml:space="preserve">rime pour le </w:t>
      </w:r>
      <w:r w:rsidR="00F425BA">
        <w:rPr>
          <w:rFonts w:ascii="Verdana" w:cs="Arial" w:hAnsi="Verdana"/>
          <w:sz w:val="16"/>
          <w:szCs w:val="16"/>
          <w:lang w:val="fr-FR"/>
        </w:rPr>
        <w:t>P</w:t>
      </w:r>
      <w:r w:rsidR="00F43CE0" w:rsidRPr="00F425BA">
        <w:rPr>
          <w:rFonts w:ascii="Verdana" w:cs="Arial" w:hAnsi="Verdana"/>
          <w:sz w:val="16"/>
          <w:szCs w:val="16"/>
          <w:lang w:val="fr-FR"/>
        </w:rPr>
        <w:t xml:space="preserve">artage de la </w:t>
      </w:r>
      <w:r w:rsidR="00F425BA">
        <w:rPr>
          <w:rFonts w:ascii="Verdana" w:cs="Arial" w:hAnsi="Verdana"/>
          <w:sz w:val="16"/>
          <w:szCs w:val="16"/>
          <w:lang w:val="fr-FR"/>
        </w:rPr>
        <w:t>V</w:t>
      </w:r>
      <w:r w:rsidR="00F43CE0" w:rsidRPr="00F425BA">
        <w:rPr>
          <w:rFonts w:ascii="Verdana" w:cs="Arial" w:hAnsi="Verdana"/>
          <w:sz w:val="16"/>
          <w:szCs w:val="16"/>
          <w:lang w:val="fr-FR"/>
        </w:rPr>
        <w:t>aleur</w:t>
      </w:r>
      <w:r w:rsidR="00F425BA">
        <w:rPr>
          <w:rFonts w:ascii="Verdana" w:cs="Arial" w:hAnsi="Verdana"/>
          <w:sz w:val="16"/>
          <w:szCs w:val="16"/>
          <w:lang w:val="fr-FR"/>
        </w:rPr>
        <w:t xml:space="preserve"> (parfois appelée « Prime Macron »)</w:t>
      </w:r>
      <w:r w:rsidR="00F43CE0" w:rsidRPr="00F425BA">
        <w:rPr>
          <w:rFonts w:ascii="Verdana" w:cs="Arial" w:hAnsi="Verdana"/>
          <w:sz w:val="16"/>
          <w:szCs w:val="16"/>
          <w:lang w:val="fr-FR"/>
        </w:rPr>
        <w:t>. Ce versement est exceptionnel et unique. Il ne sera pas renouvelé en cas de maintien d’</w:t>
      </w:r>
      <w:r w:rsidR="00DC616D" w:rsidRPr="00F425BA">
        <w:rPr>
          <w:rFonts w:ascii="Verdana" w:cs="Arial" w:hAnsi="Verdana"/>
          <w:sz w:val="16"/>
          <w:szCs w:val="16"/>
          <w:lang w:val="fr-FR"/>
        </w:rPr>
        <w:t xml:space="preserve">une </w:t>
      </w:r>
      <w:r w:rsidR="00F43CE0" w:rsidRPr="00F425BA">
        <w:rPr>
          <w:rFonts w:ascii="Verdana" w:cs="Arial" w:hAnsi="Verdana"/>
          <w:sz w:val="16"/>
          <w:szCs w:val="16"/>
          <w:lang w:val="fr-FR"/>
        </w:rPr>
        <w:t>inflation</w:t>
      </w:r>
      <w:r w:rsidR="00DC616D" w:rsidRPr="00F425BA">
        <w:rPr>
          <w:rFonts w:ascii="Verdana" w:cs="Arial" w:hAnsi="Verdana"/>
          <w:sz w:val="16"/>
          <w:szCs w:val="16"/>
          <w:lang w:val="fr-FR"/>
        </w:rPr>
        <w:t xml:space="preserve"> élevée</w:t>
      </w:r>
      <w:r w:rsidR="00F43CE0" w:rsidRPr="00F425BA">
        <w:rPr>
          <w:rFonts w:ascii="Verdana" w:cs="Arial" w:hAnsi="Verdana"/>
          <w:sz w:val="16"/>
          <w:szCs w:val="16"/>
          <w:lang w:val="fr-FR"/>
        </w:rPr>
        <w:t>.</w:t>
      </w:r>
    </w:p>
    <w:p w14:paraId="11A83EF3" w14:textId="1B8AC4D2" w:rsidR="00F43CE0" w:rsidRDefault="00F43CE0"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Concernant la situation des salariés nomades au regard de l’indemnisation des repas de midi</w:t>
      </w:r>
      <w:r w:rsidR="00974631" w:rsidRPr="00F425BA">
        <w:rPr>
          <w:rFonts w:ascii="Verdana" w:cs="Arial" w:hAnsi="Verdana"/>
          <w:sz w:val="16"/>
          <w:szCs w:val="16"/>
          <w:lang w:val="fr-FR"/>
        </w:rPr>
        <w:t>, l’entreprise note la v</w:t>
      </w:r>
      <w:r w:rsidRPr="00F425BA">
        <w:rPr>
          <w:rFonts w:ascii="Verdana" w:cs="Arial" w:hAnsi="Verdana"/>
          <w:sz w:val="16"/>
          <w:szCs w:val="16"/>
          <w:lang w:val="fr-FR"/>
        </w:rPr>
        <w:t xml:space="preserve">olonté de traiter les salariés </w:t>
      </w:r>
      <w:r w:rsidR="00974631" w:rsidRPr="00F425BA">
        <w:rPr>
          <w:rFonts w:ascii="Verdana" w:cs="Arial" w:hAnsi="Verdana"/>
          <w:sz w:val="16"/>
          <w:szCs w:val="16"/>
          <w:lang w:val="fr-FR"/>
        </w:rPr>
        <w:t>travaillant depuis leur domicile</w:t>
      </w:r>
      <w:r w:rsidRPr="00F425BA">
        <w:rPr>
          <w:rFonts w:ascii="Verdana" w:cs="Arial" w:hAnsi="Verdana"/>
          <w:sz w:val="16"/>
          <w:szCs w:val="16"/>
          <w:lang w:val="fr-FR"/>
        </w:rPr>
        <w:t xml:space="preserve"> de la même façon mais </w:t>
      </w:r>
      <w:r w:rsidR="00974631" w:rsidRPr="00F425BA">
        <w:rPr>
          <w:rFonts w:ascii="Verdana" w:cs="Arial" w:hAnsi="Verdana"/>
          <w:sz w:val="16"/>
          <w:szCs w:val="16"/>
          <w:lang w:val="fr-FR"/>
        </w:rPr>
        <w:t xml:space="preserve">souhaite rappeler </w:t>
      </w:r>
      <w:r w:rsidR="00F63E90" w:rsidRPr="00F425BA">
        <w:rPr>
          <w:rFonts w:ascii="Verdana" w:cs="Arial" w:hAnsi="Verdana"/>
          <w:sz w:val="16"/>
          <w:szCs w:val="16"/>
          <w:lang w:val="fr-FR"/>
        </w:rPr>
        <w:t xml:space="preserve">qu’aujourd’hui, </w:t>
      </w:r>
      <w:r w:rsidR="00974631" w:rsidRPr="00F425BA">
        <w:rPr>
          <w:rFonts w:ascii="Verdana" w:cs="Arial" w:hAnsi="Verdana"/>
          <w:sz w:val="16"/>
          <w:szCs w:val="16"/>
          <w:lang w:val="fr-FR"/>
        </w:rPr>
        <w:t xml:space="preserve">malgré les positions de la Sécurité Sociale sur le sujet, la </w:t>
      </w:r>
      <w:r w:rsidRPr="00F425BA">
        <w:rPr>
          <w:rFonts w:ascii="Verdana" w:cs="Arial" w:hAnsi="Verdana"/>
          <w:sz w:val="16"/>
          <w:szCs w:val="16"/>
          <w:lang w:val="fr-FR"/>
        </w:rPr>
        <w:t xml:space="preserve">jurisprudence </w:t>
      </w:r>
      <w:r w:rsidR="00974631" w:rsidRPr="00F425BA">
        <w:rPr>
          <w:rFonts w:ascii="Verdana" w:cs="Arial" w:hAnsi="Verdana"/>
          <w:sz w:val="16"/>
          <w:szCs w:val="16"/>
          <w:lang w:val="fr-FR"/>
        </w:rPr>
        <w:t xml:space="preserve">sociale </w:t>
      </w:r>
      <w:r w:rsidRPr="00F425BA">
        <w:rPr>
          <w:rFonts w:ascii="Verdana" w:cs="Arial" w:hAnsi="Verdana"/>
          <w:sz w:val="16"/>
          <w:szCs w:val="16"/>
          <w:lang w:val="fr-FR"/>
        </w:rPr>
        <w:t>sur les T</w:t>
      </w:r>
      <w:r w:rsidR="00974631" w:rsidRPr="00F425BA">
        <w:rPr>
          <w:rFonts w:ascii="Verdana" w:cs="Arial" w:hAnsi="Verdana"/>
          <w:sz w:val="16"/>
          <w:szCs w:val="16"/>
          <w:lang w:val="fr-FR"/>
        </w:rPr>
        <w:t xml:space="preserve">ickets </w:t>
      </w:r>
      <w:r w:rsidRPr="00F425BA">
        <w:rPr>
          <w:rFonts w:ascii="Verdana" w:cs="Arial" w:hAnsi="Verdana"/>
          <w:sz w:val="16"/>
          <w:szCs w:val="16"/>
          <w:lang w:val="fr-FR"/>
        </w:rPr>
        <w:t>R</w:t>
      </w:r>
      <w:r w:rsidR="00974631" w:rsidRPr="00F425BA">
        <w:rPr>
          <w:rFonts w:ascii="Verdana" w:cs="Arial" w:hAnsi="Verdana"/>
          <w:sz w:val="16"/>
          <w:szCs w:val="16"/>
          <w:lang w:val="fr-FR"/>
        </w:rPr>
        <w:t>estaurants</w:t>
      </w:r>
      <w:r w:rsidRPr="00F425BA">
        <w:rPr>
          <w:rFonts w:ascii="Verdana" w:cs="Arial" w:hAnsi="Verdana"/>
          <w:sz w:val="16"/>
          <w:szCs w:val="16"/>
          <w:lang w:val="fr-FR"/>
        </w:rPr>
        <w:t xml:space="preserve"> pour les salariés en télétravail est fluctuante (</w:t>
      </w:r>
      <w:r w:rsidRPr="00F425BA">
        <w:rPr>
          <w:rFonts w:ascii="Verdana" w:cs="Arial" w:hAnsi="Verdana"/>
          <w:sz w:val="16"/>
          <w:szCs w:val="16"/>
          <w:lang w:val="pt-BR"/>
        </w:rPr>
        <w:t>TJ Nanterre 10-3-2021 n° 20/09616).</w:t>
      </w:r>
      <w:r w:rsidR="00F63E90" w:rsidRPr="00F425BA">
        <w:rPr>
          <w:rFonts w:ascii="Verdana" w:cs="Arial" w:hAnsi="Verdana"/>
          <w:sz w:val="16"/>
          <w:szCs w:val="16"/>
          <w:lang w:val="pt-BR"/>
        </w:rPr>
        <w:t xml:space="preserve"> De même, d’une manière plus large les conditions générales de travail des salariés du terrain ne sont pas forcément comparables à celle des salariés des bureaux en télétravail. </w:t>
      </w:r>
    </w:p>
    <w:p w14:paraId="747B2D42" w14:textId="06DF59AB" w:rsidP="00F43CE0" w:rsidR="00F43CE0" w:rsidRDefault="00974631"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 xml:space="preserve">Concernant la prime de mobilité durable, l’entreprise reste prudente sur son montant, surtout avec l’arrivée massive de véhicule hybrides/électriques sur le marché et la possible augmentation rapide et </w:t>
      </w:r>
      <w:r w:rsidR="00F63E90" w:rsidRPr="00F425BA">
        <w:rPr>
          <w:rFonts w:ascii="Verdana" w:cs="Arial" w:hAnsi="Verdana"/>
          <w:sz w:val="16"/>
          <w:szCs w:val="16"/>
          <w:lang w:val="fr-FR"/>
        </w:rPr>
        <w:t>démesurée</w:t>
      </w:r>
      <w:r w:rsidRPr="00F425BA">
        <w:rPr>
          <w:rFonts w:ascii="Verdana" w:cs="Arial" w:hAnsi="Verdana"/>
          <w:sz w:val="16"/>
          <w:szCs w:val="16"/>
          <w:lang w:val="fr-FR"/>
        </w:rPr>
        <w:t xml:space="preserve"> du nombre de bénéficiaires de la prime…qui d’une prime incitative deviendrait une prime quasi automatique, ce qui n’était </w:t>
      </w:r>
      <w:r w:rsidR="00F63E90" w:rsidRPr="00F425BA">
        <w:rPr>
          <w:rFonts w:ascii="Verdana" w:cs="Arial" w:hAnsi="Verdana"/>
          <w:sz w:val="16"/>
          <w:szCs w:val="16"/>
          <w:lang w:val="fr-FR"/>
        </w:rPr>
        <w:t xml:space="preserve">ni </w:t>
      </w:r>
      <w:r w:rsidRPr="00F425BA">
        <w:rPr>
          <w:rFonts w:ascii="Verdana" w:cs="Arial" w:hAnsi="Verdana"/>
          <w:sz w:val="16"/>
          <w:szCs w:val="16"/>
          <w:lang w:val="fr-FR"/>
        </w:rPr>
        <w:t>l’esprit initial</w:t>
      </w:r>
      <w:r w:rsidR="00F63E90" w:rsidRPr="00F425BA">
        <w:rPr>
          <w:rFonts w:ascii="Verdana" w:cs="Arial" w:hAnsi="Verdana"/>
          <w:sz w:val="16"/>
          <w:szCs w:val="16"/>
          <w:lang w:val="fr-FR"/>
        </w:rPr>
        <w:t>, ni l’objectif in fine.</w:t>
      </w:r>
    </w:p>
    <w:p w14:paraId="2B120AA9" w14:textId="6A0E9134" w:rsidP="00F43CE0" w:rsidR="00974631" w:rsidRDefault="00974631"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 xml:space="preserve">Concernant le télétravail et l’aménagement de la possibilité de télétravailler depuis un lieu autre que son domicile pour tous les salariés : l’entreprise </w:t>
      </w:r>
      <w:r w:rsidR="003A414E" w:rsidRPr="00F425BA">
        <w:rPr>
          <w:rFonts w:ascii="Verdana" w:cs="Arial" w:hAnsi="Verdana"/>
          <w:sz w:val="16"/>
          <w:szCs w:val="16"/>
          <w:lang w:val="fr-FR"/>
        </w:rPr>
        <w:t xml:space="preserve">note que tous les acteurs de l’entreprise </w:t>
      </w:r>
      <w:r w:rsidR="000C238E" w:rsidRPr="00F425BA">
        <w:rPr>
          <w:rFonts w:ascii="Verdana" w:cs="Arial" w:hAnsi="Verdana"/>
          <w:sz w:val="16"/>
          <w:szCs w:val="16"/>
          <w:lang w:val="fr-FR"/>
        </w:rPr>
        <w:t xml:space="preserve">exercent le </w:t>
      </w:r>
      <w:r w:rsidR="008E59F7" w:rsidRPr="00F425BA">
        <w:rPr>
          <w:rFonts w:ascii="Verdana" w:cs="Arial" w:hAnsi="Verdana"/>
          <w:sz w:val="16"/>
          <w:szCs w:val="16"/>
          <w:lang w:val="fr-FR"/>
        </w:rPr>
        <w:t>télétravail</w:t>
      </w:r>
      <w:r w:rsidR="000C238E" w:rsidRPr="00F425BA">
        <w:rPr>
          <w:rFonts w:ascii="Verdana" w:cs="Arial" w:hAnsi="Verdana"/>
          <w:sz w:val="16"/>
          <w:szCs w:val="16"/>
          <w:lang w:val="fr-FR"/>
        </w:rPr>
        <w:t xml:space="preserve"> de </w:t>
      </w:r>
      <w:r w:rsidR="00761889" w:rsidRPr="00F425BA">
        <w:rPr>
          <w:rFonts w:ascii="Verdana" w:cs="Arial" w:hAnsi="Verdana"/>
          <w:sz w:val="16"/>
          <w:szCs w:val="16"/>
          <w:lang w:val="fr-FR"/>
        </w:rPr>
        <w:t xml:space="preserve">façon responsable et respectueuse, dans le dialogue. Le management </w:t>
      </w:r>
      <w:r w:rsidR="000E567E" w:rsidRPr="00F425BA">
        <w:rPr>
          <w:rFonts w:ascii="Verdana" w:cs="Arial" w:hAnsi="Verdana"/>
          <w:sz w:val="16"/>
          <w:szCs w:val="16"/>
          <w:lang w:val="fr-FR"/>
        </w:rPr>
        <w:t>accorde sa confiance et met en place des conditions favorisant l’autonomie des collaborateurs</w:t>
      </w:r>
      <w:r w:rsidR="002D31DB" w:rsidRPr="00F425BA">
        <w:rPr>
          <w:rFonts w:ascii="Verdana" w:cs="Arial" w:hAnsi="Verdana"/>
          <w:sz w:val="16"/>
          <w:szCs w:val="16"/>
          <w:lang w:val="fr-FR"/>
        </w:rPr>
        <w:t xml:space="preserve"> et de l’autre côté les collaborateurs font preuve de transparence et de respect des règles édictées</w:t>
      </w:r>
      <w:r w:rsidR="0047504A" w:rsidRPr="00F425BA">
        <w:rPr>
          <w:rFonts w:ascii="Verdana" w:cs="Arial" w:hAnsi="Verdana"/>
          <w:sz w:val="16"/>
          <w:szCs w:val="16"/>
          <w:lang w:val="fr-FR"/>
        </w:rPr>
        <w:t>, continuant à s’investir dans les évènements d’entreprise</w:t>
      </w:r>
      <w:r w:rsidR="00F7186E" w:rsidRPr="00F425BA">
        <w:rPr>
          <w:rFonts w:ascii="Verdana" w:cs="Arial" w:hAnsi="Verdana"/>
          <w:sz w:val="16"/>
          <w:szCs w:val="16"/>
          <w:lang w:val="fr-FR"/>
        </w:rPr>
        <w:t xml:space="preserve"> et respectant les consignes spécifiques, créant ainsi un climat de confiance réciproque</w:t>
      </w:r>
      <w:r w:rsidR="008E59F7" w:rsidRPr="00F425BA">
        <w:rPr>
          <w:rFonts w:ascii="Verdana" w:cs="Arial" w:hAnsi="Verdana"/>
          <w:sz w:val="16"/>
          <w:szCs w:val="16"/>
          <w:lang w:val="fr-FR"/>
        </w:rPr>
        <w:t xml:space="preserve"> et permettant de continuer à nourrir la culture de l’entreprise</w:t>
      </w:r>
      <w:r w:rsidR="00F7186E" w:rsidRPr="00F425BA">
        <w:rPr>
          <w:rFonts w:ascii="Verdana" w:cs="Arial" w:hAnsi="Verdana"/>
          <w:sz w:val="16"/>
          <w:szCs w:val="16"/>
          <w:lang w:val="fr-FR"/>
        </w:rPr>
        <w:t>.</w:t>
      </w:r>
    </w:p>
    <w:p w14:paraId="2638984A" w14:textId="300C06DA" w:rsidP="0064235F" w:rsidR="00F7186E" w:rsidRDefault="00AC2F4B" w:rsidRPr="00F425BA">
      <w:pPr>
        <w:pStyle w:val="ListParagraph"/>
        <w:numPr>
          <w:ilvl w:val="0"/>
          <w:numId w:val="1"/>
        </w:numPr>
        <w:spacing w:before="120"/>
        <w:jc w:val="both"/>
        <w:rPr>
          <w:rFonts w:ascii="Verdana" w:cs="Arial" w:hAnsi="Verdana"/>
          <w:sz w:val="16"/>
          <w:szCs w:val="16"/>
          <w:lang w:val="fr-FR"/>
        </w:rPr>
      </w:pPr>
      <w:r w:rsidRPr="00F425BA">
        <w:rPr>
          <w:rFonts w:ascii="Verdana" w:cs="Arial" w:hAnsi="Verdana"/>
          <w:sz w:val="16"/>
          <w:szCs w:val="16"/>
          <w:lang w:val="fr-FR"/>
        </w:rPr>
        <w:t xml:space="preserve">Concernant le temps partiel : d’une manière générale la période actuelle est une période de hausse d’activité et une période d’intégration avec absorption de nouvelles activités et </w:t>
      </w:r>
      <w:r w:rsidR="00F63E90" w:rsidRPr="00F425BA">
        <w:rPr>
          <w:rFonts w:ascii="Verdana" w:cs="Arial" w:hAnsi="Verdana"/>
          <w:sz w:val="16"/>
          <w:szCs w:val="16"/>
          <w:lang w:val="fr-FR"/>
        </w:rPr>
        <w:t xml:space="preserve">nombre de </w:t>
      </w:r>
      <w:r w:rsidRPr="00F425BA">
        <w:rPr>
          <w:rFonts w:ascii="Verdana" w:cs="Arial" w:hAnsi="Verdana"/>
          <w:sz w:val="16"/>
          <w:szCs w:val="16"/>
          <w:lang w:val="fr-FR"/>
        </w:rPr>
        <w:t>projets à venir.</w:t>
      </w:r>
      <w:r w:rsidR="003677A1" w:rsidRPr="00F425BA">
        <w:rPr>
          <w:rFonts w:ascii="Verdana" w:cs="Arial" w:hAnsi="Verdana"/>
          <w:sz w:val="16"/>
          <w:szCs w:val="16"/>
          <w:lang w:val="fr-FR"/>
        </w:rPr>
        <w:t xml:space="preserve"> Dans la plupart des cas</w:t>
      </w:r>
      <w:r w:rsidR="00AB67BC" w:rsidRPr="00F425BA">
        <w:rPr>
          <w:rFonts w:ascii="Verdana" w:cs="Arial" w:hAnsi="Verdana"/>
          <w:sz w:val="16"/>
          <w:szCs w:val="16"/>
          <w:lang w:val="fr-FR"/>
        </w:rPr>
        <w:t>,</w:t>
      </w:r>
      <w:r w:rsidR="003677A1" w:rsidRPr="00F425BA">
        <w:rPr>
          <w:rFonts w:ascii="Verdana" w:cs="Arial" w:hAnsi="Verdana"/>
          <w:sz w:val="16"/>
          <w:szCs w:val="16"/>
          <w:lang w:val="fr-FR"/>
        </w:rPr>
        <w:t xml:space="preserve"> le</w:t>
      </w:r>
      <w:r w:rsidRPr="00F425BA">
        <w:rPr>
          <w:rFonts w:ascii="Verdana" w:cs="Arial" w:hAnsi="Verdana"/>
          <w:sz w:val="16"/>
          <w:szCs w:val="16"/>
          <w:lang w:val="fr-FR"/>
        </w:rPr>
        <w:t xml:space="preserve">s managers </w:t>
      </w:r>
      <w:r w:rsidR="003677A1" w:rsidRPr="00F425BA">
        <w:rPr>
          <w:rFonts w:ascii="Verdana" w:cs="Arial" w:hAnsi="Verdana"/>
          <w:sz w:val="16"/>
          <w:szCs w:val="16"/>
          <w:lang w:val="fr-FR"/>
        </w:rPr>
        <w:t xml:space="preserve">emploient leur énergie à </w:t>
      </w:r>
      <w:r w:rsidR="00710215" w:rsidRPr="00F425BA">
        <w:rPr>
          <w:rFonts w:ascii="Verdana" w:cs="Arial" w:hAnsi="Verdana"/>
          <w:sz w:val="16"/>
          <w:szCs w:val="16"/>
          <w:lang w:val="fr-FR"/>
        </w:rPr>
        <w:t xml:space="preserve">récupérer de nouvelles ressources. </w:t>
      </w:r>
      <w:r w:rsidR="00032BEB" w:rsidRPr="00F425BA">
        <w:rPr>
          <w:rFonts w:ascii="Verdana" w:cs="Arial" w:hAnsi="Verdana"/>
          <w:sz w:val="16"/>
          <w:szCs w:val="16"/>
          <w:lang w:val="fr-FR"/>
        </w:rPr>
        <w:t xml:space="preserve">Une charge de travail retirée d’un salarié </w:t>
      </w:r>
      <w:r w:rsidR="009F05FD" w:rsidRPr="00F425BA">
        <w:rPr>
          <w:rFonts w:ascii="Verdana" w:cs="Arial" w:hAnsi="Verdana"/>
          <w:sz w:val="16"/>
          <w:szCs w:val="16"/>
          <w:lang w:val="fr-FR"/>
        </w:rPr>
        <w:t>se répercute forcément vers un autre salarié.</w:t>
      </w:r>
    </w:p>
    <w:p w14:paraId="190152AA" w14:textId="3484413A" w:rsidP="00B50B21" w:rsidR="004A3C78" w:rsidRDefault="004A3C78" w:rsidRPr="00F425BA">
      <w:pPr>
        <w:spacing w:after="0" w:before="120" w:line="240" w:lineRule="auto"/>
        <w:jc w:val="both"/>
        <w:rPr>
          <w:rFonts w:ascii="Verdana" w:cs="Arial" w:hAnsi="Verdana"/>
          <w:b/>
          <w:sz w:val="16"/>
          <w:szCs w:val="16"/>
          <w:u w:val="single"/>
          <w:lang w:val="fr-FR"/>
        </w:rPr>
      </w:pPr>
      <w:r w:rsidRPr="00F425BA">
        <w:rPr>
          <w:rFonts w:ascii="Verdana" w:cs="Arial" w:hAnsi="Verdana"/>
          <w:b/>
          <w:sz w:val="16"/>
          <w:szCs w:val="16"/>
          <w:u w:val="single"/>
          <w:lang w:val="fr-FR"/>
        </w:rPr>
        <w:t>Article 3 – Constat d’accord</w:t>
      </w:r>
    </w:p>
    <w:p w14:paraId="41B2D866" w14:textId="77777777" w:rsidP="004A3C78" w:rsidR="006A3DC0" w:rsidRDefault="006A3DC0" w:rsidRPr="00F425BA">
      <w:pPr>
        <w:spacing w:after="120" w:line="240" w:lineRule="auto"/>
        <w:jc w:val="both"/>
        <w:rPr>
          <w:rFonts w:ascii="Verdana" w:cs="Arial" w:hAnsi="Verdana"/>
          <w:sz w:val="16"/>
          <w:szCs w:val="16"/>
          <w:lang w:val="fr-FR"/>
        </w:rPr>
      </w:pPr>
    </w:p>
    <w:p w14:paraId="62CD0FF5" w14:textId="54043D5C" w:rsidP="004A3C78" w:rsidR="004A3C78" w:rsidRDefault="004A3C78" w:rsidRPr="00F425BA">
      <w:pPr>
        <w:spacing w:after="120" w:line="240" w:lineRule="auto"/>
        <w:jc w:val="both"/>
        <w:rPr>
          <w:rFonts w:ascii="Verdana" w:cs="Arial" w:hAnsi="Verdana"/>
          <w:sz w:val="16"/>
          <w:szCs w:val="16"/>
          <w:lang w:val="fr-FR"/>
        </w:rPr>
      </w:pPr>
      <w:r w:rsidRPr="00F425BA">
        <w:rPr>
          <w:rFonts w:ascii="Verdana" w:cs="Arial" w:hAnsi="Verdana"/>
          <w:sz w:val="16"/>
          <w:szCs w:val="16"/>
          <w:lang w:val="fr-FR"/>
        </w:rPr>
        <w:t>Au terme de leurs négociations sur les thèmes de la rémunération, du temps de travail et du partage de la valeur ajoutée, de l’égalité entre les hommes et les femmes et de la qualité de vie au travail, les parties sont parvenues à un constat d’accord avec pour effet la mise en œuvre des mesures précitées. Il a ainsi été décidé par les parties au présent accord :</w:t>
      </w:r>
    </w:p>
    <w:p w14:paraId="5D8393B3" w14:textId="073C0A39" w:rsidP="006F12E0" w:rsidR="00F25543" w:rsidRDefault="00AB67BC" w:rsidRPr="00F425BA">
      <w:pPr>
        <w:pStyle w:val="ListParagraph"/>
        <w:numPr>
          <w:ilvl w:val="0"/>
          <w:numId w:val="2"/>
        </w:numPr>
        <w:spacing w:after="120"/>
        <w:jc w:val="both"/>
        <w:rPr>
          <w:rFonts w:ascii="Verdana" w:cs="Arial" w:hAnsi="Verdana"/>
          <w:sz w:val="16"/>
          <w:szCs w:val="16"/>
          <w:lang w:val="fr-FR"/>
        </w:rPr>
      </w:pPr>
      <w:r w:rsidRPr="00F425BA">
        <w:rPr>
          <w:rFonts w:ascii="Verdana" w:cs="Arial" w:hAnsi="Verdana"/>
          <w:sz w:val="16"/>
          <w:szCs w:val="16"/>
          <w:lang w:val="fr-FR"/>
        </w:rPr>
        <w:t xml:space="preserve">Une </w:t>
      </w:r>
      <w:r w:rsidR="006F12E0" w:rsidRPr="00F425BA">
        <w:rPr>
          <w:rFonts w:ascii="Verdana" w:cs="Arial" w:hAnsi="Verdana"/>
          <w:sz w:val="16"/>
          <w:szCs w:val="16"/>
          <w:lang w:val="fr-FR"/>
        </w:rPr>
        <w:t xml:space="preserve">augmentation </w:t>
      </w:r>
      <w:r w:rsidR="009B2E53" w:rsidRPr="00F425BA">
        <w:rPr>
          <w:rFonts w:ascii="Verdana" w:cs="Arial" w:hAnsi="Verdana"/>
          <w:sz w:val="16"/>
          <w:szCs w:val="16"/>
          <w:lang w:val="fr-FR"/>
        </w:rPr>
        <w:t xml:space="preserve">des salaires de base </w:t>
      </w:r>
      <w:r w:rsidR="006F12E0" w:rsidRPr="00F425BA">
        <w:rPr>
          <w:rFonts w:ascii="Verdana" w:cs="Arial" w:hAnsi="Verdana"/>
          <w:sz w:val="16"/>
          <w:szCs w:val="16"/>
          <w:lang w:val="fr-FR"/>
        </w:rPr>
        <w:t>pour 2023</w:t>
      </w:r>
      <w:r w:rsidRPr="00F425BA">
        <w:rPr>
          <w:rFonts w:ascii="Verdana" w:cs="Arial" w:hAnsi="Verdana"/>
          <w:sz w:val="16"/>
          <w:szCs w:val="16"/>
          <w:lang w:val="fr-FR"/>
        </w:rPr>
        <w:t>, qui</w:t>
      </w:r>
      <w:r w:rsidR="006F12E0" w:rsidRPr="00F425BA">
        <w:rPr>
          <w:rFonts w:ascii="Verdana" w:cs="Arial" w:hAnsi="Verdana"/>
          <w:sz w:val="16"/>
          <w:szCs w:val="16"/>
          <w:lang w:val="fr-FR"/>
        </w:rPr>
        <w:t xml:space="preserve"> est fixée à 4%</w:t>
      </w:r>
      <w:r w:rsidR="00CA0734" w:rsidRPr="00F425BA">
        <w:rPr>
          <w:rFonts w:ascii="Verdana" w:cs="Arial" w:hAnsi="Verdana"/>
          <w:sz w:val="16"/>
          <w:szCs w:val="16"/>
          <w:lang w:val="fr-FR"/>
        </w:rPr>
        <w:t xml:space="preserve"> et sera appliquée selon les conditions suivantes :</w:t>
      </w:r>
    </w:p>
    <w:p w14:paraId="1E4F3627" w14:textId="6CBC87DF" w:rsidP="00CA0734" w:rsidR="00CA0734" w:rsidRDefault="006F7959"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Pour y être éligible le salarié devra a</w:t>
      </w:r>
      <w:r w:rsidR="00CA0734" w:rsidRPr="00F425BA">
        <w:rPr>
          <w:rFonts w:ascii="Verdana" w:cs="Arial" w:hAnsi="Verdana"/>
          <w:sz w:val="16"/>
          <w:szCs w:val="16"/>
          <w:lang w:val="fr-FR"/>
        </w:rPr>
        <w:t xml:space="preserve">voir été embauché au </w:t>
      </w:r>
      <w:r w:rsidR="007E2A1D" w:rsidRPr="00F425BA">
        <w:rPr>
          <w:rFonts w:ascii="Verdana" w:cs="Arial" w:hAnsi="Verdana"/>
          <w:sz w:val="16"/>
          <w:szCs w:val="16"/>
          <w:lang w:val="fr-FR"/>
        </w:rPr>
        <w:t>30 septembre</w:t>
      </w:r>
      <w:r w:rsidR="00CA0734" w:rsidRPr="00F425BA">
        <w:rPr>
          <w:rFonts w:ascii="Verdana" w:cs="Arial" w:hAnsi="Verdana"/>
          <w:sz w:val="16"/>
          <w:szCs w:val="16"/>
          <w:lang w:val="fr-FR"/>
        </w:rPr>
        <w:t xml:space="preserve"> 2022 au plus tard (les personnes embauchées au </w:t>
      </w:r>
      <w:r w:rsidR="007E2A1D" w:rsidRPr="00F425BA">
        <w:rPr>
          <w:rFonts w:ascii="Verdana" w:cs="Arial" w:hAnsi="Verdana"/>
          <w:sz w:val="16"/>
          <w:szCs w:val="16"/>
          <w:lang w:val="fr-FR"/>
        </w:rPr>
        <w:t>1</w:t>
      </w:r>
      <w:r w:rsidR="007E2A1D" w:rsidRPr="00F425BA">
        <w:rPr>
          <w:rFonts w:ascii="Verdana" w:cs="Arial" w:hAnsi="Verdana"/>
          <w:sz w:val="16"/>
          <w:szCs w:val="16"/>
          <w:vertAlign w:val="superscript"/>
          <w:lang w:val="fr-FR"/>
        </w:rPr>
        <w:t>er</w:t>
      </w:r>
      <w:r w:rsidR="007E2A1D" w:rsidRPr="00F425BA">
        <w:rPr>
          <w:rFonts w:ascii="Verdana" w:cs="Arial" w:hAnsi="Verdana"/>
          <w:sz w:val="16"/>
          <w:szCs w:val="16"/>
          <w:lang w:val="fr-FR"/>
        </w:rPr>
        <w:t xml:space="preserve"> octobre</w:t>
      </w:r>
      <w:r w:rsidR="00CA0734" w:rsidRPr="00F425BA">
        <w:rPr>
          <w:rFonts w:ascii="Verdana" w:cs="Arial" w:hAnsi="Verdana"/>
          <w:sz w:val="16"/>
          <w:szCs w:val="16"/>
          <w:lang w:val="fr-FR"/>
        </w:rPr>
        <w:t xml:space="preserve"> 2022 ou plus tard seront exclues) </w:t>
      </w:r>
    </w:p>
    <w:p w14:paraId="5FDD3C13" w14:textId="02B1F4A4" w:rsidP="00CA0734" w:rsidR="00CA0734" w:rsidRDefault="00AB67BC"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Pour l</w:t>
      </w:r>
      <w:r w:rsidR="00CA0734" w:rsidRPr="00F425BA">
        <w:rPr>
          <w:rFonts w:ascii="Verdana" w:cs="Arial" w:hAnsi="Verdana"/>
          <w:sz w:val="16"/>
          <w:szCs w:val="16"/>
          <w:lang w:val="fr-FR"/>
        </w:rPr>
        <w:t xml:space="preserve">es salariés embauchés </w:t>
      </w:r>
      <w:r w:rsidRPr="00F425BA">
        <w:rPr>
          <w:rFonts w:ascii="Verdana" w:cs="Arial" w:hAnsi="Verdana"/>
          <w:sz w:val="16"/>
          <w:szCs w:val="16"/>
          <w:lang w:val="fr-FR"/>
        </w:rPr>
        <w:t>entre le</w:t>
      </w:r>
      <w:r w:rsidR="00CA0734" w:rsidRPr="00F425BA">
        <w:rPr>
          <w:rFonts w:ascii="Verdana" w:cs="Arial" w:hAnsi="Verdana"/>
          <w:sz w:val="16"/>
          <w:szCs w:val="16"/>
          <w:lang w:val="fr-FR"/>
        </w:rPr>
        <w:t xml:space="preserve"> 1</w:t>
      </w:r>
      <w:r w:rsidR="00CA0734" w:rsidRPr="00F425BA">
        <w:rPr>
          <w:rFonts w:ascii="Verdana" w:cs="Arial" w:hAnsi="Verdana"/>
          <w:sz w:val="16"/>
          <w:szCs w:val="16"/>
          <w:vertAlign w:val="superscript"/>
          <w:lang w:val="fr-FR"/>
        </w:rPr>
        <w:t>er</w:t>
      </w:r>
      <w:r w:rsidR="00CA0734" w:rsidRPr="00F425BA">
        <w:rPr>
          <w:rFonts w:ascii="Verdana" w:cs="Arial" w:hAnsi="Verdana"/>
          <w:sz w:val="16"/>
          <w:szCs w:val="16"/>
          <w:lang w:val="fr-FR"/>
        </w:rPr>
        <w:t xml:space="preserve"> juillet</w:t>
      </w:r>
      <w:r w:rsidRPr="00F425BA">
        <w:rPr>
          <w:rFonts w:ascii="Verdana" w:cs="Arial" w:hAnsi="Verdana"/>
          <w:sz w:val="16"/>
          <w:szCs w:val="16"/>
          <w:lang w:val="fr-FR"/>
        </w:rPr>
        <w:t xml:space="preserve"> et le </w:t>
      </w:r>
      <w:r w:rsidR="007E2A1D" w:rsidRPr="00F425BA">
        <w:rPr>
          <w:rFonts w:ascii="Verdana" w:cs="Arial" w:hAnsi="Verdana"/>
          <w:sz w:val="16"/>
          <w:szCs w:val="16"/>
          <w:lang w:val="fr-FR"/>
        </w:rPr>
        <w:t>30 septembre</w:t>
      </w:r>
      <w:r w:rsidR="00CA0734" w:rsidRPr="00F425BA">
        <w:rPr>
          <w:rFonts w:ascii="Verdana" w:cs="Arial" w:hAnsi="Verdana"/>
          <w:sz w:val="16"/>
          <w:szCs w:val="16"/>
          <w:lang w:val="fr-FR"/>
        </w:rPr>
        <w:t xml:space="preserve"> </w:t>
      </w:r>
      <w:r w:rsidRPr="00F425BA">
        <w:rPr>
          <w:rFonts w:ascii="Verdana" w:cs="Arial" w:hAnsi="Verdana"/>
          <w:sz w:val="16"/>
          <w:szCs w:val="16"/>
          <w:lang w:val="fr-FR"/>
        </w:rPr>
        <w:t>2022, cette</w:t>
      </w:r>
      <w:r w:rsidR="00CA0734" w:rsidRPr="00F425BA">
        <w:rPr>
          <w:rFonts w:ascii="Verdana" w:cs="Arial" w:hAnsi="Verdana"/>
          <w:sz w:val="16"/>
          <w:szCs w:val="16"/>
          <w:lang w:val="fr-FR"/>
        </w:rPr>
        <w:t xml:space="preserve"> augmentation </w:t>
      </w:r>
      <w:r w:rsidRPr="00F425BA">
        <w:rPr>
          <w:rFonts w:ascii="Verdana" w:cs="Arial" w:hAnsi="Verdana"/>
          <w:sz w:val="16"/>
          <w:szCs w:val="16"/>
          <w:lang w:val="fr-FR"/>
        </w:rPr>
        <w:t xml:space="preserve">sera </w:t>
      </w:r>
      <w:r w:rsidR="00CA0734" w:rsidRPr="00F425BA">
        <w:rPr>
          <w:rFonts w:ascii="Verdana" w:cs="Arial" w:hAnsi="Verdana"/>
          <w:sz w:val="16"/>
          <w:szCs w:val="16"/>
          <w:lang w:val="fr-FR"/>
        </w:rPr>
        <w:t>au prorata</w:t>
      </w:r>
      <w:r w:rsidR="00803B1C" w:rsidRPr="00F425BA">
        <w:rPr>
          <w:rFonts w:ascii="Verdana" w:cs="Arial" w:hAnsi="Verdana"/>
          <w:sz w:val="16"/>
          <w:szCs w:val="16"/>
          <w:lang w:val="fr-FR"/>
        </w:rPr>
        <w:t>.</w:t>
      </w:r>
      <w:r w:rsidRPr="00F425BA">
        <w:rPr>
          <w:rFonts w:ascii="Verdana" w:cs="Arial" w:hAnsi="Verdana"/>
          <w:sz w:val="16"/>
          <w:szCs w:val="16"/>
          <w:lang w:val="fr-FR"/>
        </w:rPr>
        <w:t xml:space="preserve"> </w:t>
      </w:r>
      <w:r w:rsidR="007D5F12" w:rsidRPr="00F425BA">
        <w:rPr>
          <w:rFonts w:ascii="Verdana" w:cs="Arial" w:hAnsi="Verdana"/>
          <w:sz w:val="16"/>
          <w:szCs w:val="16"/>
          <w:lang w:val="fr-FR"/>
        </w:rPr>
        <w:t xml:space="preserve">Par exemple un salarié touchant un salaire de base </w:t>
      </w:r>
      <w:r w:rsidR="00B81835" w:rsidRPr="00F425BA">
        <w:rPr>
          <w:rFonts w:ascii="Verdana" w:cs="Arial" w:hAnsi="Verdana"/>
          <w:sz w:val="16"/>
          <w:szCs w:val="16"/>
          <w:lang w:val="fr-FR"/>
        </w:rPr>
        <w:t xml:space="preserve">de </w:t>
      </w:r>
      <w:r w:rsidR="007D5F12" w:rsidRPr="00F425BA">
        <w:rPr>
          <w:rFonts w:ascii="Verdana" w:cs="Arial" w:hAnsi="Verdana"/>
          <w:sz w:val="16"/>
          <w:szCs w:val="16"/>
          <w:lang w:val="fr-FR"/>
        </w:rPr>
        <w:t>20 000 euros brut annuel, étant entré dans les effectifs de l’entreprise le 1</w:t>
      </w:r>
      <w:r w:rsidR="007D5F12" w:rsidRPr="00F425BA">
        <w:rPr>
          <w:rFonts w:ascii="Verdana" w:cs="Arial" w:hAnsi="Verdana"/>
          <w:sz w:val="16"/>
          <w:szCs w:val="16"/>
          <w:vertAlign w:val="superscript"/>
          <w:lang w:val="fr-FR"/>
        </w:rPr>
        <w:t>er</w:t>
      </w:r>
      <w:r w:rsidR="007D5F12" w:rsidRPr="00F425BA">
        <w:rPr>
          <w:rFonts w:ascii="Verdana" w:cs="Arial" w:hAnsi="Verdana"/>
          <w:sz w:val="16"/>
          <w:szCs w:val="16"/>
          <w:lang w:val="fr-FR"/>
        </w:rPr>
        <w:t xml:space="preserve"> juillet 2022, verra son salaire annuel augmenté de 400 euros au 1</w:t>
      </w:r>
      <w:r w:rsidR="007D5F12" w:rsidRPr="00F425BA">
        <w:rPr>
          <w:rFonts w:ascii="Verdana" w:cs="Arial" w:hAnsi="Verdana"/>
          <w:sz w:val="16"/>
          <w:szCs w:val="16"/>
          <w:vertAlign w:val="superscript"/>
          <w:lang w:val="fr-FR"/>
        </w:rPr>
        <w:t>er</w:t>
      </w:r>
      <w:r w:rsidR="007D5F12" w:rsidRPr="00F425BA">
        <w:rPr>
          <w:rFonts w:ascii="Verdana" w:cs="Arial" w:hAnsi="Verdana"/>
          <w:sz w:val="16"/>
          <w:szCs w:val="16"/>
          <w:lang w:val="fr-FR"/>
        </w:rPr>
        <w:t xml:space="preserve"> mars 2023.</w:t>
      </w:r>
    </w:p>
    <w:p w14:paraId="42643D81" w14:textId="11113B69" w:rsidP="006D2E02" w:rsidR="006D2E02" w:rsidRDefault="00CA0734"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Les salariés embauchés avant le 1</w:t>
      </w:r>
      <w:r w:rsidRPr="00F425BA">
        <w:rPr>
          <w:rFonts w:ascii="Verdana" w:cs="Arial" w:hAnsi="Verdana"/>
          <w:sz w:val="16"/>
          <w:szCs w:val="16"/>
          <w:vertAlign w:val="superscript"/>
          <w:lang w:val="fr-FR"/>
        </w:rPr>
        <w:t>er</w:t>
      </w:r>
      <w:r w:rsidRPr="00F425BA">
        <w:rPr>
          <w:rFonts w:ascii="Verdana" w:cs="Arial" w:hAnsi="Verdana"/>
          <w:sz w:val="16"/>
          <w:szCs w:val="16"/>
          <w:lang w:val="fr-FR"/>
        </w:rPr>
        <w:t xml:space="preserve"> juillet </w:t>
      </w:r>
      <w:r w:rsidR="00AB67BC" w:rsidRPr="00F425BA">
        <w:rPr>
          <w:rFonts w:ascii="Verdana" w:cs="Arial" w:hAnsi="Verdana"/>
          <w:sz w:val="16"/>
          <w:szCs w:val="16"/>
          <w:lang w:val="fr-FR"/>
        </w:rPr>
        <w:t>2022 bénéficieront de cette</w:t>
      </w:r>
      <w:r w:rsidRPr="00F425BA">
        <w:rPr>
          <w:rFonts w:ascii="Verdana" w:cs="Arial" w:hAnsi="Verdana"/>
          <w:sz w:val="16"/>
          <w:szCs w:val="16"/>
          <w:lang w:val="fr-FR"/>
        </w:rPr>
        <w:t xml:space="preserve"> augmentation</w:t>
      </w:r>
      <w:r w:rsidR="00AB67BC" w:rsidRPr="00F425BA">
        <w:rPr>
          <w:rFonts w:ascii="Verdana" w:cs="Arial" w:hAnsi="Verdana"/>
          <w:sz w:val="16"/>
          <w:szCs w:val="16"/>
          <w:lang w:val="fr-FR"/>
        </w:rPr>
        <w:t>, sans application d’un prorata.</w:t>
      </w:r>
    </w:p>
    <w:p w14:paraId="455690CD" w14:textId="48975126" w:rsidP="00CA0734" w:rsidR="00CA0734" w:rsidRDefault="00AB67BC"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 xml:space="preserve">La valeur de l’augmentation des salaires sera de 4% du salaire </w:t>
      </w:r>
      <w:r w:rsidR="00885F52" w:rsidRPr="00F425BA">
        <w:rPr>
          <w:rFonts w:ascii="Verdana" w:cs="Arial" w:hAnsi="Verdana"/>
          <w:sz w:val="16"/>
          <w:szCs w:val="16"/>
          <w:lang w:val="fr-FR"/>
        </w:rPr>
        <w:t xml:space="preserve">brut de </w:t>
      </w:r>
      <w:r w:rsidRPr="00F425BA">
        <w:rPr>
          <w:rFonts w:ascii="Verdana" w:cs="Arial" w:hAnsi="Verdana"/>
          <w:sz w:val="16"/>
          <w:szCs w:val="16"/>
          <w:lang w:val="fr-FR"/>
        </w:rPr>
        <w:t>base perçu au cours de l’année 2022</w:t>
      </w:r>
      <w:r w:rsidR="00885F52" w:rsidRPr="00F425BA">
        <w:rPr>
          <w:rFonts w:ascii="Verdana" w:cs="Arial" w:hAnsi="Verdana"/>
          <w:sz w:val="16"/>
          <w:szCs w:val="16"/>
          <w:lang w:val="fr-FR"/>
        </w:rPr>
        <w:t xml:space="preserve"> par les salariés concernés ; l’augmentation sera applicable dès le 1</w:t>
      </w:r>
      <w:r w:rsidR="00885F52" w:rsidRPr="00F425BA">
        <w:rPr>
          <w:rFonts w:ascii="Verdana" w:cs="Arial" w:hAnsi="Verdana"/>
          <w:sz w:val="16"/>
          <w:szCs w:val="16"/>
          <w:vertAlign w:val="superscript"/>
          <w:lang w:val="fr-FR"/>
        </w:rPr>
        <w:t>er</w:t>
      </w:r>
      <w:r w:rsidR="00885F52" w:rsidRPr="00F425BA">
        <w:rPr>
          <w:rFonts w:ascii="Verdana" w:cs="Arial" w:hAnsi="Verdana"/>
          <w:sz w:val="16"/>
          <w:szCs w:val="16"/>
          <w:lang w:val="fr-FR"/>
        </w:rPr>
        <w:t xml:space="preserve"> </w:t>
      </w:r>
      <w:r w:rsidR="00803B1C" w:rsidRPr="00F425BA">
        <w:rPr>
          <w:rFonts w:ascii="Verdana" w:cs="Arial" w:hAnsi="Verdana"/>
          <w:sz w:val="16"/>
          <w:szCs w:val="16"/>
          <w:lang w:val="fr-FR"/>
        </w:rPr>
        <w:t>mars</w:t>
      </w:r>
      <w:r w:rsidR="00885F52" w:rsidRPr="00F425BA">
        <w:rPr>
          <w:rFonts w:ascii="Verdana" w:cs="Arial" w:hAnsi="Verdana"/>
          <w:sz w:val="16"/>
          <w:szCs w:val="16"/>
          <w:lang w:val="fr-FR"/>
        </w:rPr>
        <w:t xml:space="preserve"> 2023</w:t>
      </w:r>
      <w:r w:rsidR="00803B1C" w:rsidRPr="00F425BA">
        <w:rPr>
          <w:rFonts w:ascii="Verdana" w:cs="Arial" w:hAnsi="Verdana"/>
          <w:sz w:val="16"/>
          <w:szCs w:val="16"/>
          <w:lang w:val="fr-FR"/>
        </w:rPr>
        <w:t>.</w:t>
      </w:r>
      <w:r w:rsidR="00885F52" w:rsidRPr="00F425BA">
        <w:rPr>
          <w:rFonts w:ascii="Verdana" w:cs="Arial" w:hAnsi="Verdana"/>
          <w:sz w:val="16"/>
          <w:szCs w:val="16"/>
          <w:lang w:val="fr-FR"/>
        </w:rPr>
        <w:t xml:space="preserve"> </w:t>
      </w:r>
    </w:p>
    <w:p w14:paraId="24FDD188" w14:textId="241FB6C6" w:rsidP="006F7959" w:rsidR="00CA0734" w:rsidRDefault="006F7959"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 xml:space="preserve">Le </w:t>
      </w:r>
      <w:r w:rsidR="007D5F12" w:rsidRPr="00F425BA">
        <w:rPr>
          <w:rFonts w:ascii="Verdana" w:cs="Arial" w:hAnsi="Verdana"/>
          <w:sz w:val="16"/>
          <w:szCs w:val="16"/>
          <w:lang w:val="fr-FR"/>
        </w:rPr>
        <w:t xml:space="preserve">versement du lump </w:t>
      </w:r>
      <w:proofErr w:type="spellStart"/>
      <w:r w:rsidR="007D5F12" w:rsidRPr="00F425BA">
        <w:rPr>
          <w:rFonts w:ascii="Verdana" w:cs="Arial" w:hAnsi="Verdana"/>
          <w:sz w:val="16"/>
          <w:szCs w:val="16"/>
          <w:lang w:val="fr-FR"/>
        </w:rPr>
        <w:t>sum</w:t>
      </w:r>
      <w:proofErr w:type="spellEnd"/>
      <w:r w:rsidR="007D5F12" w:rsidRPr="00F425BA">
        <w:rPr>
          <w:rFonts w:ascii="Verdana" w:cs="Arial" w:hAnsi="Verdana"/>
          <w:sz w:val="16"/>
          <w:szCs w:val="16"/>
          <w:lang w:val="fr-FR"/>
        </w:rPr>
        <w:t xml:space="preserve"> (prime égale à l’augmentation du salaire de base), </w:t>
      </w:r>
      <w:r w:rsidR="009908F3" w:rsidRPr="00F425BA">
        <w:rPr>
          <w:rFonts w:ascii="Verdana" w:cs="Arial" w:hAnsi="Verdana"/>
          <w:sz w:val="16"/>
          <w:szCs w:val="16"/>
          <w:lang w:val="fr-FR"/>
        </w:rPr>
        <w:t>au lieu de l’augmentation du salaire de base</w:t>
      </w:r>
      <w:r w:rsidR="007D5F12" w:rsidRPr="00F425BA">
        <w:rPr>
          <w:rFonts w:ascii="Verdana" w:cs="Arial" w:hAnsi="Verdana"/>
          <w:sz w:val="16"/>
          <w:szCs w:val="16"/>
          <w:lang w:val="fr-FR"/>
        </w:rPr>
        <w:t>,</w:t>
      </w:r>
      <w:r w:rsidR="009908F3" w:rsidRPr="00F425BA">
        <w:rPr>
          <w:rFonts w:ascii="Verdana" w:cs="Arial" w:hAnsi="Verdana"/>
          <w:sz w:val="16"/>
          <w:szCs w:val="16"/>
          <w:lang w:val="fr-FR"/>
        </w:rPr>
        <w:t xml:space="preserve"> </w:t>
      </w:r>
      <w:r w:rsidRPr="00F425BA">
        <w:rPr>
          <w:rFonts w:ascii="Verdana" w:cs="Arial" w:hAnsi="Verdana"/>
          <w:sz w:val="16"/>
          <w:szCs w:val="16"/>
          <w:lang w:val="fr-FR"/>
        </w:rPr>
        <w:t>restera</w:t>
      </w:r>
      <w:r w:rsidR="00CA0734" w:rsidRPr="00F425BA">
        <w:rPr>
          <w:rFonts w:ascii="Verdana" w:cs="Arial" w:hAnsi="Verdana"/>
          <w:sz w:val="16"/>
          <w:szCs w:val="16"/>
          <w:lang w:val="fr-FR"/>
        </w:rPr>
        <w:t xml:space="preserve"> applicable pour les salariés au-dessus du maximum </w:t>
      </w:r>
      <w:r w:rsidR="00DA2817" w:rsidRPr="00F425BA">
        <w:rPr>
          <w:rFonts w:ascii="Verdana" w:cs="Arial" w:hAnsi="Verdana"/>
          <w:sz w:val="16"/>
          <w:szCs w:val="16"/>
          <w:lang w:val="fr-FR"/>
        </w:rPr>
        <w:t xml:space="preserve">des </w:t>
      </w:r>
      <w:r w:rsidR="008466D6" w:rsidRPr="00F425BA">
        <w:rPr>
          <w:rFonts w:ascii="Verdana" w:cs="Arial" w:hAnsi="Verdana"/>
          <w:sz w:val="16"/>
          <w:szCs w:val="16"/>
          <w:lang w:val="fr-FR"/>
        </w:rPr>
        <w:t>fourchettes</w:t>
      </w:r>
      <w:r w:rsidR="00DA2817" w:rsidRPr="00F425BA">
        <w:rPr>
          <w:rFonts w:ascii="Verdana" w:cs="Arial" w:hAnsi="Verdana"/>
          <w:sz w:val="16"/>
          <w:szCs w:val="16"/>
          <w:lang w:val="fr-FR"/>
        </w:rPr>
        <w:t xml:space="preserve"> de salaire.</w:t>
      </w:r>
    </w:p>
    <w:p w14:paraId="773B4A8F" w14:textId="79EB854F" w:rsidP="009908F3" w:rsidR="00CA0734" w:rsidRDefault="009908F3" w:rsidRPr="00F425BA">
      <w:pPr>
        <w:pStyle w:val="ListParagraph"/>
        <w:spacing w:after="120"/>
        <w:jc w:val="both"/>
        <w:rPr>
          <w:rFonts w:ascii="Verdana" w:cs="Arial" w:hAnsi="Verdana"/>
          <w:sz w:val="16"/>
          <w:szCs w:val="16"/>
          <w:lang w:val="fr-FR"/>
        </w:rPr>
      </w:pPr>
      <w:r w:rsidRPr="00F425BA">
        <w:rPr>
          <w:rFonts w:ascii="Verdana" w:cs="Arial" w:hAnsi="Verdana"/>
          <w:sz w:val="16"/>
          <w:szCs w:val="16"/>
          <w:lang w:val="fr-FR"/>
        </w:rPr>
        <w:t>Par ailleurs, l’augmentation qui était en fonction du mérite les année</w:t>
      </w:r>
      <w:r w:rsidR="00746B75" w:rsidRPr="00F425BA">
        <w:rPr>
          <w:rFonts w:ascii="Verdana" w:cs="Arial" w:hAnsi="Verdana"/>
          <w:sz w:val="16"/>
          <w:szCs w:val="16"/>
          <w:lang w:val="fr-FR"/>
        </w:rPr>
        <w:t>s</w:t>
      </w:r>
      <w:r w:rsidRPr="00F425BA">
        <w:rPr>
          <w:rFonts w:ascii="Verdana" w:cs="Arial" w:hAnsi="Verdana"/>
          <w:sz w:val="16"/>
          <w:szCs w:val="16"/>
          <w:lang w:val="fr-FR"/>
        </w:rPr>
        <w:t xml:space="preserve"> précédentes</w:t>
      </w:r>
      <w:r w:rsidR="001717E9" w:rsidRPr="00F425BA">
        <w:rPr>
          <w:rFonts w:ascii="Verdana" w:cs="Arial" w:hAnsi="Verdana"/>
          <w:sz w:val="16"/>
          <w:szCs w:val="16"/>
          <w:lang w:val="fr-FR"/>
        </w:rPr>
        <w:t xml:space="preserve"> sera cette année une augmentation générale (identique pour tous les salariés). Cela </w:t>
      </w:r>
      <w:r w:rsidR="00B42D7E" w:rsidRPr="00F425BA">
        <w:rPr>
          <w:rFonts w:ascii="Verdana" w:cs="Arial" w:hAnsi="Verdana"/>
          <w:sz w:val="16"/>
          <w:szCs w:val="16"/>
          <w:lang w:val="fr-FR"/>
        </w:rPr>
        <w:t xml:space="preserve">se </w:t>
      </w:r>
      <w:r w:rsidR="001717E9" w:rsidRPr="00F425BA">
        <w:rPr>
          <w:rFonts w:ascii="Verdana" w:cs="Arial" w:hAnsi="Verdana"/>
          <w:sz w:val="16"/>
          <w:szCs w:val="16"/>
          <w:lang w:val="fr-FR"/>
        </w:rPr>
        <w:t>justifi</w:t>
      </w:r>
      <w:r w:rsidR="00B42D7E" w:rsidRPr="00F425BA">
        <w:rPr>
          <w:rFonts w:ascii="Verdana" w:cs="Arial" w:hAnsi="Verdana"/>
          <w:sz w:val="16"/>
          <w:szCs w:val="16"/>
          <w:lang w:val="fr-FR"/>
        </w:rPr>
        <w:t>e</w:t>
      </w:r>
      <w:r w:rsidR="001717E9" w:rsidRPr="00F425BA">
        <w:rPr>
          <w:rFonts w:ascii="Verdana" w:cs="Arial" w:hAnsi="Verdana"/>
          <w:sz w:val="16"/>
          <w:szCs w:val="16"/>
          <w:lang w:val="fr-FR"/>
        </w:rPr>
        <w:t xml:space="preserve"> par le fait que </w:t>
      </w:r>
      <w:proofErr w:type="gramStart"/>
      <w:r w:rsidR="001717E9" w:rsidRPr="00F425BA">
        <w:rPr>
          <w:rFonts w:ascii="Verdana" w:cs="Arial" w:hAnsi="Verdana"/>
          <w:sz w:val="16"/>
          <w:szCs w:val="16"/>
          <w:lang w:val="fr-FR"/>
        </w:rPr>
        <w:t>suite à</w:t>
      </w:r>
      <w:proofErr w:type="gramEnd"/>
      <w:r w:rsidR="001717E9" w:rsidRPr="00F425BA">
        <w:rPr>
          <w:rFonts w:ascii="Verdana" w:cs="Arial" w:hAnsi="Verdana"/>
          <w:sz w:val="16"/>
          <w:szCs w:val="16"/>
          <w:lang w:val="fr-FR"/>
        </w:rPr>
        <w:t xml:space="preserve"> l’acquisition d’Ortho par Quidel</w:t>
      </w:r>
      <w:r w:rsidR="00F576C2" w:rsidRPr="00F425BA">
        <w:rPr>
          <w:rFonts w:ascii="Verdana" w:cs="Arial" w:hAnsi="Verdana"/>
          <w:sz w:val="16"/>
          <w:szCs w:val="16"/>
          <w:lang w:val="fr-FR"/>
        </w:rPr>
        <w:t xml:space="preserve"> les mécanismes de gestion de la performance sont en transition vers un nouveau process</w:t>
      </w:r>
      <w:r w:rsidR="00746B75" w:rsidRPr="00F425BA">
        <w:rPr>
          <w:rFonts w:ascii="Verdana" w:cs="Arial" w:hAnsi="Verdana"/>
          <w:sz w:val="16"/>
          <w:szCs w:val="16"/>
          <w:lang w:val="fr-FR"/>
        </w:rPr>
        <w:t xml:space="preserve">. Ainsi pour l’année 2022 il n’y aura pas de « ratings » </w:t>
      </w:r>
      <w:r w:rsidR="00885F52" w:rsidRPr="00F425BA">
        <w:rPr>
          <w:rFonts w:ascii="Verdana" w:cs="Arial" w:hAnsi="Verdana"/>
          <w:sz w:val="16"/>
          <w:szCs w:val="16"/>
          <w:lang w:val="fr-FR"/>
        </w:rPr>
        <w:t>(évaluation de la performance)</w:t>
      </w:r>
      <w:r w:rsidR="00B42D7E" w:rsidRPr="00F425BA">
        <w:rPr>
          <w:rFonts w:ascii="Verdana" w:cs="Arial" w:hAnsi="Verdana"/>
          <w:sz w:val="16"/>
          <w:szCs w:val="16"/>
          <w:lang w:val="fr-FR"/>
        </w:rPr>
        <w:t xml:space="preserve"> ni de calibration</w:t>
      </w:r>
      <w:r w:rsidR="00746B75" w:rsidRPr="00F425BA">
        <w:rPr>
          <w:rFonts w:ascii="Verdana" w:cs="Arial" w:hAnsi="Verdana"/>
          <w:sz w:val="16"/>
          <w:szCs w:val="16"/>
          <w:lang w:val="fr-FR"/>
        </w:rPr>
        <w:t xml:space="preserve">. </w:t>
      </w:r>
      <w:r w:rsidR="00B5417E" w:rsidRPr="00F425BA">
        <w:rPr>
          <w:rFonts w:ascii="Verdana" w:cs="Arial" w:hAnsi="Verdana"/>
          <w:sz w:val="16"/>
          <w:szCs w:val="16"/>
          <w:lang w:val="fr-FR"/>
        </w:rPr>
        <w:t xml:space="preserve">Les augmentations au mérite </w:t>
      </w:r>
      <w:r w:rsidR="00163A85" w:rsidRPr="00F425BA">
        <w:rPr>
          <w:rFonts w:ascii="Verdana" w:cs="Arial" w:hAnsi="Verdana"/>
          <w:sz w:val="16"/>
          <w:szCs w:val="16"/>
          <w:lang w:val="fr-FR"/>
        </w:rPr>
        <w:t>pourront être réenvisagées pour l’année prochaine.</w:t>
      </w:r>
    </w:p>
    <w:p w14:paraId="707BEA2F" w14:textId="03FD6DA5" w:rsidP="006F12E0" w:rsidR="009F7027" w:rsidRDefault="001223E6" w:rsidRPr="00F425BA">
      <w:pPr>
        <w:pStyle w:val="ListParagraph"/>
        <w:numPr>
          <w:ilvl w:val="0"/>
          <w:numId w:val="2"/>
        </w:numPr>
        <w:spacing w:after="120"/>
        <w:jc w:val="both"/>
        <w:rPr>
          <w:rFonts w:ascii="Verdana" w:cs="Arial" w:hAnsi="Verdana"/>
          <w:sz w:val="16"/>
          <w:szCs w:val="16"/>
          <w:lang w:val="fr-FR"/>
        </w:rPr>
      </w:pPr>
      <w:bookmarkStart w:id="0" w:name="_Hlk122340080"/>
      <w:r w:rsidRPr="00F425BA">
        <w:rPr>
          <w:rFonts w:ascii="Verdana" w:cs="Arial" w:hAnsi="Verdana"/>
          <w:sz w:val="16"/>
          <w:szCs w:val="16"/>
          <w:lang w:val="fr-FR"/>
        </w:rPr>
        <w:t>Le versement d’une Prime de Partage de la Valeur</w:t>
      </w:r>
      <w:r w:rsidR="00131560" w:rsidRPr="00F425BA">
        <w:rPr>
          <w:rFonts w:ascii="Verdana" w:cs="Arial" w:hAnsi="Verdana"/>
          <w:sz w:val="16"/>
          <w:szCs w:val="16"/>
          <w:lang w:val="fr-FR"/>
        </w:rPr>
        <w:t xml:space="preserve"> </w:t>
      </w:r>
      <w:r w:rsidR="009F7027" w:rsidRPr="00F425BA">
        <w:rPr>
          <w:rFonts w:ascii="Verdana" w:cs="Arial" w:hAnsi="Verdana"/>
          <w:sz w:val="16"/>
          <w:szCs w:val="16"/>
          <w:lang w:val="fr-FR"/>
        </w:rPr>
        <w:t xml:space="preserve">d’un montant de </w:t>
      </w:r>
      <w:r w:rsidR="00882412" w:rsidRPr="00F425BA">
        <w:rPr>
          <w:rFonts w:ascii="Verdana" w:cs="Arial" w:hAnsi="Verdana"/>
          <w:sz w:val="16"/>
          <w:szCs w:val="16"/>
          <w:lang w:val="fr-FR"/>
        </w:rPr>
        <w:t>1</w:t>
      </w:r>
      <w:r w:rsidR="00885F52" w:rsidRPr="00F425BA">
        <w:rPr>
          <w:rFonts w:ascii="Verdana" w:cs="Arial" w:hAnsi="Verdana"/>
          <w:sz w:val="16"/>
          <w:szCs w:val="16"/>
          <w:lang w:val="fr-FR"/>
        </w:rPr>
        <w:t xml:space="preserve"> </w:t>
      </w:r>
      <w:r w:rsidR="00882412" w:rsidRPr="00F425BA">
        <w:rPr>
          <w:rFonts w:ascii="Verdana" w:cs="Arial" w:hAnsi="Verdana"/>
          <w:sz w:val="16"/>
          <w:szCs w:val="16"/>
          <w:lang w:val="fr-FR"/>
        </w:rPr>
        <w:t>000</w:t>
      </w:r>
      <w:r w:rsidR="009F7027" w:rsidRPr="00F425BA">
        <w:rPr>
          <w:rFonts w:ascii="Verdana" w:cs="Arial" w:hAnsi="Verdana"/>
          <w:sz w:val="16"/>
          <w:szCs w:val="16"/>
          <w:lang w:val="fr-FR"/>
        </w:rPr>
        <w:t>€</w:t>
      </w:r>
      <w:r w:rsidR="00882412" w:rsidRPr="00F425BA">
        <w:rPr>
          <w:rFonts w:ascii="Verdana" w:cs="Arial" w:hAnsi="Verdana"/>
          <w:sz w:val="16"/>
          <w:szCs w:val="16"/>
          <w:lang w:val="fr-FR"/>
        </w:rPr>
        <w:t xml:space="preserve"> bruts</w:t>
      </w:r>
      <w:r w:rsidR="009F7027" w:rsidRPr="00F425BA">
        <w:rPr>
          <w:rFonts w:ascii="Verdana" w:cs="Arial" w:hAnsi="Verdana"/>
          <w:sz w:val="16"/>
          <w:szCs w:val="16"/>
          <w:lang w:val="fr-FR"/>
        </w:rPr>
        <w:t xml:space="preserve"> </w:t>
      </w:r>
      <w:r w:rsidRPr="00F425BA">
        <w:rPr>
          <w:rFonts w:ascii="Verdana" w:cs="Arial" w:hAnsi="Verdana"/>
          <w:sz w:val="16"/>
          <w:szCs w:val="16"/>
          <w:lang w:val="fr-FR"/>
        </w:rPr>
        <w:t>aux salariés percevant un salaire annuel de base</w:t>
      </w:r>
      <w:r w:rsidR="00160FE0" w:rsidRPr="00F425BA">
        <w:rPr>
          <w:rFonts w:ascii="Verdana" w:cs="Arial" w:hAnsi="Verdana"/>
          <w:sz w:val="16"/>
          <w:szCs w:val="16"/>
          <w:lang w:val="fr-FR"/>
        </w:rPr>
        <w:t xml:space="preserve"> </w:t>
      </w:r>
      <w:r w:rsidRPr="00F425BA">
        <w:rPr>
          <w:rFonts w:ascii="Verdana" w:cs="Arial" w:hAnsi="Verdana"/>
          <w:sz w:val="16"/>
          <w:szCs w:val="16"/>
          <w:lang w:val="fr-FR"/>
        </w:rPr>
        <w:t xml:space="preserve">incluant la prime d’ancienneté </w:t>
      </w:r>
      <w:r w:rsidR="00885F52" w:rsidRPr="00F425BA">
        <w:rPr>
          <w:rFonts w:ascii="Verdana" w:cs="Arial" w:hAnsi="Verdana"/>
          <w:sz w:val="16"/>
          <w:szCs w:val="16"/>
          <w:lang w:val="fr-FR"/>
        </w:rPr>
        <w:t xml:space="preserve">d’un montant </w:t>
      </w:r>
      <w:r w:rsidRPr="00F425BA">
        <w:rPr>
          <w:rFonts w:ascii="Verdana" w:cs="Arial" w:hAnsi="Verdana"/>
          <w:sz w:val="16"/>
          <w:szCs w:val="16"/>
          <w:lang w:val="fr-FR"/>
        </w:rPr>
        <w:t>inférieur à 45 000€ brut</w:t>
      </w:r>
      <w:r w:rsidR="00885F52" w:rsidRPr="00F425BA">
        <w:rPr>
          <w:rFonts w:ascii="Verdana" w:cs="Arial" w:hAnsi="Verdana"/>
          <w:sz w:val="16"/>
          <w:szCs w:val="16"/>
          <w:lang w:val="fr-FR"/>
        </w:rPr>
        <w:t>s</w:t>
      </w:r>
      <w:r w:rsidR="006965FF" w:rsidRPr="00F425BA">
        <w:rPr>
          <w:rFonts w:ascii="Verdana" w:cs="Arial" w:hAnsi="Verdana"/>
          <w:sz w:val="16"/>
          <w:szCs w:val="16"/>
          <w:lang w:val="fr-FR"/>
        </w:rPr>
        <w:t xml:space="preserve"> ETP (équivalent temps plein)</w:t>
      </w:r>
      <w:r w:rsidR="004732A1">
        <w:rPr>
          <w:rFonts w:ascii="Verdana" w:cs="Arial" w:hAnsi="Verdana"/>
          <w:sz w:val="16"/>
          <w:szCs w:val="16"/>
          <w:lang w:val="fr-FR"/>
        </w:rPr>
        <w:t xml:space="preserve">, ce plafond étant réduit au prorata </w:t>
      </w:r>
      <w:proofErr w:type="spellStart"/>
      <w:r w:rsidR="004732A1">
        <w:rPr>
          <w:rFonts w:ascii="Verdana" w:cs="Arial" w:hAnsi="Verdana"/>
          <w:sz w:val="16"/>
          <w:szCs w:val="16"/>
          <w:lang w:val="fr-FR"/>
        </w:rPr>
        <w:t>temporis</w:t>
      </w:r>
      <w:proofErr w:type="spellEnd"/>
      <w:r w:rsidR="004732A1">
        <w:rPr>
          <w:rFonts w:ascii="Verdana" w:cs="Arial" w:hAnsi="Verdana"/>
          <w:sz w:val="16"/>
          <w:szCs w:val="16"/>
          <w:lang w:val="fr-FR"/>
        </w:rPr>
        <w:t xml:space="preserve"> pour les salariés recrutés au cours de l’année 2022. </w:t>
      </w:r>
    </w:p>
    <w:p w14:paraId="609162FE" w14:textId="52C82E49" w:rsidP="008879BB" w:rsidR="00885F52" w:rsidRDefault="00885F52"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 xml:space="preserve">Le versement de la Prime de Partage de la Valeur interviendra avec la paie de janvier 2023. Par conséquent, le plafond de la rémunération de base conditionnant l’éligibilité s’appréciera au cours de la période des 12 mois précédant (de janvier à décembre 2022). </w:t>
      </w:r>
    </w:p>
    <w:p w14:paraId="152D2A8C" w14:textId="0C5D7EA4" w:rsidP="008879BB" w:rsidR="008879BB" w:rsidRDefault="001223E6"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Sont éligibles les salariés titulaires d’un CDI ou d’un CDD, les apprentis et les intérimaires présents dans l’entreprise à la date du versement de la prime</w:t>
      </w:r>
      <w:r w:rsidR="001C75D8" w:rsidRPr="00F425BA">
        <w:rPr>
          <w:rFonts w:ascii="Verdana" w:cs="Arial" w:hAnsi="Verdana"/>
          <w:sz w:val="16"/>
          <w:szCs w:val="16"/>
          <w:lang w:val="fr-FR"/>
        </w:rPr>
        <w:t xml:space="preserve"> (31 janvier 2023)</w:t>
      </w:r>
      <w:r w:rsidRPr="00F425BA">
        <w:rPr>
          <w:rFonts w:ascii="Verdana" w:cs="Arial" w:hAnsi="Verdana"/>
          <w:sz w:val="16"/>
          <w:szCs w:val="16"/>
          <w:lang w:val="fr-FR"/>
        </w:rPr>
        <w:t xml:space="preserve">. </w:t>
      </w:r>
    </w:p>
    <w:p w14:paraId="4E05D1A5" w14:textId="77777777" w:rsidP="008879BB" w:rsidR="008879BB" w:rsidRDefault="001223E6"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lastRenderedPageBreak/>
        <w:t xml:space="preserve">Le montant de la prime est modulé pour les collaborateurs ayant rejoint l’entreprise en cours d’année au prorata de leur temps de présence sur l’année 2022. </w:t>
      </w:r>
    </w:p>
    <w:p w14:paraId="36B80D08" w14:textId="08D244B0" w:rsidP="008879BB" w:rsidR="001223E6" w:rsidRDefault="001223E6"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En application des dispositions légales et réglementaires, cette prime est exonérée de cotisations sociales</w:t>
      </w:r>
      <w:r w:rsidR="001C75D8" w:rsidRPr="00F425BA">
        <w:rPr>
          <w:rFonts w:ascii="Verdana" w:cs="Arial" w:hAnsi="Verdana"/>
          <w:sz w:val="16"/>
          <w:szCs w:val="16"/>
          <w:lang w:val="fr-FR"/>
        </w:rPr>
        <w:t>, de CSG/CRDS</w:t>
      </w:r>
      <w:r w:rsidRPr="00F425BA">
        <w:rPr>
          <w:rFonts w:ascii="Verdana" w:cs="Arial" w:hAnsi="Verdana"/>
          <w:sz w:val="16"/>
          <w:szCs w:val="16"/>
          <w:lang w:val="fr-FR"/>
        </w:rPr>
        <w:t xml:space="preserve"> et d’impôt sur le revenu pour les personnes percevant </w:t>
      </w:r>
      <w:r w:rsidR="00B11523" w:rsidRPr="00F425BA">
        <w:rPr>
          <w:rFonts w:ascii="Verdana" w:cs="Arial" w:hAnsi="Verdana"/>
          <w:sz w:val="16"/>
          <w:szCs w:val="16"/>
          <w:lang w:val="fr-FR"/>
        </w:rPr>
        <w:t xml:space="preserve">une rémunération totale </w:t>
      </w:r>
      <w:r w:rsidR="001B4D8F" w:rsidRPr="00F425BA">
        <w:rPr>
          <w:rFonts w:ascii="Verdana" w:cs="Arial" w:hAnsi="Verdana"/>
          <w:sz w:val="16"/>
          <w:szCs w:val="16"/>
          <w:lang w:val="fr-FR"/>
        </w:rPr>
        <w:t xml:space="preserve">(salaire de base, prime d’ancienneté, bonus, primes etc.) égale à </w:t>
      </w:r>
      <w:r w:rsidRPr="00F425BA">
        <w:rPr>
          <w:rFonts w:ascii="Verdana" w:cs="Arial" w:hAnsi="Verdana"/>
          <w:sz w:val="16"/>
          <w:szCs w:val="16"/>
          <w:lang w:val="fr-FR"/>
        </w:rPr>
        <w:t>moins de trois fois le montant annuel du SMIC sur les 12 mois précédents le versement de la prime</w:t>
      </w:r>
      <w:r w:rsidR="001C75D8" w:rsidRPr="00F425BA">
        <w:rPr>
          <w:rFonts w:ascii="Verdana" w:cs="Arial" w:hAnsi="Verdana"/>
          <w:sz w:val="16"/>
          <w:szCs w:val="16"/>
          <w:lang w:val="fr-FR"/>
        </w:rPr>
        <w:t xml:space="preserve"> (soit de janvier à décembre 2022)</w:t>
      </w:r>
      <w:r w:rsidRPr="00F425BA">
        <w:rPr>
          <w:rFonts w:ascii="Verdana" w:cs="Arial" w:hAnsi="Verdana"/>
          <w:sz w:val="16"/>
          <w:szCs w:val="16"/>
          <w:lang w:val="fr-FR"/>
        </w:rPr>
        <w:t xml:space="preserve">. </w:t>
      </w:r>
    </w:p>
    <w:bookmarkEnd w:id="0"/>
    <w:p w14:paraId="4AEED1F6" w14:textId="78D3928E" w:rsidP="006F12E0" w:rsidR="00131ECC" w:rsidRDefault="00131ECC" w:rsidRPr="00F425BA">
      <w:pPr>
        <w:pStyle w:val="ListParagraph"/>
        <w:numPr>
          <w:ilvl w:val="0"/>
          <w:numId w:val="2"/>
        </w:numPr>
        <w:spacing w:after="120"/>
        <w:jc w:val="both"/>
        <w:rPr>
          <w:rFonts w:ascii="Verdana" w:cs="Arial" w:hAnsi="Verdana"/>
          <w:sz w:val="16"/>
          <w:szCs w:val="16"/>
          <w:lang w:val="fr-FR"/>
        </w:rPr>
      </w:pPr>
      <w:r w:rsidRPr="00F425BA">
        <w:rPr>
          <w:rFonts w:ascii="Verdana" w:cs="Arial" w:hAnsi="Verdana"/>
          <w:sz w:val="16"/>
          <w:szCs w:val="16"/>
          <w:lang w:val="fr-FR"/>
        </w:rPr>
        <w:t>L</w:t>
      </w:r>
      <w:r w:rsidR="0062784C" w:rsidRPr="00F425BA">
        <w:rPr>
          <w:rFonts w:ascii="Verdana" w:cs="Arial" w:hAnsi="Verdana"/>
          <w:sz w:val="16"/>
          <w:szCs w:val="16"/>
          <w:lang w:val="fr-FR"/>
        </w:rPr>
        <w:t>’augmentation de l</w:t>
      </w:r>
      <w:r w:rsidRPr="00F425BA">
        <w:rPr>
          <w:rFonts w:ascii="Verdana" w:cs="Arial" w:hAnsi="Verdana"/>
          <w:sz w:val="16"/>
          <w:szCs w:val="16"/>
          <w:lang w:val="fr-FR"/>
        </w:rPr>
        <w:t>a valeur des Tickets Restaurant</w:t>
      </w:r>
      <w:r w:rsidR="0062784C" w:rsidRPr="00F425BA">
        <w:rPr>
          <w:rFonts w:ascii="Verdana" w:cs="Arial" w:hAnsi="Verdana"/>
          <w:sz w:val="16"/>
          <w:szCs w:val="16"/>
          <w:lang w:val="fr-FR"/>
        </w:rPr>
        <w:t>s</w:t>
      </w:r>
      <w:r w:rsidRPr="00F425BA">
        <w:rPr>
          <w:rFonts w:ascii="Verdana" w:cs="Arial" w:hAnsi="Verdana"/>
          <w:sz w:val="16"/>
          <w:szCs w:val="16"/>
          <w:lang w:val="fr-FR"/>
        </w:rPr>
        <w:t xml:space="preserve"> à 11,00€</w:t>
      </w:r>
      <w:r w:rsidR="0062784C" w:rsidRPr="00F425BA">
        <w:rPr>
          <w:rFonts w:ascii="Verdana" w:cs="Arial" w:hAnsi="Verdana"/>
          <w:sz w:val="16"/>
          <w:szCs w:val="16"/>
          <w:lang w:val="fr-FR"/>
        </w:rPr>
        <w:t xml:space="preserve"> pour les personnes actuellement éligibles</w:t>
      </w:r>
      <w:r w:rsidR="00F97400" w:rsidRPr="00F425BA">
        <w:rPr>
          <w:rFonts w:ascii="Verdana" w:cs="Arial" w:hAnsi="Verdana"/>
          <w:sz w:val="16"/>
          <w:szCs w:val="16"/>
          <w:lang w:val="fr-FR"/>
        </w:rPr>
        <w:t xml:space="preserve"> à compter du 1</w:t>
      </w:r>
      <w:r w:rsidR="00F97400" w:rsidRPr="00F425BA">
        <w:rPr>
          <w:rFonts w:ascii="Verdana" w:cs="Arial" w:hAnsi="Verdana"/>
          <w:sz w:val="16"/>
          <w:szCs w:val="16"/>
          <w:vertAlign w:val="superscript"/>
          <w:lang w:val="fr-FR"/>
        </w:rPr>
        <w:t>er</w:t>
      </w:r>
      <w:r w:rsidR="00F97400" w:rsidRPr="00F425BA">
        <w:rPr>
          <w:rFonts w:ascii="Verdana" w:cs="Arial" w:hAnsi="Verdana"/>
          <w:sz w:val="16"/>
          <w:szCs w:val="16"/>
          <w:lang w:val="fr-FR"/>
        </w:rPr>
        <w:t xml:space="preserve"> mars 2023</w:t>
      </w:r>
      <w:r w:rsidRPr="00F425BA">
        <w:rPr>
          <w:rFonts w:ascii="Verdana" w:cs="Arial" w:hAnsi="Verdana"/>
          <w:sz w:val="16"/>
          <w:szCs w:val="16"/>
          <w:lang w:val="fr-FR"/>
        </w:rPr>
        <w:t xml:space="preserve">. </w:t>
      </w:r>
      <w:r w:rsidR="00476833" w:rsidRPr="00F425BA">
        <w:rPr>
          <w:rFonts w:ascii="Verdana" w:cs="Arial" w:hAnsi="Verdana"/>
          <w:sz w:val="16"/>
          <w:szCs w:val="16"/>
          <w:lang w:val="fr-FR"/>
        </w:rPr>
        <w:t xml:space="preserve">5,00€ sont payés par le salarié et </w:t>
      </w:r>
      <w:r w:rsidRPr="00F425BA">
        <w:rPr>
          <w:rFonts w:ascii="Verdana" w:cs="Arial" w:hAnsi="Verdana"/>
          <w:sz w:val="16"/>
          <w:szCs w:val="16"/>
          <w:lang w:val="fr-FR"/>
        </w:rPr>
        <w:t>6,00€ sont pris en charge par l’entreprise</w:t>
      </w:r>
      <w:r w:rsidR="00476833" w:rsidRPr="00F425BA">
        <w:rPr>
          <w:rFonts w:ascii="Verdana" w:cs="Arial" w:hAnsi="Verdana"/>
          <w:sz w:val="16"/>
          <w:szCs w:val="16"/>
          <w:lang w:val="fr-FR"/>
        </w:rPr>
        <w:t xml:space="preserve"> sous réserve que le plafond d’exonération de charges sociales soit </w:t>
      </w:r>
      <w:r w:rsidR="00B81835" w:rsidRPr="00F425BA">
        <w:rPr>
          <w:rFonts w:ascii="Verdana" w:cs="Arial" w:hAnsi="Verdana"/>
          <w:sz w:val="16"/>
          <w:szCs w:val="16"/>
          <w:lang w:val="fr-FR"/>
        </w:rPr>
        <w:t>revalorisé</w:t>
      </w:r>
      <w:r w:rsidR="00476833" w:rsidRPr="00F425BA">
        <w:rPr>
          <w:rFonts w:ascii="Verdana" w:cs="Arial" w:hAnsi="Verdana"/>
          <w:sz w:val="16"/>
          <w:szCs w:val="16"/>
          <w:lang w:val="fr-FR"/>
        </w:rPr>
        <w:t xml:space="preserve"> par décret au 1</w:t>
      </w:r>
      <w:r w:rsidR="00476833" w:rsidRPr="00F425BA">
        <w:rPr>
          <w:rFonts w:ascii="Verdana" w:cs="Arial" w:hAnsi="Verdana"/>
          <w:sz w:val="16"/>
          <w:szCs w:val="16"/>
          <w:vertAlign w:val="superscript"/>
          <w:lang w:val="fr-FR"/>
        </w:rPr>
        <w:t>er</w:t>
      </w:r>
      <w:r w:rsidR="00476833" w:rsidRPr="00F425BA">
        <w:rPr>
          <w:rFonts w:ascii="Verdana" w:cs="Arial" w:hAnsi="Verdana"/>
          <w:sz w:val="16"/>
          <w:szCs w:val="16"/>
          <w:lang w:val="fr-FR"/>
        </w:rPr>
        <w:t xml:space="preserve"> janvier 2023</w:t>
      </w:r>
      <w:r w:rsidRPr="00F425BA">
        <w:rPr>
          <w:rFonts w:ascii="Verdana" w:cs="Arial" w:hAnsi="Verdana"/>
          <w:sz w:val="16"/>
          <w:szCs w:val="16"/>
          <w:lang w:val="fr-FR"/>
        </w:rPr>
        <w:t>.</w:t>
      </w:r>
      <w:r w:rsidR="00476833" w:rsidRPr="00F425BA">
        <w:rPr>
          <w:rFonts w:ascii="Verdana" w:cs="Arial" w:hAnsi="Verdana"/>
          <w:sz w:val="16"/>
          <w:szCs w:val="16"/>
          <w:lang w:val="fr-FR"/>
        </w:rPr>
        <w:t xml:space="preserve"> Dans le cas contraire, la participation du salarié s’élèvera à 5,08€ et la participation employeur sera plafonnée à 5,92€. </w:t>
      </w:r>
    </w:p>
    <w:p w14:paraId="5ABD6C36" w14:textId="1E2B63FB" w:rsidP="006F12E0" w:rsidR="00131ECC" w:rsidRDefault="0062784C" w:rsidRPr="00F425BA">
      <w:pPr>
        <w:pStyle w:val="ListParagraph"/>
        <w:numPr>
          <w:ilvl w:val="0"/>
          <w:numId w:val="2"/>
        </w:numPr>
        <w:spacing w:after="120"/>
        <w:jc w:val="both"/>
        <w:rPr>
          <w:rFonts w:ascii="Verdana" w:cs="Arial" w:hAnsi="Verdana"/>
          <w:sz w:val="16"/>
          <w:szCs w:val="16"/>
          <w:lang w:val="fr-FR"/>
        </w:rPr>
      </w:pPr>
      <w:r w:rsidRPr="00F425BA">
        <w:rPr>
          <w:rFonts w:ascii="Verdana" w:cs="Arial" w:hAnsi="Verdana"/>
          <w:sz w:val="16"/>
          <w:szCs w:val="16"/>
          <w:lang w:val="fr-FR"/>
        </w:rPr>
        <w:t xml:space="preserve">En plus du remboursement sous note de frais lors des déplacements, les salariés </w:t>
      </w:r>
      <w:r w:rsidR="00B42D7E" w:rsidRPr="00F425BA">
        <w:rPr>
          <w:rFonts w:ascii="Verdana" w:cs="Arial" w:hAnsi="Verdana"/>
          <w:sz w:val="16"/>
          <w:szCs w:val="16"/>
          <w:lang w:val="fr-FR"/>
        </w:rPr>
        <w:t xml:space="preserve">du </w:t>
      </w:r>
      <w:r w:rsidR="000A1941" w:rsidRPr="00F425BA">
        <w:rPr>
          <w:rFonts w:ascii="Verdana" w:cs="Arial" w:hAnsi="Verdana"/>
          <w:sz w:val="16"/>
          <w:szCs w:val="16"/>
          <w:lang w:val="fr-FR"/>
        </w:rPr>
        <w:t>terrain rattachés</w:t>
      </w:r>
      <w:r w:rsidR="00E27545" w:rsidRPr="00F425BA">
        <w:rPr>
          <w:rFonts w:ascii="Verdana" w:cs="Arial" w:hAnsi="Verdana"/>
          <w:sz w:val="16"/>
          <w:szCs w:val="16"/>
          <w:lang w:val="fr-FR"/>
        </w:rPr>
        <w:t xml:space="preserve"> à l’établissement de Paris </w:t>
      </w:r>
      <w:r w:rsidRPr="00F425BA">
        <w:rPr>
          <w:rFonts w:ascii="Verdana" w:cs="Arial" w:hAnsi="Verdana"/>
          <w:sz w:val="16"/>
          <w:szCs w:val="16"/>
          <w:lang w:val="fr-FR"/>
        </w:rPr>
        <w:t xml:space="preserve">se verront octroyer </w:t>
      </w:r>
      <w:r w:rsidR="001D3A25" w:rsidRPr="00F425BA">
        <w:rPr>
          <w:rFonts w:ascii="Verdana" w:cs="Arial" w:hAnsi="Verdana"/>
          <w:sz w:val="16"/>
          <w:szCs w:val="16"/>
          <w:lang w:val="fr-FR"/>
        </w:rPr>
        <w:t>cinq</w:t>
      </w:r>
      <w:r w:rsidR="000A1941" w:rsidRPr="00F425BA">
        <w:rPr>
          <w:rFonts w:ascii="Verdana" w:cs="Arial" w:hAnsi="Verdana"/>
          <w:sz w:val="16"/>
          <w:szCs w:val="16"/>
          <w:lang w:val="fr-FR"/>
        </w:rPr>
        <w:t xml:space="preserve"> (</w:t>
      </w:r>
      <w:r w:rsidR="001D3A25" w:rsidRPr="00F425BA">
        <w:rPr>
          <w:rFonts w:ascii="Verdana" w:cs="Arial" w:hAnsi="Verdana"/>
          <w:sz w:val="16"/>
          <w:szCs w:val="16"/>
          <w:lang w:val="fr-FR"/>
        </w:rPr>
        <w:t>5</w:t>
      </w:r>
      <w:r w:rsidR="000A1941" w:rsidRPr="00F425BA">
        <w:rPr>
          <w:rFonts w:ascii="Verdana" w:cs="Arial" w:hAnsi="Verdana"/>
          <w:sz w:val="16"/>
          <w:szCs w:val="16"/>
          <w:lang w:val="fr-FR"/>
        </w:rPr>
        <w:t>)</w:t>
      </w:r>
      <w:r w:rsidRPr="00F425BA">
        <w:rPr>
          <w:rFonts w:ascii="Verdana" w:cs="Arial" w:hAnsi="Verdana"/>
          <w:sz w:val="16"/>
          <w:szCs w:val="16"/>
          <w:lang w:val="fr-FR"/>
        </w:rPr>
        <w:t xml:space="preserve"> Ticket Restaurant par</w:t>
      </w:r>
      <w:r w:rsidR="001D3A25" w:rsidRPr="00F425BA">
        <w:rPr>
          <w:rFonts w:ascii="Verdana" w:cs="Arial" w:hAnsi="Verdana"/>
          <w:sz w:val="16"/>
          <w:szCs w:val="16"/>
          <w:lang w:val="fr-FR"/>
        </w:rPr>
        <w:t xml:space="preserve"> mois</w:t>
      </w:r>
      <w:r w:rsidR="006965FF" w:rsidRPr="00F425BA">
        <w:rPr>
          <w:rFonts w:ascii="Verdana" w:cs="Arial" w:hAnsi="Verdana"/>
          <w:sz w:val="16"/>
          <w:szCs w:val="16"/>
          <w:lang w:val="fr-FR"/>
        </w:rPr>
        <w:t xml:space="preserve"> à compter du 1</w:t>
      </w:r>
      <w:r w:rsidR="006965FF" w:rsidRPr="00F425BA">
        <w:rPr>
          <w:rFonts w:ascii="Verdana" w:cs="Arial" w:hAnsi="Verdana"/>
          <w:sz w:val="16"/>
          <w:szCs w:val="16"/>
          <w:vertAlign w:val="superscript"/>
          <w:lang w:val="fr-FR"/>
        </w:rPr>
        <w:t>er</w:t>
      </w:r>
      <w:r w:rsidR="006965FF" w:rsidRPr="00F425BA">
        <w:rPr>
          <w:rFonts w:ascii="Verdana" w:cs="Arial" w:hAnsi="Verdana"/>
          <w:sz w:val="16"/>
          <w:szCs w:val="16"/>
          <w:lang w:val="fr-FR"/>
        </w:rPr>
        <w:t xml:space="preserve"> Mars 2023</w:t>
      </w:r>
      <w:r w:rsidRPr="00F425BA">
        <w:rPr>
          <w:rFonts w:ascii="Verdana" w:cs="Arial" w:hAnsi="Verdana"/>
          <w:sz w:val="16"/>
          <w:szCs w:val="16"/>
          <w:lang w:val="fr-FR"/>
        </w:rPr>
        <w:t>.</w:t>
      </w:r>
      <w:r w:rsidR="00B93F41" w:rsidRPr="00F425BA">
        <w:rPr>
          <w:rFonts w:ascii="Verdana" w:cs="Arial" w:hAnsi="Verdana"/>
          <w:sz w:val="16"/>
          <w:szCs w:val="16"/>
          <w:lang w:val="fr-FR"/>
        </w:rPr>
        <w:t xml:space="preserve"> Les parties s’accordent sur le fait que l’activité des fonctions terrain est difficile à suivre, du fait de l’autonomie dans la gestion des plannings</w:t>
      </w:r>
      <w:r w:rsidR="005618E1" w:rsidRPr="00F425BA">
        <w:rPr>
          <w:rFonts w:ascii="Verdana" w:cs="Arial" w:hAnsi="Verdana"/>
          <w:sz w:val="16"/>
          <w:szCs w:val="16"/>
          <w:lang w:val="fr-FR"/>
        </w:rPr>
        <w:t xml:space="preserve"> et </w:t>
      </w:r>
      <w:r w:rsidR="00B93F41" w:rsidRPr="00F425BA">
        <w:rPr>
          <w:rFonts w:ascii="Verdana" w:cs="Arial" w:hAnsi="Verdana"/>
          <w:sz w:val="16"/>
          <w:szCs w:val="16"/>
          <w:lang w:val="fr-FR"/>
        </w:rPr>
        <w:t>des déplacements fractionnés sur la journée, nécessitant ainsi la mise en place d’un forfait</w:t>
      </w:r>
      <w:r w:rsidRPr="00F425BA">
        <w:rPr>
          <w:rFonts w:ascii="Verdana" w:cs="Arial" w:hAnsi="Verdana"/>
          <w:sz w:val="16"/>
          <w:szCs w:val="16"/>
          <w:lang w:val="fr-FR"/>
        </w:rPr>
        <w:t xml:space="preserve"> </w:t>
      </w:r>
      <w:r w:rsidR="00B93F41" w:rsidRPr="00F425BA">
        <w:rPr>
          <w:rFonts w:ascii="Verdana" w:cs="Arial" w:hAnsi="Verdana"/>
          <w:sz w:val="16"/>
          <w:szCs w:val="16"/>
          <w:lang w:val="fr-FR"/>
        </w:rPr>
        <w:t>mensuel. Le nombre de tickets</w:t>
      </w:r>
      <w:r w:rsidR="005618E1" w:rsidRPr="00F425BA">
        <w:rPr>
          <w:rFonts w:ascii="Verdana" w:cs="Arial" w:hAnsi="Verdana"/>
          <w:sz w:val="16"/>
          <w:szCs w:val="16"/>
          <w:lang w:val="fr-FR"/>
        </w:rPr>
        <w:t xml:space="preserve"> versés chaque mois,</w:t>
      </w:r>
      <w:r w:rsidR="00B93F41" w:rsidRPr="00F425BA">
        <w:rPr>
          <w:rFonts w:ascii="Verdana" w:cs="Arial" w:hAnsi="Verdana"/>
          <w:sz w:val="16"/>
          <w:szCs w:val="16"/>
          <w:lang w:val="fr-FR"/>
        </w:rPr>
        <w:t xml:space="preserve"> fixé par les </w:t>
      </w:r>
      <w:r w:rsidR="005618E1" w:rsidRPr="00F425BA">
        <w:rPr>
          <w:rFonts w:ascii="Verdana" w:cs="Arial" w:hAnsi="Verdana"/>
          <w:sz w:val="16"/>
          <w:szCs w:val="16"/>
          <w:lang w:val="fr-FR"/>
        </w:rPr>
        <w:t xml:space="preserve">partenaires sociaux, (5), est représentatif de la moyenne de jours pleins passés par les salariés terrains en travail à leur domicile. </w:t>
      </w:r>
      <w:r w:rsidRPr="00F425BA">
        <w:rPr>
          <w:rFonts w:ascii="Verdana" w:cs="Arial" w:hAnsi="Verdana"/>
          <w:sz w:val="16"/>
          <w:szCs w:val="16"/>
          <w:lang w:val="fr-FR"/>
        </w:rPr>
        <w:t xml:space="preserve">Ces Tickets Restaurants ont pour objet de couvrir forfaitairement les dépenses engagées par les collaborateurs pour se restaurer lorsqu’ils </w:t>
      </w:r>
      <w:r w:rsidR="00612E0D" w:rsidRPr="00F425BA">
        <w:rPr>
          <w:rFonts w:ascii="Verdana" w:cs="Arial" w:hAnsi="Verdana"/>
          <w:sz w:val="16"/>
          <w:szCs w:val="16"/>
          <w:lang w:val="fr-FR"/>
        </w:rPr>
        <w:t>travaillent depuis leur domicile</w:t>
      </w:r>
      <w:r w:rsidRPr="00F425BA">
        <w:rPr>
          <w:rFonts w:ascii="Verdana" w:cs="Arial" w:hAnsi="Verdana"/>
          <w:sz w:val="16"/>
          <w:szCs w:val="16"/>
          <w:lang w:val="fr-FR"/>
        </w:rPr>
        <w:t>.</w:t>
      </w:r>
      <w:r w:rsidR="00E27545" w:rsidRPr="00F425BA">
        <w:rPr>
          <w:rFonts w:ascii="Verdana" w:cs="Arial" w:hAnsi="Verdana"/>
          <w:sz w:val="16"/>
          <w:szCs w:val="16"/>
          <w:lang w:val="fr-FR"/>
        </w:rPr>
        <w:t xml:space="preserve"> Un Ticket Restaurant sera déduit si le collaborateur est absent </w:t>
      </w:r>
      <w:r w:rsidR="001B5424" w:rsidRPr="00F425BA">
        <w:rPr>
          <w:rFonts w:ascii="Verdana" w:cs="Arial" w:hAnsi="Verdana"/>
          <w:sz w:val="16"/>
          <w:szCs w:val="16"/>
          <w:lang w:val="fr-FR"/>
        </w:rPr>
        <w:t>5 jours consécutifs</w:t>
      </w:r>
      <w:r w:rsidR="0081402E" w:rsidRPr="00F425BA">
        <w:rPr>
          <w:rFonts w:ascii="Verdana" w:cs="Arial" w:hAnsi="Verdana"/>
          <w:sz w:val="16"/>
          <w:szCs w:val="16"/>
          <w:lang w:val="fr-FR"/>
        </w:rPr>
        <w:t xml:space="preserve"> (absences autres que repos payés tels que RTT ou CP)</w:t>
      </w:r>
      <w:r w:rsidR="00C9768E" w:rsidRPr="00F425BA">
        <w:rPr>
          <w:rFonts w:ascii="Verdana" w:cs="Arial" w:hAnsi="Verdana"/>
          <w:sz w:val="16"/>
          <w:szCs w:val="16"/>
          <w:lang w:val="fr-FR"/>
        </w:rPr>
        <w:t xml:space="preserve"> sur une semaine.</w:t>
      </w:r>
    </w:p>
    <w:p w14:paraId="6F3A8C9A" w14:textId="060ADA7C" w:rsidP="006F12E0" w:rsidR="0062784C" w:rsidRDefault="0062784C" w:rsidRPr="00F425BA">
      <w:pPr>
        <w:pStyle w:val="ListParagraph"/>
        <w:numPr>
          <w:ilvl w:val="0"/>
          <w:numId w:val="2"/>
        </w:numPr>
        <w:spacing w:after="120"/>
        <w:jc w:val="both"/>
        <w:rPr>
          <w:rFonts w:ascii="Verdana" w:cs="Arial" w:hAnsi="Verdana"/>
          <w:sz w:val="16"/>
          <w:szCs w:val="16"/>
          <w:lang w:val="fr-FR"/>
        </w:rPr>
      </w:pPr>
      <w:r w:rsidRPr="00F425BA">
        <w:rPr>
          <w:rFonts w:ascii="Verdana" w:cs="Arial" w:hAnsi="Verdana"/>
          <w:sz w:val="16"/>
          <w:szCs w:val="16"/>
          <w:lang w:val="fr-FR"/>
        </w:rPr>
        <w:t xml:space="preserve">Les primes d’astreinte </w:t>
      </w:r>
      <w:r w:rsidR="00E27545" w:rsidRPr="00F425BA">
        <w:rPr>
          <w:rFonts w:ascii="Verdana" w:cs="Arial" w:hAnsi="Verdana"/>
          <w:sz w:val="16"/>
          <w:szCs w:val="16"/>
          <w:lang w:val="fr-FR"/>
        </w:rPr>
        <w:t xml:space="preserve">sont augmentées de 5% </w:t>
      </w:r>
      <w:r w:rsidRPr="00F425BA">
        <w:rPr>
          <w:rFonts w:ascii="Verdana" w:cs="Arial" w:hAnsi="Verdana"/>
          <w:sz w:val="16"/>
          <w:szCs w:val="16"/>
          <w:lang w:val="fr-FR"/>
        </w:rPr>
        <w:t xml:space="preserve">pour les collaborateurs du GTSC et pour les collaborateurs </w:t>
      </w:r>
      <w:r w:rsidR="00B42D7E" w:rsidRPr="00F425BA">
        <w:rPr>
          <w:rFonts w:ascii="Verdana" w:cs="Arial" w:hAnsi="Verdana"/>
          <w:sz w:val="16"/>
          <w:szCs w:val="16"/>
          <w:lang w:val="fr-FR"/>
        </w:rPr>
        <w:t xml:space="preserve">du </w:t>
      </w:r>
      <w:r w:rsidRPr="00F425BA">
        <w:rPr>
          <w:rFonts w:ascii="Verdana" w:cs="Arial" w:hAnsi="Verdana"/>
          <w:sz w:val="16"/>
          <w:szCs w:val="16"/>
          <w:lang w:val="fr-FR"/>
        </w:rPr>
        <w:t>terrain</w:t>
      </w:r>
      <w:r w:rsidR="00E27545" w:rsidRPr="00F425BA">
        <w:rPr>
          <w:rFonts w:ascii="Verdana" w:cs="Arial" w:hAnsi="Verdana"/>
          <w:sz w:val="16"/>
          <w:szCs w:val="16"/>
          <w:lang w:val="fr-FR"/>
        </w:rPr>
        <w:t xml:space="preserve"> qui travaillent les samedis et dimanches</w:t>
      </w:r>
      <w:r w:rsidRPr="00F425BA">
        <w:rPr>
          <w:rFonts w:ascii="Verdana" w:cs="Arial" w:hAnsi="Verdana"/>
          <w:sz w:val="16"/>
          <w:szCs w:val="16"/>
          <w:lang w:val="fr-FR"/>
        </w:rPr>
        <w:t xml:space="preserve">. </w:t>
      </w:r>
    </w:p>
    <w:p w14:paraId="1512512E" w14:textId="591D8B61" w:rsidP="006F12E0" w:rsidR="007C6CCF" w:rsidRDefault="007C6CCF" w:rsidRPr="00F425BA">
      <w:pPr>
        <w:pStyle w:val="ListParagraph"/>
        <w:numPr>
          <w:ilvl w:val="0"/>
          <w:numId w:val="2"/>
        </w:numPr>
        <w:spacing w:after="120"/>
        <w:jc w:val="both"/>
        <w:rPr>
          <w:rFonts w:ascii="Verdana" w:cs="Arial" w:hAnsi="Verdana"/>
          <w:sz w:val="16"/>
          <w:szCs w:val="16"/>
          <w:lang w:val="fr-FR"/>
        </w:rPr>
      </w:pPr>
      <w:r w:rsidRPr="00F425BA">
        <w:rPr>
          <w:rFonts w:ascii="Verdana" w:cs="Arial" w:hAnsi="Verdana"/>
          <w:sz w:val="16"/>
          <w:szCs w:val="16"/>
          <w:lang w:val="fr-FR"/>
        </w:rPr>
        <w:t xml:space="preserve">L’accord d’intéressement sera reconduit à l’identique pour une période de 3 ans. </w:t>
      </w:r>
    </w:p>
    <w:p w14:paraId="79807309" w14:textId="0CA719DB" w:rsidP="006F12E0" w:rsidR="006F12E0" w:rsidRDefault="006F12E0" w:rsidRPr="00F425BA">
      <w:pPr>
        <w:pStyle w:val="ListParagraph"/>
        <w:numPr>
          <w:ilvl w:val="0"/>
          <w:numId w:val="7"/>
        </w:numPr>
        <w:spacing w:after="120"/>
        <w:jc w:val="both"/>
        <w:rPr>
          <w:rFonts w:ascii="Verdana" w:cs="Arial" w:hAnsi="Verdana"/>
          <w:sz w:val="16"/>
          <w:szCs w:val="16"/>
          <w:lang w:val="fr-FR"/>
        </w:rPr>
      </w:pPr>
      <w:r w:rsidRPr="00F425BA">
        <w:rPr>
          <w:rFonts w:ascii="Verdana" w:cs="Arial" w:hAnsi="Verdana"/>
          <w:sz w:val="16"/>
          <w:szCs w:val="16"/>
          <w:lang w:val="fr-FR"/>
        </w:rPr>
        <w:t xml:space="preserve">La mise à jour de l’engagement unilatéral de l’entreprise en matière de télétravail matérialisé par la Charte Télétravail. Dans le cadre de cette mise à jour, les salariés auront la possibilité de télétravailler depuis un autre lieu que leur domicile, en France ou à l’étranger, à raison de 10 jours maximum par an. </w:t>
      </w:r>
    </w:p>
    <w:p w14:paraId="4FCA1921" w14:textId="77777777" w:rsidP="006F12E0" w:rsidR="006F12E0" w:rsidRDefault="006F12E0" w:rsidRPr="00F425BA">
      <w:pPr>
        <w:pStyle w:val="ListParagraph"/>
        <w:spacing w:after="120"/>
        <w:jc w:val="both"/>
        <w:rPr>
          <w:rFonts w:ascii="Verdana" w:cs="Arial" w:hAnsi="Verdana"/>
          <w:sz w:val="16"/>
          <w:szCs w:val="16"/>
          <w:lang w:val="fr-FR"/>
        </w:rPr>
      </w:pPr>
      <w:r w:rsidRPr="00F425BA">
        <w:rPr>
          <w:rFonts w:ascii="Verdana" w:cs="Arial" w:hAnsi="Verdana"/>
          <w:sz w:val="16"/>
          <w:szCs w:val="16"/>
          <w:lang w:val="fr-FR"/>
        </w:rPr>
        <w:t>Ces jours pourront être pris entre le 1</w:t>
      </w:r>
      <w:r w:rsidRPr="00F425BA">
        <w:rPr>
          <w:rFonts w:ascii="Verdana" w:cs="Arial" w:hAnsi="Verdana"/>
          <w:sz w:val="16"/>
          <w:szCs w:val="16"/>
          <w:vertAlign w:val="superscript"/>
          <w:lang w:val="fr-FR"/>
        </w:rPr>
        <w:t>er</w:t>
      </w:r>
      <w:r w:rsidRPr="00F425BA">
        <w:rPr>
          <w:rFonts w:ascii="Verdana" w:cs="Arial" w:hAnsi="Verdana"/>
          <w:sz w:val="16"/>
          <w:szCs w:val="16"/>
          <w:lang w:val="fr-FR"/>
        </w:rPr>
        <w:t xml:space="preserve"> janvier et le 31 décembre de l’année civile et devront être répartis de la manière suivante : </w:t>
      </w:r>
    </w:p>
    <w:p w14:paraId="1732E061" w14:textId="77777777" w:rsidP="00D3500E" w:rsidR="006F12E0" w:rsidRDefault="006F12E0"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 xml:space="preserve">Soit en 2 périodes de 5 jours  </w:t>
      </w:r>
    </w:p>
    <w:p w14:paraId="15D6B777" w14:textId="77777777" w:rsidP="00D3500E" w:rsidR="006F12E0" w:rsidRDefault="006F12E0" w:rsidRPr="00F425BA">
      <w:pPr>
        <w:pStyle w:val="ListParagraph"/>
        <w:numPr>
          <w:ilvl w:val="1"/>
          <w:numId w:val="1"/>
        </w:numPr>
        <w:spacing w:after="120"/>
        <w:jc w:val="both"/>
        <w:rPr>
          <w:rFonts w:ascii="Verdana" w:cs="Arial" w:hAnsi="Verdana"/>
          <w:sz w:val="16"/>
          <w:szCs w:val="16"/>
          <w:lang w:val="fr-FR"/>
        </w:rPr>
      </w:pPr>
      <w:r w:rsidRPr="00F425BA">
        <w:rPr>
          <w:rFonts w:ascii="Verdana" w:cs="Arial" w:hAnsi="Verdana"/>
          <w:sz w:val="16"/>
          <w:szCs w:val="16"/>
          <w:lang w:val="fr-FR"/>
        </w:rPr>
        <w:t>Soit en une période de 10 jours</w:t>
      </w:r>
    </w:p>
    <w:p w14:paraId="69491BFB" w14:textId="3D419C64" w:rsidP="009247AD" w:rsidR="006F12E0" w:rsidRDefault="006F12E0" w:rsidRPr="00F425BA">
      <w:pPr>
        <w:spacing w:after="120"/>
        <w:ind w:left="720"/>
        <w:jc w:val="both"/>
        <w:rPr>
          <w:rFonts w:ascii="Verdana" w:cs="Arial" w:hAnsi="Verdana"/>
          <w:sz w:val="16"/>
          <w:szCs w:val="16"/>
          <w:lang w:val="fr-FR"/>
        </w:rPr>
      </w:pPr>
      <w:r w:rsidRPr="00F425BA">
        <w:rPr>
          <w:rFonts w:ascii="Verdana" w:cs="Arial" w:hAnsi="Verdana"/>
          <w:sz w:val="16"/>
          <w:szCs w:val="16"/>
          <w:lang w:val="fr-FR"/>
        </w:rPr>
        <w:t>Cette possibilité est offerte sous réserve que la fonction du salarié soit compatible avec une activité en télétravail et que cela n’impacte pas négativement</w:t>
      </w:r>
      <w:r w:rsidR="00B42D7E" w:rsidRPr="00F425BA">
        <w:rPr>
          <w:rFonts w:ascii="Verdana" w:cs="Arial" w:hAnsi="Verdana"/>
          <w:sz w:val="16"/>
          <w:szCs w:val="16"/>
          <w:lang w:val="fr-FR"/>
        </w:rPr>
        <w:t xml:space="preserve"> le service rendu pour les clients externes et internes ou</w:t>
      </w:r>
      <w:r w:rsidRPr="00F425BA">
        <w:rPr>
          <w:rFonts w:ascii="Verdana" w:cs="Arial" w:hAnsi="Verdana"/>
          <w:sz w:val="16"/>
          <w:szCs w:val="16"/>
          <w:lang w:val="fr-FR"/>
        </w:rPr>
        <w:t xml:space="preserve"> l’activité du département. </w:t>
      </w:r>
      <w:r w:rsidR="00131ECC" w:rsidRPr="00F425BA">
        <w:rPr>
          <w:rFonts w:ascii="Verdana" w:cs="Arial" w:hAnsi="Verdana"/>
          <w:sz w:val="16"/>
          <w:szCs w:val="16"/>
          <w:lang w:val="fr-FR"/>
        </w:rPr>
        <w:t>Le salarié devra obtenir</w:t>
      </w:r>
      <w:r w:rsidR="00B42D7E" w:rsidRPr="00F425BA">
        <w:rPr>
          <w:rFonts w:ascii="Verdana" w:cs="Arial" w:hAnsi="Verdana"/>
          <w:sz w:val="16"/>
          <w:szCs w:val="16"/>
          <w:lang w:val="fr-FR"/>
        </w:rPr>
        <w:t xml:space="preserve"> préalablement</w:t>
      </w:r>
      <w:r w:rsidR="00131ECC" w:rsidRPr="00F425BA">
        <w:rPr>
          <w:rFonts w:ascii="Verdana" w:cs="Arial" w:hAnsi="Verdana"/>
          <w:sz w:val="16"/>
          <w:szCs w:val="16"/>
          <w:lang w:val="fr-FR"/>
        </w:rPr>
        <w:t xml:space="preserve"> l’accord de son supérieur hiérarchique. </w:t>
      </w:r>
    </w:p>
    <w:p w14:paraId="6182FF13" w14:textId="2C34DE6D" w:rsidP="00131ECC" w:rsidR="006F12E0" w:rsidRDefault="00131ECC" w:rsidRPr="00F425BA">
      <w:pPr>
        <w:pStyle w:val="NoSpacing"/>
        <w:numPr>
          <w:ilvl w:val="0"/>
          <w:numId w:val="2"/>
        </w:numPr>
        <w:jc w:val="both"/>
        <w:rPr>
          <w:rFonts w:ascii="Verdana" w:cs="Arial" w:hAnsi="Verdana"/>
          <w:sz w:val="16"/>
          <w:szCs w:val="16"/>
        </w:rPr>
      </w:pPr>
      <w:r w:rsidRPr="00F425BA">
        <w:rPr>
          <w:rFonts w:ascii="Verdana" w:cs="Arial" w:hAnsi="Verdana"/>
          <w:bCs/>
          <w:sz w:val="16"/>
          <w:szCs w:val="16"/>
        </w:rPr>
        <w:t xml:space="preserve">Le lundi de Pentecôte sera un jour férié chômé </w:t>
      </w:r>
      <w:r w:rsidRPr="00F425BA">
        <w:rPr>
          <w:rFonts w:ascii="Verdana" w:cs="Arial" w:hAnsi="Verdana"/>
          <w:sz w:val="16"/>
          <w:szCs w:val="16"/>
        </w:rPr>
        <w:t>en échange du samedi 11 Novembre 2023</w:t>
      </w:r>
      <w:r w:rsidR="00E27545" w:rsidRPr="00F425BA">
        <w:rPr>
          <w:rFonts w:ascii="Verdana" w:cs="Arial" w:hAnsi="Verdana"/>
          <w:sz w:val="16"/>
          <w:szCs w:val="16"/>
        </w:rPr>
        <w:t xml:space="preserve"> qui ne sera donc pas récupéré</w:t>
      </w:r>
      <w:r w:rsidRPr="00F425BA">
        <w:rPr>
          <w:rFonts w:ascii="Verdana" w:cs="Arial" w:hAnsi="Verdana"/>
          <w:sz w:val="16"/>
          <w:szCs w:val="16"/>
        </w:rPr>
        <w:t>.</w:t>
      </w:r>
    </w:p>
    <w:p w14:paraId="718BCC31" w14:textId="1B255642" w:rsidP="00131ECC" w:rsidR="00131ECC" w:rsidRDefault="00131ECC" w:rsidRPr="00F425BA">
      <w:pPr>
        <w:pStyle w:val="NoSpacing"/>
        <w:jc w:val="both"/>
        <w:rPr>
          <w:rFonts w:ascii="Verdana" w:cs="Arial" w:hAnsi="Verdana"/>
          <w:sz w:val="16"/>
          <w:szCs w:val="16"/>
        </w:rPr>
      </w:pPr>
    </w:p>
    <w:p w14:paraId="4FAD8493" w14:textId="6BE388AA" w:rsidP="00131ECC" w:rsidR="00131ECC" w:rsidRDefault="00131ECC" w:rsidRPr="00F425BA">
      <w:pPr>
        <w:numPr>
          <w:ilvl w:val="0"/>
          <w:numId w:val="3"/>
        </w:numPr>
        <w:jc w:val="both"/>
        <w:rPr>
          <w:rFonts w:ascii="Verdana" w:cs="Arial" w:hAnsi="Verdana"/>
          <w:sz w:val="16"/>
          <w:szCs w:val="16"/>
          <w:lang w:val="fr-FR"/>
        </w:rPr>
      </w:pPr>
      <w:r w:rsidRPr="00F425BA">
        <w:rPr>
          <w:rFonts w:ascii="Verdana" w:cs="Arial" w:hAnsi="Verdana"/>
          <w:sz w:val="16"/>
          <w:szCs w:val="16"/>
          <w:lang w:val="fr-FR"/>
        </w:rPr>
        <w:t xml:space="preserve">Dans le cadre des négociations, la Direction s’engage à rester vigilante sur le thème de l’égalité professionnelle entre les </w:t>
      </w:r>
      <w:r w:rsidR="00B42D7E" w:rsidRPr="00F425BA">
        <w:rPr>
          <w:rFonts w:ascii="Verdana" w:cs="Arial" w:hAnsi="Verdana"/>
          <w:sz w:val="16"/>
          <w:szCs w:val="16"/>
          <w:lang w:val="fr-FR"/>
        </w:rPr>
        <w:t>femmes</w:t>
      </w:r>
      <w:r w:rsidRPr="00F425BA">
        <w:rPr>
          <w:rFonts w:ascii="Verdana" w:cs="Arial" w:hAnsi="Verdana"/>
          <w:sz w:val="16"/>
          <w:szCs w:val="16"/>
          <w:lang w:val="fr-FR"/>
        </w:rPr>
        <w:t xml:space="preserve"> et les </w:t>
      </w:r>
      <w:r w:rsidR="00B42D7E" w:rsidRPr="00F425BA">
        <w:rPr>
          <w:rFonts w:ascii="Verdana" w:cs="Arial" w:hAnsi="Verdana"/>
          <w:sz w:val="16"/>
          <w:szCs w:val="16"/>
          <w:lang w:val="fr-FR"/>
        </w:rPr>
        <w:t xml:space="preserve">hommes </w:t>
      </w:r>
      <w:r w:rsidRPr="00F425BA">
        <w:rPr>
          <w:rFonts w:ascii="Verdana" w:cs="Arial" w:hAnsi="Verdana"/>
          <w:sz w:val="16"/>
          <w:szCs w:val="16"/>
          <w:lang w:val="fr-FR"/>
        </w:rPr>
        <w:t xml:space="preserve">en 2023. Les Parties conviennent d’engager prochainement une négociation sur la mise en place d’un accord d’entreprise relatif à l’égalité professionnelle entre les femmes et les hommes. </w:t>
      </w:r>
    </w:p>
    <w:p w14:paraId="026AEF88" w14:textId="17B2FCB0" w:rsidP="00131ECC" w:rsidR="00131ECC" w:rsidRDefault="00131ECC" w:rsidRPr="00F425BA">
      <w:pPr>
        <w:numPr>
          <w:ilvl w:val="0"/>
          <w:numId w:val="3"/>
        </w:numPr>
        <w:jc w:val="both"/>
        <w:rPr>
          <w:rFonts w:ascii="Verdana" w:cs="Arial" w:hAnsi="Verdana"/>
          <w:sz w:val="16"/>
          <w:szCs w:val="16"/>
          <w:lang w:val="fr-FR"/>
        </w:rPr>
      </w:pPr>
      <w:r w:rsidRPr="00F425BA">
        <w:rPr>
          <w:rFonts w:ascii="Verdana" w:cs="Arial" w:hAnsi="Verdana"/>
          <w:sz w:val="16"/>
          <w:szCs w:val="16"/>
          <w:lang w:val="fr-FR"/>
        </w:rPr>
        <w:t>Dans le cadre des négociations, la Direction s’engage à faire preuve de vigilance sur le thème de l’insertion et du maintien dans l’emploi des personnes handicapées.</w:t>
      </w:r>
    </w:p>
    <w:p w14:paraId="1BCF1C79" w14:textId="77777777" w:rsidP="004A3C78" w:rsidR="00F25543" w:rsidRDefault="00F25543" w:rsidRPr="00F425BA">
      <w:pPr>
        <w:spacing w:after="0" w:before="120" w:line="240" w:lineRule="auto"/>
        <w:jc w:val="both"/>
        <w:rPr>
          <w:rFonts w:ascii="Verdana" w:cs="Arial" w:hAnsi="Verdana"/>
          <w:sz w:val="16"/>
          <w:szCs w:val="16"/>
          <w:lang w:val="fr-FR"/>
        </w:rPr>
      </w:pPr>
    </w:p>
    <w:p w14:paraId="168337F6" w14:textId="77777777" w:rsidP="004A3C78" w:rsidR="004A3C78" w:rsidRDefault="004A3C78" w:rsidRPr="00F425BA">
      <w:pPr>
        <w:rPr>
          <w:rFonts w:ascii="Verdana" w:cs="Arial" w:hAnsi="Verdana"/>
          <w:b/>
          <w:bCs/>
          <w:sz w:val="16"/>
          <w:szCs w:val="16"/>
          <w:u w:val="single"/>
          <w:lang w:val="fr-FR"/>
        </w:rPr>
      </w:pPr>
      <w:r w:rsidRPr="00F425BA">
        <w:rPr>
          <w:rFonts w:ascii="Verdana" w:cs="Arial" w:hAnsi="Verdana"/>
          <w:b/>
          <w:bCs/>
          <w:sz w:val="16"/>
          <w:szCs w:val="16"/>
          <w:u w:val="single"/>
          <w:lang w:val="fr-FR"/>
        </w:rPr>
        <w:t>Article 4 - Dispositions finales</w:t>
      </w:r>
    </w:p>
    <w:p w14:paraId="430696EF" w14:textId="77777777" w:rsidP="004A3C78" w:rsidR="004A3C78" w:rsidRDefault="004A3C78" w:rsidRPr="00F425BA">
      <w:pPr>
        <w:rPr>
          <w:rFonts w:ascii="Verdana" w:cs="Arial" w:hAnsi="Verdana"/>
          <w:sz w:val="16"/>
          <w:szCs w:val="16"/>
          <w:lang w:val="fr-FR"/>
        </w:rPr>
      </w:pPr>
      <w:r w:rsidRPr="00F425BA">
        <w:rPr>
          <w:rFonts w:ascii="Verdana" w:cs="Arial" w:hAnsi="Verdana"/>
          <w:b/>
          <w:bCs/>
          <w:sz w:val="16"/>
          <w:szCs w:val="16"/>
          <w:lang w:val="fr-FR"/>
        </w:rPr>
        <w:t>4.1        Champ d'application de l'accord</w:t>
      </w:r>
    </w:p>
    <w:p w14:paraId="5B3AB36F" w14:textId="02D3A7DC" w:rsidP="004A3C78" w:rsidR="00DF55E6" w:rsidRDefault="004A3C78" w:rsidRPr="00F425BA">
      <w:pPr>
        <w:rPr>
          <w:rFonts w:ascii="Verdana" w:cs="Arial" w:hAnsi="Verdana"/>
          <w:sz w:val="16"/>
          <w:szCs w:val="16"/>
          <w:lang w:val="fr-FR"/>
        </w:rPr>
      </w:pPr>
      <w:r w:rsidRPr="00F425BA">
        <w:rPr>
          <w:rFonts w:ascii="Verdana" w:cs="Arial" w:hAnsi="Verdana"/>
          <w:sz w:val="16"/>
          <w:szCs w:val="16"/>
          <w:lang w:val="fr-FR"/>
        </w:rPr>
        <w:t>L'accord s'applique à l'ensemble des établissements de la Société.</w:t>
      </w:r>
    </w:p>
    <w:p w14:paraId="1A14094A" w14:textId="1F7A897E" w:rsidP="004A3C78" w:rsidR="004A3C78" w:rsidRDefault="004A3C78" w:rsidRPr="00F425BA">
      <w:pPr>
        <w:jc w:val="both"/>
        <w:rPr>
          <w:rFonts w:ascii="Verdana" w:cs="Arial" w:hAnsi="Verdana"/>
          <w:b/>
          <w:bCs/>
          <w:sz w:val="16"/>
          <w:szCs w:val="16"/>
          <w:lang w:val="fr-FR"/>
        </w:rPr>
      </w:pPr>
      <w:r w:rsidRPr="00F425BA">
        <w:rPr>
          <w:rFonts w:ascii="Verdana" w:cs="Arial" w:hAnsi="Verdana"/>
          <w:b/>
          <w:bCs/>
          <w:sz w:val="16"/>
          <w:szCs w:val="16"/>
          <w:lang w:val="fr-FR"/>
        </w:rPr>
        <w:t>4.2        Entrée en vigueur, durée,</w:t>
      </w:r>
      <w:r w:rsidR="00AB67BC" w:rsidRPr="00F425BA">
        <w:rPr>
          <w:rFonts w:ascii="Verdana" w:cs="Arial" w:hAnsi="Verdana"/>
          <w:b/>
          <w:bCs/>
          <w:sz w:val="16"/>
          <w:szCs w:val="16"/>
          <w:lang w:val="fr-FR"/>
        </w:rPr>
        <w:t xml:space="preserve"> suivi,</w:t>
      </w:r>
      <w:r w:rsidRPr="00F425BA">
        <w:rPr>
          <w:rFonts w:ascii="Verdana" w:cs="Arial" w:hAnsi="Verdana"/>
          <w:b/>
          <w:bCs/>
          <w:sz w:val="16"/>
          <w:szCs w:val="16"/>
          <w:lang w:val="fr-FR"/>
        </w:rPr>
        <w:t xml:space="preserve"> dénonciation et révision</w:t>
      </w:r>
    </w:p>
    <w:p w14:paraId="0DB514E8" w14:textId="2315D3CE"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 xml:space="preserve">Le présent accord, qui est conclu pour une durée indéterminée entrera en vigueur à compter du </w:t>
      </w:r>
      <w:r w:rsidR="00C9768E" w:rsidRPr="00F425BA">
        <w:rPr>
          <w:rFonts w:ascii="Verdana" w:cs="Arial" w:hAnsi="Verdana"/>
          <w:sz w:val="16"/>
          <w:szCs w:val="16"/>
          <w:lang w:val="fr-FR"/>
        </w:rPr>
        <w:t>21</w:t>
      </w:r>
      <w:r w:rsidR="00B42D7E" w:rsidRPr="00F425BA">
        <w:rPr>
          <w:rFonts w:ascii="Verdana" w:cs="Arial" w:hAnsi="Verdana"/>
          <w:sz w:val="16"/>
          <w:szCs w:val="16"/>
          <w:lang w:val="fr-FR"/>
        </w:rPr>
        <w:t xml:space="preserve"> décembre 2022.</w:t>
      </w:r>
    </w:p>
    <w:p w14:paraId="78CC9E9D" w14:textId="406C836C" w:rsidP="004A3C78" w:rsidR="00AB67BC" w:rsidRDefault="00AB67BC" w:rsidRPr="00F425BA">
      <w:pPr>
        <w:jc w:val="both"/>
        <w:rPr>
          <w:rFonts w:ascii="Verdana" w:cs="Arial" w:hAnsi="Verdana"/>
          <w:sz w:val="16"/>
          <w:szCs w:val="16"/>
          <w:lang w:val="fr-FR"/>
        </w:rPr>
      </w:pPr>
      <w:r w:rsidRPr="00F425BA">
        <w:rPr>
          <w:rFonts w:ascii="Verdana" w:cs="Arial" w:hAnsi="Verdana"/>
          <w:sz w:val="16"/>
          <w:szCs w:val="16"/>
          <w:lang w:val="fr-FR"/>
        </w:rPr>
        <w:t>Les Parties conviennent d’évaluer et, le cas d’échéant, de réexaminer le contenu du présent accord lors de la prochaine négociation annuelle.</w:t>
      </w:r>
    </w:p>
    <w:p w14:paraId="76EFC485" w14:textId="0C38C43A"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lastRenderedPageBreak/>
        <w:t>Le présent accord peut être dénoncé à tout moment par tout ou partie des signataires dans les conditions prévues aux articles L.2261-9 et suivants du code du travail.</w:t>
      </w:r>
    </w:p>
    <w:p w14:paraId="67532404" w14:textId="77777777"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Par ailleurs, et conformément à l’article L 2267-1 du Code du travail, sont habilitées à engager la procédure de révision d'une convention ou d'un accord d'entreprise ou d'établissement :</w:t>
      </w:r>
    </w:p>
    <w:p w14:paraId="7B999779" w14:textId="77777777" w:rsidP="004A3C78" w:rsidR="004A3C78" w:rsidRDefault="004A3C78" w:rsidRPr="00F425BA">
      <w:pPr>
        <w:numPr>
          <w:ilvl w:val="0"/>
          <w:numId w:val="4"/>
        </w:numPr>
        <w:spacing w:after="0" w:line="240" w:lineRule="auto"/>
        <w:ind w:left="1080"/>
        <w:jc w:val="both"/>
        <w:rPr>
          <w:rFonts w:ascii="Verdana" w:cs="Arial" w:hAnsi="Verdana"/>
          <w:sz w:val="16"/>
          <w:szCs w:val="16"/>
          <w:lang w:val="fr-FR"/>
        </w:rPr>
      </w:pPr>
      <w:r w:rsidRPr="00F425BA">
        <w:rPr>
          <w:rFonts w:ascii="Verdana" w:cs="Arial" w:hAnsi="Verdana"/>
          <w:sz w:val="16"/>
          <w:szCs w:val="16"/>
          <w:lang w:val="fr-FR"/>
        </w:rPr>
        <w:t>jusqu'à la fin du cycle électoral au cours duquel cette convention ou cet accord a été conclu, une ou plusieurs organisations syndicales de salariés représentatives dans le champ d'application de la convention ou de l'accord et signataires ou adhérentes de cette convention ou de cet accord ;</w:t>
      </w:r>
    </w:p>
    <w:p w14:paraId="4E54FDFC" w14:textId="77777777" w:rsidP="004A3C78" w:rsidR="004A3C78" w:rsidRDefault="004A3C78" w:rsidRPr="00F425BA">
      <w:pPr>
        <w:pStyle w:val="ListParagraph"/>
        <w:ind w:left="1080"/>
        <w:jc w:val="both"/>
        <w:rPr>
          <w:rFonts w:ascii="Verdana" w:cs="Arial" w:hAnsi="Verdana"/>
          <w:sz w:val="16"/>
          <w:szCs w:val="16"/>
          <w:lang w:val="fr-FR"/>
        </w:rPr>
      </w:pPr>
    </w:p>
    <w:p w14:paraId="2DA07E4C" w14:textId="77777777" w:rsidP="004A3C78" w:rsidR="004A3C78" w:rsidRDefault="004A3C78" w:rsidRPr="00F425BA">
      <w:pPr>
        <w:numPr>
          <w:ilvl w:val="0"/>
          <w:numId w:val="5"/>
        </w:numPr>
        <w:spacing w:after="0" w:line="240" w:lineRule="auto"/>
        <w:ind w:left="1080"/>
        <w:jc w:val="both"/>
        <w:rPr>
          <w:rFonts w:ascii="Verdana" w:cs="Arial" w:hAnsi="Verdana"/>
          <w:sz w:val="16"/>
          <w:szCs w:val="16"/>
          <w:lang w:val="fr-FR"/>
        </w:rPr>
      </w:pPr>
      <w:r w:rsidRPr="00F425BA">
        <w:rPr>
          <w:rFonts w:ascii="Verdana" w:cs="Arial" w:hAnsi="Verdana"/>
          <w:sz w:val="16"/>
          <w:szCs w:val="16"/>
          <w:lang w:val="fr-FR"/>
        </w:rPr>
        <w:t>à l'issue de cette période, une ou plusieurs organisations syndicales de salariés représentatives dans le champ d'application de la convention ou de l'accord.</w:t>
      </w:r>
    </w:p>
    <w:p w14:paraId="0119E39C" w14:textId="77777777" w:rsidP="004A3C78" w:rsidR="004A3C78" w:rsidRDefault="004A3C78" w:rsidRPr="00F425BA">
      <w:pPr>
        <w:jc w:val="both"/>
        <w:rPr>
          <w:rFonts w:ascii="Verdana" w:cs="Arial" w:hAnsi="Verdana"/>
          <w:sz w:val="16"/>
          <w:szCs w:val="16"/>
          <w:lang w:val="fr-FR"/>
        </w:rPr>
      </w:pPr>
    </w:p>
    <w:p w14:paraId="593D7B69" w14:textId="77777777"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Les Parties conviennent de se revoir en cas de modifications des règles légales ou réglementaires impactant significativement les termes du présent accord.</w:t>
      </w:r>
    </w:p>
    <w:p w14:paraId="26B45DA3" w14:textId="77777777" w:rsidP="004A3C78" w:rsidR="004A3C78" w:rsidRDefault="004A3C78" w:rsidRPr="00F425BA">
      <w:pPr>
        <w:rPr>
          <w:rFonts w:ascii="Verdana" w:cs="Arial" w:hAnsi="Verdana"/>
          <w:b/>
          <w:bCs/>
          <w:sz w:val="16"/>
          <w:szCs w:val="16"/>
          <w:lang w:val="fr-FR"/>
        </w:rPr>
      </w:pPr>
      <w:r w:rsidRPr="00F425BA">
        <w:rPr>
          <w:rFonts w:ascii="Verdana" w:cs="Arial" w:hAnsi="Verdana"/>
          <w:b/>
          <w:bCs/>
          <w:sz w:val="16"/>
          <w:szCs w:val="16"/>
          <w:lang w:val="fr-FR"/>
        </w:rPr>
        <w:t>4.3        Dépôt de l’accord</w:t>
      </w:r>
    </w:p>
    <w:p w14:paraId="70790A22" w14:textId="77777777" w:rsidP="004A3C78" w:rsidR="004A3C78" w:rsidRDefault="004A3C78" w:rsidRPr="00F425BA">
      <w:pPr>
        <w:rPr>
          <w:rFonts w:ascii="Verdana" w:cs="Arial" w:hAnsi="Verdana"/>
          <w:sz w:val="16"/>
          <w:szCs w:val="16"/>
          <w:lang w:val="fr-FR"/>
        </w:rPr>
      </w:pPr>
      <w:r w:rsidRPr="00F425BA">
        <w:rPr>
          <w:rFonts w:ascii="Verdana" w:cs="Arial" w:hAnsi="Verdana"/>
          <w:sz w:val="16"/>
          <w:szCs w:val="16"/>
          <w:lang w:val="fr-FR"/>
        </w:rPr>
        <w:t xml:space="preserve">Le présent accord sera notifié par la partie la plus diligente à chacune des organisations syndicales représentatives dans le périmètre de l'accord à l'issue de la procédure de signature. </w:t>
      </w:r>
    </w:p>
    <w:p w14:paraId="6E86A4F9" w14:textId="77777777" w:rsidP="004A3C78" w:rsidR="004A3C78" w:rsidRDefault="004A3C78" w:rsidRPr="00F425BA">
      <w:pPr>
        <w:jc w:val="both"/>
        <w:rPr>
          <w:rFonts w:ascii="Verdana" w:cs="Arial" w:hAnsi="Verdana"/>
          <w:sz w:val="16"/>
          <w:szCs w:val="16"/>
          <w:lang w:val="fr-FR"/>
        </w:rPr>
      </w:pPr>
      <w:r w:rsidRPr="00F425BA">
        <w:rPr>
          <w:rFonts w:ascii="Verdana" w:cs="Arial" w:hAnsi="Verdana"/>
          <w:sz w:val="16"/>
          <w:szCs w:val="16"/>
          <w:lang w:val="fr-FR"/>
        </w:rPr>
        <w:t xml:space="preserve">Dans les conditions réglementaires, le présent accord sera déposé sur la plateforme </w:t>
      </w:r>
      <w:proofErr w:type="spellStart"/>
      <w:r w:rsidRPr="00F425BA">
        <w:rPr>
          <w:rFonts w:ascii="Verdana" w:cs="Arial" w:hAnsi="Verdana"/>
          <w:sz w:val="16"/>
          <w:szCs w:val="16"/>
          <w:lang w:val="fr-FR"/>
        </w:rPr>
        <w:t>TéléAccords</w:t>
      </w:r>
      <w:proofErr w:type="spellEnd"/>
      <w:r w:rsidRPr="00F425BA">
        <w:rPr>
          <w:rFonts w:ascii="Verdana" w:cs="Arial" w:hAnsi="Verdana"/>
          <w:sz w:val="16"/>
          <w:szCs w:val="16"/>
          <w:lang w:val="fr-FR"/>
        </w:rPr>
        <w:t xml:space="preserve"> (</w:t>
      </w:r>
      <w:hyperlink r:id="rId8" w:history="1">
        <w:r w:rsidRPr="00F425BA">
          <w:rPr>
            <w:rStyle w:val="Hyperlink"/>
            <w:rFonts w:ascii="Verdana" w:cs="Arial" w:hAnsi="Verdana"/>
            <w:sz w:val="16"/>
            <w:szCs w:val="16"/>
            <w:lang w:val="fr-FR"/>
          </w:rPr>
          <w:t>www.teleaccords.travail-emploi.gouv.fr</w:t>
        </w:r>
      </w:hyperlink>
      <w:r w:rsidRPr="00F425BA">
        <w:rPr>
          <w:rFonts w:ascii="Verdana" w:cs="Arial" w:hAnsi="Verdana"/>
          <w:sz w:val="16"/>
          <w:szCs w:val="16"/>
          <w:lang w:val="fr-FR"/>
        </w:rPr>
        <w:t xml:space="preserve">), et adressé au greffe du Conseil de prud’hommes du siège social de la Société. </w:t>
      </w:r>
    </w:p>
    <w:p w14:paraId="4C844344" w14:textId="3EFB6C0F" w:rsidP="004A3C78" w:rsidR="004A3C78" w:rsidRDefault="004A3C78" w:rsidRPr="00F425BA">
      <w:pPr>
        <w:spacing w:after="100" w:afterAutospacing="1" w:before="100" w:beforeAutospacing="1"/>
        <w:jc w:val="both"/>
        <w:rPr>
          <w:rFonts w:ascii="Verdana" w:cs="Arial" w:hAnsi="Verdana"/>
          <w:sz w:val="16"/>
          <w:szCs w:val="16"/>
          <w:lang w:val="fr-FR"/>
        </w:rPr>
      </w:pPr>
      <w:r w:rsidRPr="00F425BA">
        <w:rPr>
          <w:rFonts w:ascii="Verdana" w:cs="Arial" w:hAnsi="Verdana"/>
          <w:sz w:val="16"/>
          <w:szCs w:val="16"/>
          <w:lang w:val="fr-FR"/>
        </w:rPr>
        <w:t>Chacun des exemplaires sera accompagné des documents listés à l'article D.2231-7 du code du travail.</w:t>
      </w:r>
    </w:p>
    <w:p w14:paraId="14D1BC41" w14:textId="62208C27" w:rsidP="004A3C78" w:rsidR="004A3C78" w:rsidRDefault="004A3C78" w:rsidRPr="00F425BA">
      <w:pPr>
        <w:spacing w:after="0" w:line="240" w:lineRule="auto"/>
        <w:jc w:val="both"/>
        <w:rPr>
          <w:rFonts w:ascii="Verdana" w:cs="Arial" w:hAnsi="Verdana"/>
          <w:sz w:val="16"/>
          <w:szCs w:val="16"/>
          <w:lang w:val="fr-FR"/>
        </w:rPr>
      </w:pPr>
      <w:r w:rsidRPr="00F425BA">
        <w:rPr>
          <w:rFonts w:ascii="Verdana" w:cs="Arial" w:hAnsi="Verdana"/>
          <w:sz w:val="16"/>
          <w:szCs w:val="16"/>
          <w:lang w:val="fr-FR"/>
        </w:rPr>
        <w:t xml:space="preserve">Fait en 4 exemplaires à Illkirch, le </w:t>
      </w:r>
      <w:r w:rsidR="00C9768E" w:rsidRPr="00F425BA">
        <w:rPr>
          <w:rFonts w:ascii="Verdana" w:cs="Arial" w:hAnsi="Verdana"/>
          <w:sz w:val="16"/>
          <w:szCs w:val="16"/>
          <w:lang w:val="fr-FR"/>
        </w:rPr>
        <w:t>21</w:t>
      </w:r>
      <w:r w:rsidR="00B42D7E" w:rsidRPr="00F425BA">
        <w:rPr>
          <w:rFonts w:ascii="Verdana" w:cs="Arial" w:hAnsi="Verdana"/>
          <w:sz w:val="16"/>
          <w:szCs w:val="16"/>
          <w:lang w:val="fr-FR"/>
        </w:rPr>
        <w:t xml:space="preserve"> décembre 2022</w:t>
      </w:r>
    </w:p>
    <w:p w14:paraId="4D2FCF85"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3E390D37"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2DBCC009" w14:textId="77777777" w:rsidP="004A3C78" w:rsidR="004A3C78" w:rsidRDefault="004A3C78" w:rsidRPr="00F425BA">
      <w:pPr>
        <w:tabs>
          <w:tab w:pos="432" w:val="left"/>
          <w:tab w:pos="714" w:val="left"/>
          <w:tab w:pos="1584" w:val="left"/>
        </w:tabs>
        <w:spacing w:after="0" w:line="240" w:lineRule="auto"/>
        <w:rPr>
          <w:rFonts w:ascii="Verdana" w:cs="Arial" w:hAnsi="Verdana"/>
          <w:sz w:val="16"/>
          <w:szCs w:val="16"/>
          <w:lang w:val="fr-FR"/>
        </w:rPr>
      </w:pPr>
      <w:r w:rsidRPr="00F425BA">
        <w:rPr>
          <w:rFonts w:ascii="Verdana" w:cs="Arial" w:hAnsi="Verdana"/>
          <w:sz w:val="16"/>
          <w:szCs w:val="16"/>
          <w:lang w:val="fr-FR"/>
        </w:rPr>
        <w:t>Pour la société Ortho Clinical Diagnostics</w:t>
      </w:r>
    </w:p>
    <w:p w14:paraId="0E50E440" w14:textId="4E6D4E9E"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526DF510" w14:textId="5F5F55B4"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6767D3FF"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50513248"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5602D57D"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45C4F460"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r w:rsidRPr="00F425BA">
        <w:rPr>
          <w:rFonts w:ascii="Verdana" w:cs="Arial" w:hAnsi="Verdana"/>
          <w:sz w:val="16"/>
          <w:szCs w:val="16"/>
          <w:lang w:val="fr-FR"/>
        </w:rPr>
        <w:t>Pour le syndicat CFDT</w:t>
      </w:r>
    </w:p>
    <w:p w14:paraId="3C26CDDC" w14:textId="77777777" w:rsidP="004A3C78" w:rsidR="004A3C78" w:rsidRDefault="004A3C78" w:rsidRPr="00F425BA">
      <w:pPr>
        <w:tabs>
          <w:tab w:pos="432" w:val="left"/>
          <w:tab w:pos="714" w:val="left"/>
          <w:tab w:pos="1584" w:val="left"/>
        </w:tabs>
        <w:spacing w:after="0" w:line="240" w:lineRule="auto"/>
        <w:rPr>
          <w:rFonts w:ascii="Verdana" w:cs="Arial" w:hAnsi="Verdana"/>
          <w:sz w:val="16"/>
          <w:szCs w:val="16"/>
          <w:lang w:val="fr-FR"/>
        </w:rPr>
      </w:pPr>
    </w:p>
    <w:p w14:paraId="37B435C8"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178010BA"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270E6598" w14:textId="77777777" w:rsidP="004A3C78" w:rsidR="004A3C78" w:rsidRDefault="004A3C78" w:rsidRPr="00F425BA">
      <w:pPr>
        <w:tabs>
          <w:tab w:pos="432" w:val="left"/>
          <w:tab w:pos="714" w:val="left"/>
          <w:tab w:pos="1584" w:val="left"/>
        </w:tabs>
        <w:spacing w:after="0" w:line="240" w:lineRule="auto"/>
        <w:ind w:hanging="432" w:left="432"/>
        <w:rPr>
          <w:rFonts w:ascii="Verdana" w:cs="Arial" w:hAnsi="Verdana"/>
          <w:sz w:val="16"/>
          <w:szCs w:val="16"/>
          <w:lang w:val="fr-FR"/>
        </w:rPr>
      </w:pPr>
    </w:p>
    <w:p w14:paraId="460AFE3D" w14:textId="77777777" w:rsidR="004A3C78" w:rsidRDefault="004A3C78" w:rsidRPr="00F425BA">
      <w:pPr>
        <w:rPr>
          <w:rFonts w:ascii="Verdana" w:hAnsi="Verdana"/>
          <w:sz w:val="16"/>
          <w:szCs w:val="16"/>
          <w:lang w:val="fr-FR"/>
        </w:rPr>
      </w:pPr>
    </w:p>
    <w:sectPr w:rsidR="004A3C78" w:rsidRPr="00F425BA">
      <w:headerReference r:id="rId9" w:type="even"/>
      <w:headerReference r:id="rId10" w:type="default"/>
      <w:footerReference r:id="rId11" w:type="even"/>
      <w:footerReference r:id="rId12" w:type="default"/>
      <w:headerReference r:id="rId13" w:type="first"/>
      <w:footerReference r:id="rId14" w:type="first"/>
      <w:pgSz w:code="9" w:h="16840" w:w="11907"/>
      <w:pgMar w:bottom="1440" w:footer="929" w:gutter="0" w:header="709"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7E1F" w14:textId="77777777" w:rsidR="00AC76A3" w:rsidRDefault="00AC76A3">
      <w:pPr>
        <w:spacing w:after="0" w:line="240" w:lineRule="auto"/>
      </w:pPr>
      <w:r>
        <w:separator/>
      </w:r>
    </w:p>
  </w:endnote>
  <w:endnote w:type="continuationSeparator" w:id="0">
    <w:p w14:paraId="46AB12AA" w14:textId="77777777" w:rsidR="00AC76A3" w:rsidRDefault="00AC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420F19" w14:textId="77777777" w:rsidR="00AA4471" w:rsidRDefault="00AA4471">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45E193" w14:textId="77777777" w:rsidR="00F255A0" w:rsidRDefault="0083078A">
    <w:pPr>
      <w:pStyle w:val="Footer"/>
      <w:jc w:val="right"/>
    </w:pPr>
    <w:r>
      <w:fldChar w:fldCharType="begin"/>
    </w:r>
    <w:r>
      <w:instrText xml:space="preserve"> PAGE   \* MERGEFORMAT </w:instrText>
    </w:r>
    <w:r>
      <w:fldChar w:fldCharType="separate"/>
    </w:r>
    <w:r>
      <w:rPr>
        <w:noProof/>
      </w:rPr>
      <w:t>1</w:t>
    </w:r>
    <w:r>
      <w:rPr>
        <w:noProof/>
      </w:rPr>
      <w:fldChar w:fldCharType="end"/>
    </w:r>
  </w:p>
  <w:p w14:paraId="72EBC19B" w14:textId="77777777" w:rsidR="00F255A0" w:rsidRDefault="00F255A0" w:rsidRPr="007B73F2">
    <w:pPr>
      <w:pStyle w:val="Footer"/>
      <w:jc w:val="right"/>
      <w:rPr>
        <w:lang w:val="fr-FR"/>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3B4194" w14:textId="77777777" w:rsidR="00F255A0" w:rsidRDefault="0083078A">
    <w:pPr>
      <w:pStyle w:val="Footer"/>
      <w:jc w:val="right"/>
    </w:pPr>
    <w:r>
      <w:fldChar w:fldCharType="begin"/>
    </w:r>
    <w:r>
      <w:instrText xml:space="preserve"> PAGE   \* MERGEFORMAT </w:instrText>
    </w:r>
    <w:r>
      <w:fldChar w:fldCharType="separate"/>
    </w:r>
    <w:r>
      <w:rPr>
        <w:noProof/>
      </w:rPr>
      <w:t>1</w:t>
    </w:r>
    <w:r>
      <w:rPr>
        <w:noProof/>
      </w:rPr>
      <w:fldChar w:fldCharType="end"/>
    </w:r>
  </w:p>
  <w:p w14:paraId="1C4F7FD2" w14:textId="77777777" w:rsidR="00F255A0" w:rsidRDefault="00F255A0">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BE12FF5" w14:textId="77777777" w:rsidR="00AC76A3" w:rsidRDefault="00AC76A3">
      <w:pPr>
        <w:spacing w:after="0" w:line="240" w:lineRule="auto"/>
      </w:pPr>
      <w:r>
        <w:separator/>
      </w:r>
    </w:p>
  </w:footnote>
  <w:footnote w:id="0" w:type="continuationSeparator">
    <w:p w14:paraId="740B037A" w14:textId="77777777" w:rsidR="00AC76A3" w:rsidRDefault="00AC76A3">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622BE8F" w14:textId="77777777" w:rsidR="00F255A0" w:rsidRDefault="00F255A0">
    <w:pPr>
      <w:pStyle w:val="Head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A78532" w14:textId="6237342E" w:rsidR="00F255A0" w:rsidRDefault="00F255A0" w:rsidRPr="008C35A2">
    <w:pPr>
      <w:pStyle w:val="Header"/>
      <w:spacing w:after="20" w:before="20"/>
      <w:jc w:val="right"/>
      <w:rPr>
        <w:rFonts w:ascii="Arial" w:cs="Arial" w:hAnsi="Arial"/>
        <w:b/>
        <w:sz w:val="20"/>
        <w:lang w:val="fr-FR"/>
      </w:rP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CBFADE5" w14:textId="77777777" w:rsidR="00F255A0" w:rsidRDefault="00F255A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F55C98"/>
    <w:multiLevelType w:val="multilevel"/>
    <w:tmpl w:val="EE34D9F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5437BA2"/>
    <w:multiLevelType w:val="hybridMultilevel"/>
    <w:tmpl w:val="D1F2D18C"/>
    <w:lvl w:ilvl="0" w:tplc="21BA59A6">
      <w:numFmt w:val="bullet"/>
      <w:lvlText w:val="-"/>
      <w:lvlJc w:val="left"/>
      <w:pPr>
        <w:ind w:hanging="360" w:left="720"/>
      </w:pPr>
      <w:rPr>
        <w:rFonts w:ascii="Calibri" w:cs="Calibri" w:eastAsia="Calibri" w:hAnsi="Calibri"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2">
    <w:nsid w:val="08BB2663"/>
    <w:multiLevelType w:val="hybridMultilevel"/>
    <w:tmpl w:val="9CCE3262"/>
    <w:lvl w:ilvl="0" w:tplc="3EE89368">
      <w:start w:val="1"/>
      <w:numFmt w:val="bullet"/>
      <w:lvlText w:val="•"/>
      <w:lvlJc w:val="left"/>
      <w:pPr>
        <w:tabs>
          <w:tab w:pos="720" w:val="num"/>
        </w:tabs>
        <w:ind w:hanging="360" w:left="720"/>
      </w:pPr>
      <w:rPr>
        <w:rFonts w:ascii="Arial" w:hAnsi="Arial" w:hint="default"/>
      </w:rPr>
    </w:lvl>
    <w:lvl w:ilvl="1" w:tplc="6A34DEA4">
      <w:start w:val="1"/>
      <w:numFmt w:val="bullet"/>
      <w:lvlText w:val="•"/>
      <w:lvlJc w:val="left"/>
      <w:pPr>
        <w:tabs>
          <w:tab w:pos="1440" w:val="num"/>
        </w:tabs>
        <w:ind w:hanging="360" w:left="1440"/>
      </w:pPr>
      <w:rPr>
        <w:rFonts w:ascii="Arial" w:hAnsi="Arial" w:hint="default"/>
      </w:rPr>
    </w:lvl>
    <w:lvl w:ilvl="2" w:tentative="1" w:tplc="E4EA9D7C">
      <w:start w:val="1"/>
      <w:numFmt w:val="bullet"/>
      <w:lvlText w:val="•"/>
      <w:lvlJc w:val="left"/>
      <w:pPr>
        <w:tabs>
          <w:tab w:pos="2160" w:val="num"/>
        </w:tabs>
        <w:ind w:hanging="360" w:left="2160"/>
      </w:pPr>
      <w:rPr>
        <w:rFonts w:ascii="Arial" w:hAnsi="Arial" w:hint="default"/>
      </w:rPr>
    </w:lvl>
    <w:lvl w:ilvl="3" w:tentative="1" w:tplc="18C6CCA0">
      <w:start w:val="1"/>
      <w:numFmt w:val="bullet"/>
      <w:lvlText w:val="•"/>
      <w:lvlJc w:val="left"/>
      <w:pPr>
        <w:tabs>
          <w:tab w:pos="2880" w:val="num"/>
        </w:tabs>
        <w:ind w:hanging="360" w:left="2880"/>
      </w:pPr>
      <w:rPr>
        <w:rFonts w:ascii="Arial" w:hAnsi="Arial" w:hint="default"/>
      </w:rPr>
    </w:lvl>
    <w:lvl w:ilvl="4" w:tentative="1" w:tplc="8C0ACBC6">
      <w:start w:val="1"/>
      <w:numFmt w:val="bullet"/>
      <w:lvlText w:val="•"/>
      <w:lvlJc w:val="left"/>
      <w:pPr>
        <w:tabs>
          <w:tab w:pos="3600" w:val="num"/>
        </w:tabs>
        <w:ind w:hanging="360" w:left="3600"/>
      </w:pPr>
      <w:rPr>
        <w:rFonts w:ascii="Arial" w:hAnsi="Arial" w:hint="default"/>
      </w:rPr>
    </w:lvl>
    <w:lvl w:ilvl="5" w:tentative="1" w:tplc="1DE2B126">
      <w:start w:val="1"/>
      <w:numFmt w:val="bullet"/>
      <w:lvlText w:val="•"/>
      <w:lvlJc w:val="left"/>
      <w:pPr>
        <w:tabs>
          <w:tab w:pos="4320" w:val="num"/>
        </w:tabs>
        <w:ind w:hanging="360" w:left="4320"/>
      </w:pPr>
      <w:rPr>
        <w:rFonts w:ascii="Arial" w:hAnsi="Arial" w:hint="default"/>
      </w:rPr>
    </w:lvl>
    <w:lvl w:ilvl="6" w:tentative="1" w:tplc="842627CA">
      <w:start w:val="1"/>
      <w:numFmt w:val="bullet"/>
      <w:lvlText w:val="•"/>
      <w:lvlJc w:val="left"/>
      <w:pPr>
        <w:tabs>
          <w:tab w:pos="5040" w:val="num"/>
        </w:tabs>
        <w:ind w:hanging="360" w:left="5040"/>
      </w:pPr>
      <w:rPr>
        <w:rFonts w:ascii="Arial" w:hAnsi="Arial" w:hint="default"/>
      </w:rPr>
    </w:lvl>
    <w:lvl w:ilvl="7" w:tentative="1" w:tplc="EA64C3B4">
      <w:start w:val="1"/>
      <w:numFmt w:val="bullet"/>
      <w:lvlText w:val="•"/>
      <w:lvlJc w:val="left"/>
      <w:pPr>
        <w:tabs>
          <w:tab w:pos="5760" w:val="num"/>
        </w:tabs>
        <w:ind w:hanging="360" w:left="5760"/>
      </w:pPr>
      <w:rPr>
        <w:rFonts w:ascii="Arial" w:hAnsi="Arial" w:hint="default"/>
      </w:rPr>
    </w:lvl>
    <w:lvl w:ilvl="8" w:tentative="1" w:tplc="7C845B02">
      <w:start w:val="1"/>
      <w:numFmt w:val="bullet"/>
      <w:lvlText w:val="•"/>
      <w:lvlJc w:val="left"/>
      <w:pPr>
        <w:tabs>
          <w:tab w:pos="6480" w:val="num"/>
        </w:tabs>
        <w:ind w:hanging="360" w:left="6480"/>
      </w:pPr>
      <w:rPr>
        <w:rFonts w:ascii="Arial" w:hAnsi="Arial" w:hint="default"/>
      </w:rPr>
    </w:lvl>
  </w:abstractNum>
  <w:abstractNum w15:restartNumberingAfterBreak="0" w:abstractNumId="3">
    <w:nsid w:val="0E9B77D1"/>
    <w:multiLevelType w:val="hybridMultilevel"/>
    <w:tmpl w:val="D6B4529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28FF6D41"/>
    <w:multiLevelType w:val="multilevel"/>
    <w:tmpl w:val="30E08C76"/>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5">
    <w:nsid w:val="32DE26B3"/>
    <w:multiLevelType w:val="hybridMultilevel"/>
    <w:tmpl w:val="9870649E"/>
    <w:lvl w:ilvl="0" w:tplc="7C1A57F6">
      <w:start w:val="1"/>
      <w:numFmt w:val="bullet"/>
      <w:lvlText w:val="•"/>
      <w:lvlJc w:val="left"/>
      <w:pPr>
        <w:tabs>
          <w:tab w:pos="720" w:val="num"/>
        </w:tabs>
        <w:ind w:hanging="360" w:left="720"/>
      </w:pPr>
      <w:rPr>
        <w:rFonts w:ascii="Arial" w:hAnsi="Arial" w:hint="default"/>
      </w:rPr>
    </w:lvl>
    <w:lvl w:ilvl="1" w:tentative="1" w:tplc="CFC071AE">
      <w:start w:val="1"/>
      <w:numFmt w:val="bullet"/>
      <w:lvlText w:val="•"/>
      <w:lvlJc w:val="left"/>
      <w:pPr>
        <w:tabs>
          <w:tab w:pos="1440" w:val="num"/>
        </w:tabs>
        <w:ind w:hanging="360" w:left="1440"/>
      </w:pPr>
      <w:rPr>
        <w:rFonts w:ascii="Arial" w:hAnsi="Arial" w:hint="default"/>
      </w:rPr>
    </w:lvl>
    <w:lvl w:ilvl="2" w:tentative="1" w:tplc="A2984914">
      <w:start w:val="1"/>
      <w:numFmt w:val="bullet"/>
      <w:lvlText w:val="•"/>
      <w:lvlJc w:val="left"/>
      <w:pPr>
        <w:tabs>
          <w:tab w:pos="2160" w:val="num"/>
        </w:tabs>
        <w:ind w:hanging="360" w:left="2160"/>
      </w:pPr>
      <w:rPr>
        <w:rFonts w:ascii="Arial" w:hAnsi="Arial" w:hint="default"/>
      </w:rPr>
    </w:lvl>
    <w:lvl w:ilvl="3" w:tentative="1" w:tplc="F88A6F08">
      <w:start w:val="1"/>
      <w:numFmt w:val="bullet"/>
      <w:lvlText w:val="•"/>
      <w:lvlJc w:val="left"/>
      <w:pPr>
        <w:tabs>
          <w:tab w:pos="2880" w:val="num"/>
        </w:tabs>
        <w:ind w:hanging="360" w:left="2880"/>
      </w:pPr>
      <w:rPr>
        <w:rFonts w:ascii="Arial" w:hAnsi="Arial" w:hint="default"/>
      </w:rPr>
    </w:lvl>
    <w:lvl w:ilvl="4" w:tentative="1" w:tplc="F0860D0A">
      <w:start w:val="1"/>
      <w:numFmt w:val="bullet"/>
      <w:lvlText w:val="•"/>
      <w:lvlJc w:val="left"/>
      <w:pPr>
        <w:tabs>
          <w:tab w:pos="3600" w:val="num"/>
        </w:tabs>
        <w:ind w:hanging="360" w:left="3600"/>
      </w:pPr>
      <w:rPr>
        <w:rFonts w:ascii="Arial" w:hAnsi="Arial" w:hint="default"/>
      </w:rPr>
    </w:lvl>
    <w:lvl w:ilvl="5" w:tentative="1" w:tplc="B63EECF0">
      <w:start w:val="1"/>
      <w:numFmt w:val="bullet"/>
      <w:lvlText w:val="•"/>
      <w:lvlJc w:val="left"/>
      <w:pPr>
        <w:tabs>
          <w:tab w:pos="4320" w:val="num"/>
        </w:tabs>
        <w:ind w:hanging="360" w:left="4320"/>
      </w:pPr>
      <w:rPr>
        <w:rFonts w:ascii="Arial" w:hAnsi="Arial" w:hint="default"/>
      </w:rPr>
    </w:lvl>
    <w:lvl w:ilvl="6" w:tentative="1" w:tplc="4E3E2A3A">
      <w:start w:val="1"/>
      <w:numFmt w:val="bullet"/>
      <w:lvlText w:val="•"/>
      <w:lvlJc w:val="left"/>
      <w:pPr>
        <w:tabs>
          <w:tab w:pos="5040" w:val="num"/>
        </w:tabs>
        <w:ind w:hanging="360" w:left="5040"/>
      </w:pPr>
      <w:rPr>
        <w:rFonts w:ascii="Arial" w:hAnsi="Arial" w:hint="default"/>
      </w:rPr>
    </w:lvl>
    <w:lvl w:ilvl="7" w:tentative="1" w:tplc="5CA49BA4">
      <w:start w:val="1"/>
      <w:numFmt w:val="bullet"/>
      <w:lvlText w:val="•"/>
      <w:lvlJc w:val="left"/>
      <w:pPr>
        <w:tabs>
          <w:tab w:pos="5760" w:val="num"/>
        </w:tabs>
        <w:ind w:hanging="360" w:left="5760"/>
      </w:pPr>
      <w:rPr>
        <w:rFonts w:ascii="Arial" w:hAnsi="Arial" w:hint="default"/>
      </w:rPr>
    </w:lvl>
    <w:lvl w:ilvl="8" w:tentative="1" w:tplc="58E48EE6">
      <w:start w:val="1"/>
      <w:numFmt w:val="bullet"/>
      <w:lvlText w:val="•"/>
      <w:lvlJc w:val="left"/>
      <w:pPr>
        <w:tabs>
          <w:tab w:pos="6480" w:val="num"/>
        </w:tabs>
        <w:ind w:hanging="360" w:left="6480"/>
      </w:pPr>
      <w:rPr>
        <w:rFonts w:ascii="Arial" w:hAnsi="Arial" w:hint="default"/>
      </w:rPr>
    </w:lvl>
  </w:abstractNum>
  <w:abstractNum w15:restartNumberingAfterBreak="0" w:abstractNumId="6">
    <w:nsid w:val="57CE38CA"/>
    <w:multiLevelType w:val="hybridMultilevel"/>
    <w:tmpl w:val="A4EC6D32"/>
    <w:lvl w:ilvl="0" w:tplc="04090001">
      <w:start w:val="1"/>
      <w:numFmt w:val="bullet"/>
      <w:lvlText w:val=""/>
      <w:lvlJc w:val="left"/>
      <w:pPr>
        <w:tabs>
          <w:tab w:pos="720" w:val="num"/>
        </w:tabs>
        <w:ind w:hanging="360" w:left="720"/>
      </w:pPr>
      <w:rPr>
        <w:rFonts w:ascii="Symbol" w:hAnsi="Symbol" w:hint="default"/>
      </w:rPr>
    </w:lvl>
    <w:lvl w:ilvl="1" w:tplc="59B4CBCC">
      <w:start w:val="1247"/>
      <w:numFmt w:val="bullet"/>
      <w:lvlText w:val="•"/>
      <w:lvlJc w:val="left"/>
      <w:pPr>
        <w:tabs>
          <w:tab w:pos="1440" w:val="num"/>
        </w:tabs>
        <w:ind w:hanging="360" w:left="1440"/>
      </w:pPr>
      <w:rPr>
        <w:rFonts w:ascii="Arial" w:hAnsi="Arial" w:hint="default"/>
      </w:rPr>
    </w:lvl>
    <w:lvl w:ilvl="2" w:tentative="1" w:tplc="04DCD220">
      <w:start w:val="1"/>
      <w:numFmt w:val="bullet"/>
      <w:lvlText w:val=""/>
      <w:lvlJc w:val="left"/>
      <w:pPr>
        <w:tabs>
          <w:tab w:pos="2160" w:val="num"/>
        </w:tabs>
        <w:ind w:hanging="360" w:left="2160"/>
      </w:pPr>
      <w:rPr>
        <w:rFonts w:ascii="Wingdings" w:hAnsi="Wingdings" w:hint="default"/>
      </w:rPr>
    </w:lvl>
    <w:lvl w:ilvl="3" w:tentative="1" w:tplc="96604F02">
      <w:start w:val="1"/>
      <w:numFmt w:val="bullet"/>
      <w:lvlText w:val=""/>
      <w:lvlJc w:val="left"/>
      <w:pPr>
        <w:tabs>
          <w:tab w:pos="2880" w:val="num"/>
        </w:tabs>
        <w:ind w:hanging="360" w:left="2880"/>
      </w:pPr>
      <w:rPr>
        <w:rFonts w:ascii="Wingdings" w:hAnsi="Wingdings" w:hint="default"/>
      </w:rPr>
    </w:lvl>
    <w:lvl w:ilvl="4" w:tentative="1" w:tplc="7D524BF0">
      <w:start w:val="1"/>
      <w:numFmt w:val="bullet"/>
      <w:lvlText w:val=""/>
      <w:lvlJc w:val="left"/>
      <w:pPr>
        <w:tabs>
          <w:tab w:pos="3600" w:val="num"/>
        </w:tabs>
        <w:ind w:hanging="360" w:left="3600"/>
      </w:pPr>
      <w:rPr>
        <w:rFonts w:ascii="Wingdings" w:hAnsi="Wingdings" w:hint="default"/>
      </w:rPr>
    </w:lvl>
    <w:lvl w:ilvl="5" w:tentative="1" w:tplc="BCF4862A">
      <w:start w:val="1"/>
      <w:numFmt w:val="bullet"/>
      <w:lvlText w:val=""/>
      <w:lvlJc w:val="left"/>
      <w:pPr>
        <w:tabs>
          <w:tab w:pos="4320" w:val="num"/>
        </w:tabs>
        <w:ind w:hanging="360" w:left="4320"/>
      </w:pPr>
      <w:rPr>
        <w:rFonts w:ascii="Wingdings" w:hAnsi="Wingdings" w:hint="default"/>
      </w:rPr>
    </w:lvl>
    <w:lvl w:ilvl="6" w:tentative="1" w:tplc="84DEDEB4">
      <w:start w:val="1"/>
      <w:numFmt w:val="bullet"/>
      <w:lvlText w:val=""/>
      <w:lvlJc w:val="left"/>
      <w:pPr>
        <w:tabs>
          <w:tab w:pos="5040" w:val="num"/>
        </w:tabs>
        <w:ind w:hanging="360" w:left="5040"/>
      </w:pPr>
      <w:rPr>
        <w:rFonts w:ascii="Wingdings" w:hAnsi="Wingdings" w:hint="default"/>
      </w:rPr>
    </w:lvl>
    <w:lvl w:ilvl="7" w:tentative="1" w:tplc="618A86D8">
      <w:start w:val="1"/>
      <w:numFmt w:val="bullet"/>
      <w:lvlText w:val=""/>
      <w:lvlJc w:val="left"/>
      <w:pPr>
        <w:tabs>
          <w:tab w:pos="5760" w:val="num"/>
        </w:tabs>
        <w:ind w:hanging="360" w:left="5760"/>
      </w:pPr>
      <w:rPr>
        <w:rFonts w:ascii="Wingdings" w:hAnsi="Wingdings" w:hint="default"/>
      </w:rPr>
    </w:lvl>
    <w:lvl w:ilvl="8" w:tentative="1" w:tplc="734E0B24">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5F8C3D61"/>
    <w:multiLevelType w:val="hybridMultilevel"/>
    <w:tmpl w:val="D0CCC1C2"/>
    <w:lvl w:ilvl="0" w:tplc="A552EC2E">
      <w:start w:val="1"/>
      <w:numFmt w:val="bullet"/>
      <w:lvlText w:val="•"/>
      <w:lvlJc w:val="left"/>
      <w:pPr>
        <w:tabs>
          <w:tab w:pos="720" w:val="num"/>
        </w:tabs>
        <w:ind w:hanging="360" w:left="720"/>
      </w:pPr>
      <w:rPr>
        <w:rFonts w:ascii="Arial" w:hAnsi="Arial" w:hint="default"/>
      </w:rPr>
    </w:lvl>
    <w:lvl w:ilvl="1" w:tentative="1" w:tplc="32600F62">
      <w:start w:val="1"/>
      <w:numFmt w:val="bullet"/>
      <w:lvlText w:val="•"/>
      <w:lvlJc w:val="left"/>
      <w:pPr>
        <w:tabs>
          <w:tab w:pos="1440" w:val="num"/>
        </w:tabs>
        <w:ind w:hanging="360" w:left="1440"/>
      </w:pPr>
      <w:rPr>
        <w:rFonts w:ascii="Arial" w:hAnsi="Arial" w:hint="default"/>
      </w:rPr>
    </w:lvl>
    <w:lvl w:ilvl="2" w:tentative="1" w:tplc="90A46F9E">
      <w:start w:val="1"/>
      <w:numFmt w:val="bullet"/>
      <w:lvlText w:val="•"/>
      <w:lvlJc w:val="left"/>
      <w:pPr>
        <w:tabs>
          <w:tab w:pos="2160" w:val="num"/>
        </w:tabs>
        <w:ind w:hanging="360" w:left="2160"/>
      </w:pPr>
      <w:rPr>
        <w:rFonts w:ascii="Arial" w:hAnsi="Arial" w:hint="default"/>
      </w:rPr>
    </w:lvl>
    <w:lvl w:ilvl="3" w:tentative="1" w:tplc="90E08170">
      <w:start w:val="1"/>
      <w:numFmt w:val="bullet"/>
      <w:lvlText w:val="•"/>
      <w:lvlJc w:val="left"/>
      <w:pPr>
        <w:tabs>
          <w:tab w:pos="2880" w:val="num"/>
        </w:tabs>
        <w:ind w:hanging="360" w:left="2880"/>
      </w:pPr>
      <w:rPr>
        <w:rFonts w:ascii="Arial" w:hAnsi="Arial" w:hint="default"/>
      </w:rPr>
    </w:lvl>
    <w:lvl w:ilvl="4" w:tentative="1" w:tplc="3EC6C4FA">
      <w:start w:val="1"/>
      <w:numFmt w:val="bullet"/>
      <w:lvlText w:val="•"/>
      <w:lvlJc w:val="left"/>
      <w:pPr>
        <w:tabs>
          <w:tab w:pos="3600" w:val="num"/>
        </w:tabs>
        <w:ind w:hanging="360" w:left="3600"/>
      </w:pPr>
      <w:rPr>
        <w:rFonts w:ascii="Arial" w:hAnsi="Arial" w:hint="default"/>
      </w:rPr>
    </w:lvl>
    <w:lvl w:ilvl="5" w:tentative="1" w:tplc="439AC59C">
      <w:start w:val="1"/>
      <w:numFmt w:val="bullet"/>
      <w:lvlText w:val="•"/>
      <w:lvlJc w:val="left"/>
      <w:pPr>
        <w:tabs>
          <w:tab w:pos="4320" w:val="num"/>
        </w:tabs>
        <w:ind w:hanging="360" w:left="4320"/>
      </w:pPr>
      <w:rPr>
        <w:rFonts w:ascii="Arial" w:hAnsi="Arial" w:hint="default"/>
      </w:rPr>
    </w:lvl>
    <w:lvl w:ilvl="6" w:tentative="1" w:tplc="A3EE70B0">
      <w:start w:val="1"/>
      <w:numFmt w:val="bullet"/>
      <w:lvlText w:val="•"/>
      <w:lvlJc w:val="left"/>
      <w:pPr>
        <w:tabs>
          <w:tab w:pos="5040" w:val="num"/>
        </w:tabs>
        <w:ind w:hanging="360" w:left="5040"/>
      </w:pPr>
      <w:rPr>
        <w:rFonts w:ascii="Arial" w:hAnsi="Arial" w:hint="default"/>
      </w:rPr>
    </w:lvl>
    <w:lvl w:ilvl="7" w:tentative="1" w:tplc="7CEA9DD0">
      <w:start w:val="1"/>
      <w:numFmt w:val="bullet"/>
      <w:lvlText w:val="•"/>
      <w:lvlJc w:val="left"/>
      <w:pPr>
        <w:tabs>
          <w:tab w:pos="5760" w:val="num"/>
        </w:tabs>
        <w:ind w:hanging="360" w:left="5760"/>
      </w:pPr>
      <w:rPr>
        <w:rFonts w:ascii="Arial" w:hAnsi="Arial" w:hint="default"/>
      </w:rPr>
    </w:lvl>
    <w:lvl w:ilvl="8" w:tentative="1" w:tplc="B0F2E20A">
      <w:start w:val="1"/>
      <w:numFmt w:val="bullet"/>
      <w:lvlText w:val="•"/>
      <w:lvlJc w:val="left"/>
      <w:pPr>
        <w:tabs>
          <w:tab w:pos="6480" w:val="num"/>
        </w:tabs>
        <w:ind w:hanging="360" w:left="6480"/>
      </w:pPr>
      <w:rPr>
        <w:rFonts w:ascii="Arial" w:hAnsi="Arial" w:hint="default"/>
      </w:rPr>
    </w:lvl>
  </w:abstractNum>
  <w:abstractNum w15:restartNumberingAfterBreak="0" w:abstractNumId="8">
    <w:nsid w:val="61007ADC"/>
    <w:multiLevelType w:val="hybridMultilevel"/>
    <w:tmpl w:val="5D3079E6"/>
    <w:lvl w:ilvl="0" w:tplc="DC86BA58">
      <w:start w:val="1"/>
      <w:numFmt w:val="bullet"/>
      <w:lvlText w:val="•"/>
      <w:lvlJc w:val="left"/>
      <w:pPr>
        <w:tabs>
          <w:tab w:pos="720" w:val="num"/>
        </w:tabs>
        <w:ind w:hanging="360" w:left="720"/>
      </w:pPr>
      <w:rPr>
        <w:rFonts w:ascii="Arial" w:hAnsi="Arial" w:hint="default"/>
      </w:rPr>
    </w:lvl>
    <w:lvl w:ilvl="1" w:tentative="1" w:tplc="5E2C31DA">
      <w:start w:val="1"/>
      <w:numFmt w:val="bullet"/>
      <w:lvlText w:val="•"/>
      <w:lvlJc w:val="left"/>
      <w:pPr>
        <w:tabs>
          <w:tab w:pos="1440" w:val="num"/>
        </w:tabs>
        <w:ind w:hanging="360" w:left="1440"/>
      </w:pPr>
      <w:rPr>
        <w:rFonts w:ascii="Arial" w:hAnsi="Arial" w:hint="default"/>
      </w:rPr>
    </w:lvl>
    <w:lvl w:ilvl="2" w:tentative="1" w:tplc="F67227C6">
      <w:start w:val="1"/>
      <w:numFmt w:val="bullet"/>
      <w:lvlText w:val="•"/>
      <w:lvlJc w:val="left"/>
      <w:pPr>
        <w:tabs>
          <w:tab w:pos="2160" w:val="num"/>
        </w:tabs>
        <w:ind w:hanging="360" w:left="2160"/>
      </w:pPr>
      <w:rPr>
        <w:rFonts w:ascii="Arial" w:hAnsi="Arial" w:hint="default"/>
      </w:rPr>
    </w:lvl>
    <w:lvl w:ilvl="3" w:tentative="1" w:tplc="432EA846">
      <w:start w:val="1"/>
      <w:numFmt w:val="bullet"/>
      <w:lvlText w:val="•"/>
      <w:lvlJc w:val="left"/>
      <w:pPr>
        <w:tabs>
          <w:tab w:pos="2880" w:val="num"/>
        </w:tabs>
        <w:ind w:hanging="360" w:left="2880"/>
      </w:pPr>
      <w:rPr>
        <w:rFonts w:ascii="Arial" w:hAnsi="Arial" w:hint="default"/>
      </w:rPr>
    </w:lvl>
    <w:lvl w:ilvl="4" w:tentative="1" w:tplc="2FB0DF9E">
      <w:start w:val="1"/>
      <w:numFmt w:val="bullet"/>
      <w:lvlText w:val="•"/>
      <w:lvlJc w:val="left"/>
      <w:pPr>
        <w:tabs>
          <w:tab w:pos="3600" w:val="num"/>
        </w:tabs>
        <w:ind w:hanging="360" w:left="3600"/>
      </w:pPr>
      <w:rPr>
        <w:rFonts w:ascii="Arial" w:hAnsi="Arial" w:hint="default"/>
      </w:rPr>
    </w:lvl>
    <w:lvl w:ilvl="5" w:tentative="1" w:tplc="36082558">
      <w:start w:val="1"/>
      <w:numFmt w:val="bullet"/>
      <w:lvlText w:val="•"/>
      <w:lvlJc w:val="left"/>
      <w:pPr>
        <w:tabs>
          <w:tab w:pos="4320" w:val="num"/>
        </w:tabs>
        <w:ind w:hanging="360" w:left="4320"/>
      </w:pPr>
      <w:rPr>
        <w:rFonts w:ascii="Arial" w:hAnsi="Arial" w:hint="default"/>
      </w:rPr>
    </w:lvl>
    <w:lvl w:ilvl="6" w:tentative="1" w:tplc="1452D2DC">
      <w:start w:val="1"/>
      <w:numFmt w:val="bullet"/>
      <w:lvlText w:val="•"/>
      <w:lvlJc w:val="left"/>
      <w:pPr>
        <w:tabs>
          <w:tab w:pos="5040" w:val="num"/>
        </w:tabs>
        <w:ind w:hanging="360" w:left="5040"/>
      </w:pPr>
      <w:rPr>
        <w:rFonts w:ascii="Arial" w:hAnsi="Arial" w:hint="default"/>
      </w:rPr>
    </w:lvl>
    <w:lvl w:ilvl="7" w:tentative="1" w:tplc="CC3CC002">
      <w:start w:val="1"/>
      <w:numFmt w:val="bullet"/>
      <w:lvlText w:val="•"/>
      <w:lvlJc w:val="left"/>
      <w:pPr>
        <w:tabs>
          <w:tab w:pos="5760" w:val="num"/>
        </w:tabs>
        <w:ind w:hanging="360" w:left="5760"/>
      </w:pPr>
      <w:rPr>
        <w:rFonts w:ascii="Arial" w:hAnsi="Arial" w:hint="default"/>
      </w:rPr>
    </w:lvl>
    <w:lvl w:ilvl="8" w:tentative="1" w:tplc="8CA65F4A">
      <w:start w:val="1"/>
      <w:numFmt w:val="bullet"/>
      <w:lvlText w:val="•"/>
      <w:lvlJc w:val="left"/>
      <w:pPr>
        <w:tabs>
          <w:tab w:pos="6480" w:val="num"/>
        </w:tabs>
        <w:ind w:hanging="360" w:left="6480"/>
      </w:pPr>
      <w:rPr>
        <w:rFonts w:ascii="Arial" w:hAnsi="Arial" w:hint="default"/>
      </w:rPr>
    </w:lvl>
  </w:abstractNum>
  <w:abstractNum w15:restartNumberingAfterBreak="0" w:abstractNumId="9">
    <w:nsid w:val="612B08FB"/>
    <w:multiLevelType w:val="hybridMultilevel"/>
    <w:tmpl w:val="625E347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63E5152A"/>
    <w:multiLevelType w:val="hybridMultilevel"/>
    <w:tmpl w:val="B758604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67DC35BE"/>
    <w:multiLevelType w:val="hybridMultilevel"/>
    <w:tmpl w:val="F71C8A90"/>
    <w:lvl w:ilvl="0" w:tplc="1D162890">
      <w:start w:val="1"/>
      <w:numFmt w:val="bullet"/>
      <w:lvlText w:val="•"/>
      <w:lvlJc w:val="left"/>
      <w:pPr>
        <w:tabs>
          <w:tab w:pos="720" w:val="num"/>
        </w:tabs>
        <w:ind w:hanging="360" w:left="720"/>
      </w:pPr>
      <w:rPr>
        <w:rFonts w:ascii="Arial" w:hAnsi="Arial" w:hint="default"/>
      </w:rPr>
    </w:lvl>
    <w:lvl w:ilvl="1" w:tentative="1" w:tplc="8BE0A5AA">
      <w:start w:val="1"/>
      <w:numFmt w:val="bullet"/>
      <w:lvlText w:val="•"/>
      <w:lvlJc w:val="left"/>
      <w:pPr>
        <w:tabs>
          <w:tab w:pos="1440" w:val="num"/>
        </w:tabs>
        <w:ind w:hanging="360" w:left="1440"/>
      </w:pPr>
      <w:rPr>
        <w:rFonts w:ascii="Arial" w:hAnsi="Arial" w:hint="default"/>
      </w:rPr>
    </w:lvl>
    <w:lvl w:ilvl="2" w:tentative="1" w:tplc="02BEB686">
      <w:start w:val="1"/>
      <w:numFmt w:val="bullet"/>
      <w:lvlText w:val="•"/>
      <w:lvlJc w:val="left"/>
      <w:pPr>
        <w:tabs>
          <w:tab w:pos="2160" w:val="num"/>
        </w:tabs>
        <w:ind w:hanging="360" w:left="2160"/>
      </w:pPr>
      <w:rPr>
        <w:rFonts w:ascii="Arial" w:hAnsi="Arial" w:hint="default"/>
      </w:rPr>
    </w:lvl>
    <w:lvl w:ilvl="3" w:tentative="1" w:tplc="BF301F94">
      <w:start w:val="1"/>
      <w:numFmt w:val="bullet"/>
      <w:lvlText w:val="•"/>
      <w:lvlJc w:val="left"/>
      <w:pPr>
        <w:tabs>
          <w:tab w:pos="2880" w:val="num"/>
        </w:tabs>
        <w:ind w:hanging="360" w:left="2880"/>
      </w:pPr>
      <w:rPr>
        <w:rFonts w:ascii="Arial" w:hAnsi="Arial" w:hint="default"/>
      </w:rPr>
    </w:lvl>
    <w:lvl w:ilvl="4" w:tentative="1" w:tplc="B900CAAC">
      <w:start w:val="1"/>
      <w:numFmt w:val="bullet"/>
      <w:lvlText w:val="•"/>
      <w:lvlJc w:val="left"/>
      <w:pPr>
        <w:tabs>
          <w:tab w:pos="3600" w:val="num"/>
        </w:tabs>
        <w:ind w:hanging="360" w:left="3600"/>
      </w:pPr>
      <w:rPr>
        <w:rFonts w:ascii="Arial" w:hAnsi="Arial" w:hint="default"/>
      </w:rPr>
    </w:lvl>
    <w:lvl w:ilvl="5" w:tentative="1" w:tplc="D5B4E388">
      <w:start w:val="1"/>
      <w:numFmt w:val="bullet"/>
      <w:lvlText w:val="•"/>
      <w:lvlJc w:val="left"/>
      <w:pPr>
        <w:tabs>
          <w:tab w:pos="4320" w:val="num"/>
        </w:tabs>
        <w:ind w:hanging="360" w:left="4320"/>
      </w:pPr>
      <w:rPr>
        <w:rFonts w:ascii="Arial" w:hAnsi="Arial" w:hint="default"/>
      </w:rPr>
    </w:lvl>
    <w:lvl w:ilvl="6" w:tentative="1" w:tplc="778C9D84">
      <w:start w:val="1"/>
      <w:numFmt w:val="bullet"/>
      <w:lvlText w:val="•"/>
      <w:lvlJc w:val="left"/>
      <w:pPr>
        <w:tabs>
          <w:tab w:pos="5040" w:val="num"/>
        </w:tabs>
        <w:ind w:hanging="360" w:left="5040"/>
      </w:pPr>
      <w:rPr>
        <w:rFonts w:ascii="Arial" w:hAnsi="Arial" w:hint="default"/>
      </w:rPr>
    </w:lvl>
    <w:lvl w:ilvl="7" w:tentative="1" w:tplc="531A88A6">
      <w:start w:val="1"/>
      <w:numFmt w:val="bullet"/>
      <w:lvlText w:val="•"/>
      <w:lvlJc w:val="left"/>
      <w:pPr>
        <w:tabs>
          <w:tab w:pos="5760" w:val="num"/>
        </w:tabs>
        <w:ind w:hanging="360" w:left="5760"/>
      </w:pPr>
      <w:rPr>
        <w:rFonts w:ascii="Arial" w:hAnsi="Arial" w:hint="default"/>
      </w:rPr>
    </w:lvl>
    <w:lvl w:ilvl="8" w:tentative="1" w:tplc="BD7E3AAC">
      <w:start w:val="1"/>
      <w:numFmt w:val="bullet"/>
      <w:lvlText w:val="•"/>
      <w:lvlJc w:val="left"/>
      <w:pPr>
        <w:tabs>
          <w:tab w:pos="6480" w:val="num"/>
        </w:tabs>
        <w:ind w:hanging="360" w:left="6480"/>
      </w:pPr>
      <w:rPr>
        <w:rFonts w:ascii="Arial" w:hAnsi="Arial" w:hint="default"/>
      </w:rPr>
    </w:lvl>
  </w:abstractNum>
  <w:num w16cid:durableId="790250923" w:numId="1">
    <w:abstractNumId w:val="1"/>
  </w:num>
  <w:num w16cid:durableId="1467628979" w:numId="2">
    <w:abstractNumId w:val="6"/>
  </w:num>
  <w:num w16cid:durableId="1868174136" w:numId="3">
    <w:abstractNumId w:val="3"/>
  </w:num>
  <w:num w16cid:durableId="1470778180" w:numId="4">
    <w:abstractNumId w:val="4"/>
  </w:num>
  <w:num w16cid:durableId="704790834" w:numId="5">
    <w:abstractNumId w:val="0"/>
  </w:num>
  <w:num w16cid:durableId="1157107975" w:numId="6">
    <w:abstractNumId w:val="9"/>
  </w:num>
  <w:num w16cid:durableId="1721711665" w:numId="7">
    <w:abstractNumId w:val="10"/>
  </w:num>
  <w:num w16cid:durableId="1982884826" w:numId="8">
    <w:abstractNumId w:val="1"/>
  </w:num>
  <w:num w16cid:durableId="558636171" w:numId="9">
    <w:abstractNumId w:val="6"/>
  </w:num>
  <w:num w16cid:durableId="820587063" w:numId="10">
    <w:abstractNumId w:val="7"/>
  </w:num>
  <w:num w16cid:durableId="526526389" w:numId="11">
    <w:abstractNumId w:val="5"/>
  </w:num>
  <w:num w16cid:durableId="358817356" w:numId="12">
    <w:abstractNumId w:val="11"/>
  </w:num>
  <w:num w16cid:durableId="841047664" w:numId="13">
    <w:abstractNumId w:val="8"/>
  </w:num>
  <w:num w16cid:durableId="488987452" w:numId="14">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20"/>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78"/>
    <w:rsid w:val="00032BEB"/>
    <w:rsid w:val="00095C78"/>
    <w:rsid w:val="000A1941"/>
    <w:rsid w:val="000B6BBA"/>
    <w:rsid w:val="000C08F4"/>
    <w:rsid w:val="000C238E"/>
    <w:rsid w:val="000E567E"/>
    <w:rsid w:val="000E6B47"/>
    <w:rsid w:val="00103D26"/>
    <w:rsid w:val="001223E6"/>
    <w:rsid w:val="00131560"/>
    <w:rsid w:val="00131ECC"/>
    <w:rsid w:val="00160FE0"/>
    <w:rsid w:val="00163A85"/>
    <w:rsid w:val="001717E9"/>
    <w:rsid w:val="001B19BB"/>
    <w:rsid w:val="001B4D8F"/>
    <w:rsid w:val="001B5424"/>
    <w:rsid w:val="001C75D8"/>
    <w:rsid w:val="001D3A25"/>
    <w:rsid w:val="001F6D77"/>
    <w:rsid w:val="00206095"/>
    <w:rsid w:val="00214E1F"/>
    <w:rsid w:val="0024222A"/>
    <w:rsid w:val="00260EB0"/>
    <w:rsid w:val="002D31DB"/>
    <w:rsid w:val="003010D1"/>
    <w:rsid w:val="003018ED"/>
    <w:rsid w:val="003275DB"/>
    <w:rsid w:val="003677A1"/>
    <w:rsid w:val="003A414E"/>
    <w:rsid w:val="003B53AD"/>
    <w:rsid w:val="003D23A2"/>
    <w:rsid w:val="003D2FAB"/>
    <w:rsid w:val="004732A1"/>
    <w:rsid w:val="0047504A"/>
    <w:rsid w:val="0047569A"/>
    <w:rsid w:val="00476833"/>
    <w:rsid w:val="00490EEA"/>
    <w:rsid w:val="004A3C78"/>
    <w:rsid w:val="005042AC"/>
    <w:rsid w:val="00545FE8"/>
    <w:rsid w:val="005618E1"/>
    <w:rsid w:val="00582E7E"/>
    <w:rsid w:val="005B1659"/>
    <w:rsid w:val="005B4132"/>
    <w:rsid w:val="005C4444"/>
    <w:rsid w:val="005D29BA"/>
    <w:rsid w:val="005F5816"/>
    <w:rsid w:val="00612E0D"/>
    <w:rsid w:val="0062784C"/>
    <w:rsid w:val="0064235F"/>
    <w:rsid w:val="00685F2F"/>
    <w:rsid w:val="006965FF"/>
    <w:rsid w:val="006A3DC0"/>
    <w:rsid w:val="006D2E02"/>
    <w:rsid w:val="006F01B5"/>
    <w:rsid w:val="006F12E0"/>
    <w:rsid w:val="006F7959"/>
    <w:rsid w:val="007068E1"/>
    <w:rsid w:val="00710215"/>
    <w:rsid w:val="00730967"/>
    <w:rsid w:val="00746B75"/>
    <w:rsid w:val="00756B0E"/>
    <w:rsid w:val="00761889"/>
    <w:rsid w:val="00766617"/>
    <w:rsid w:val="00793B44"/>
    <w:rsid w:val="007C332B"/>
    <w:rsid w:val="007C6CCF"/>
    <w:rsid w:val="007D5F12"/>
    <w:rsid w:val="007E2A1D"/>
    <w:rsid w:val="007F7BA7"/>
    <w:rsid w:val="00803B1C"/>
    <w:rsid w:val="0081402E"/>
    <w:rsid w:val="00815250"/>
    <w:rsid w:val="0083078A"/>
    <w:rsid w:val="008356D4"/>
    <w:rsid w:val="008466D6"/>
    <w:rsid w:val="00862EC1"/>
    <w:rsid w:val="00873ACB"/>
    <w:rsid w:val="00877940"/>
    <w:rsid w:val="00882412"/>
    <w:rsid w:val="00885F52"/>
    <w:rsid w:val="008879BB"/>
    <w:rsid w:val="008D4971"/>
    <w:rsid w:val="008E59F7"/>
    <w:rsid w:val="00904778"/>
    <w:rsid w:val="009247AD"/>
    <w:rsid w:val="00974631"/>
    <w:rsid w:val="009908F3"/>
    <w:rsid w:val="009B2E53"/>
    <w:rsid w:val="009F05FD"/>
    <w:rsid w:val="009F7027"/>
    <w:rsid w:val="00A67904"/>
    <w:rsid w:val="00AA4471"/>
    <w:rsid w:val="00AB4716"/>
    <w:rsid w:val="00AB67BC"/>
    <w:rsid w:val="00AC2F4B"/>
    <w:rsid w:val="00AC76A3"/>
    <w:rsid w:val="00AF728F"/>
    <w:rsid w:val="00B11523"/>
    <w:rsid w:val="00B42D7E"/>
    <w:rsid w:val="00B50B21"/>
    <w:rsid w:val="00B5417E"/>
    <w:rsid w:val="00B61C53"/>
    <w:rsid w:val="00B81835"/>
    <w:rsid w:val="00B838A0"/>
    <w:rsid w:val="00B93F41"/>
    <w:rsid w:val="00C07D35"/>
    <w:rsid w:val="00C20725"/>
    <w:rsid w:val="00C9768E"/>
    <w:rsid w:val="00CA0734"/>
    <w:rsid w:val="00CA0F54"/>
    <w:rsid w:val="00CA2057"/>
    <w:rsid w:val="00CB62C3"/>
    <w:rsid w:val="00D05D84"/>
    <w:rsid w:val="00D26E51"/>
    <w:rsid w:val="00D3500E"/>
    <w:rsid w:val="00D842E7"/>
    <w:rsid w:val="00DA2817"/>
    <w:rsid w:val="00DC254D"/>
    <w:rsid w:val="00DC616D"/>
    <w:rsid w:val="00DF55E6"/>
    <w:rsid w:val="00E27545"/>
    <w:rsid w:val="00E423B3"/>
    <w:rsid w:val="00E86F16"/>
    <w:rsid w:val="00EE4DEC"/>
    <w:rsid w:val="00F15674"/>
    <w:rsid w:val="00F25543"/>
    <w:rsid w:val="00F255A0"/>
    <w:rsid w:val="00F37FCB"/>
    <w:rsid w:val="00F425BA"/>
    <w:rsid w:val="00F43CE0"/>
    <w:rsid w:val="00F576C2"/>
    <w:rsid w:val="00F63E90"/>
    <w:rsid w:val="00F7186E"/>
    <w:rsid w:val="00F85AD4"/>
    <w:rsid w:val="00F9221D"/>
    <w:rsid w:val="00F97400"/>
    <w:rsid w:val="00FE5DC3"/>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548F1E0A"/>
  <w15:docId w15:val="{4D214C1B-C581-4ACC-B52C-2C3632A3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A3C78"/>
    <w:pPr>
      <w:spacing w:after="200" w:line="276" w:lineRule="auto"/>
    </w:pPr>
    <w:rPr>
      <w:rFonts w:ascii="Calibri" w:cs="Times New Roman" w:eastAsia="Calibri" w:hAnsi="Calibri"/>
      <w:lang w:val="en-GB"/>
    </w:rPr>
  </w:style>
  <w:style w:styleId="Heading3" w:type="paragraph">
    <w:name w:val="heading 3"/>
    <w:basedOn w:val="Normal"/>
    <w:link w:val="Heading3Char"/>
    <w:uiPriority w:val="9"/>
    <w:qFormat/>
    <w:rsid w:val="001C75D8"/>
    <w:pPr>
      <w:spacing w:after="100" w:afterAutospacing="1" w:before="100" w:beforeAutospacing="1" w:line="240" w:lineRule="auto"/>
      <w:outlineLvl w:val="2"/>
    </w:pPr>
    <w:rPr>
      <w:rFonts w:ascii="Times New Roman" w:eastAsia="Times New Roman" w:hAnsi="Times New Roman"/>
      <w:b/>
      <w:bCs/>
      <w:sz w:val="27"/>
      <w:szCs w:val="27"/>
      <w:lang w:eastAsia="fr-FR" w:val="fr-F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4A3C78"/>
    <w:pPr>
      <w:tabs>
        <w:tab w:pos="4513" w:val="center"/>
        <w:tab w:pos="9026" w:val="right"/>
      </w:tabs>
      <w:spacing w:after="0" w:line="240" w:lineRule="auto"/>
    </w:pPr>
  </w:style>
  <w:style w:customStyle="1" w:styleId="HeaderChar" w:type="character">
    <w:name w:val="Header Char"/>
    <w:basedOn w:val="DefaultParagraphFont"/>
    <w:link w:val="Header"/>
    <w:uiPriority w:val="99"/>
    <w:rsid w:val="004A3C78"/>
    <w:rPr>
      <w:rFonts w:ascii="Calibri" w:cs="Times New Roman" w:eastAsia="Calibri" w:hAnsi="Calibri"/>
      <w:lang w:val="en-GB"/>
    </w:rPr>
  </w:style>
  <w:style w:styleId="Footer" w:type="paragraph">
    <w:name w:val="footer"/>
    <w:basedOn w:val="Normal"/>
    <w:link w:val="FooterChar"/>
    <w:uiPriority w:val="99"/>
    <w:unhideWhenUsed/>
    <w:rsid w:val="004A3C78"/>
    <w:pPr>
      <w:tabs>
        <w:tab w:pos="4513" w:val="center"/>
        <w:tab w:pos="9026" w:val="right"/>
      </w:tabs>
      <w:spacing w:after="0" w:line="240" w:lineRule="auto"/>
    </w:pPr>
  </w:style>
  <w:style w:customStyle="1" w:styleId="FooterChar" w:type="character">
    <w:name w:val="Footer Char"/>
    <w:basedOn w:val="DefaultParagraphFont"/>
    <w:link w:val="Footer"/>
    <w:uiPriority w:val="99"/>
    <w:rsid w:val="004A3C78"/>
    <w:rPr>
      <w:rFonts w:ascii="Calibri" w:cs="Times New Roman" w:eastAsia="Calibri" w:hAnsi="Calibri"/>
      <w:lang w:val="en-GB"/>
    </w:rPr>
  </w:style>
  <w:style w:styleId="Hyperlink" w:type="character">
    <w:name w:val="Hyperlink"/>
    <w:uiPriority w:val="99"/>
    <w:unhideWhenUsed/>
    <w:rsid w:val="004A3C78"/>
    <w:rPr>
      <w:color w:val="0000FF"/>
      <w:u w:val="single"/>
    </w:rPr>
  </w:style>
  <w:style w:styleId="ListParagraph" w:type="paragraph">
    <w:name w:val="List Paragraph"/>
    <w:basedOn w:val="Normal"/>
    <w:uiPriority w:val="34"/>
    <w:qFormat/>
    <w:rsid w:val="004A3C78"/>
    <w:pPr>
      <w:spacing w:after="0" w:line="240" w:lineRule="auto"/>
      <w:ind w:left="720"/>
    </w:pPr>
    <w:rPr>
      <w:rFonts w:cs="Calibri"/>
      <w:lang w:val="en-US"/>
    </w:rPr>
  </w:style>
  <w:style w:styleId="NoSpacing" w:type="paragraph">
    <w:name w:val="No Spacing"/>
    <w:link w:val="NoSpacingChar"/>
    <w:uiPriority w:val="1"/>
    <w:qFormat/>
    <w:rsid w:val="004A3C78"/>
    <w:pPr>
      <w:spacing w:after="0" w:line="240" w:lineRule="auto"/>
    </w:pPr>
    <w:rPr>
      <w:rFonts w:ascii="Calibri" w:cs="Times New Roman" w:eastAsia="Times New Roman" w:hAnsi="Calibri"/>
      <w:sz w:val="24"/>
      <w:szCs w:val="20"/>
      <w:lang w:val="fr-FR"/>
    </w:rPr>
  </w:style>
  <w:style w:customStyle="1" w:styleId="NoSpacingChar" w:type="character">
    <w:name w:val="No Spacing Char"/>
    <w:link w:val="NoSpacing"/>
    <w:uiPriority w:val="1"/>
    <w:rsid w:val="004A3C78"/>
    <w:rPr>
      <w:rFonts w:ascii="Calibri" w:cs="Times New Roman" w:eastAsia="Times New Roman" w:hAnsi="Calibri"/>
      <w:sz w:val="24"/>
      <w:szCs w:val="20"/>
      <w:lang w:val="fr-FR"/>
    </w:rPr>
  </w:style>
  <w:style w:styleId="CommentReference" w:type="character">
    <w:name w:val="annotation reference"/>
    <w:basedOn w:val="DefaultParagraphFont"/>
    <w:uiPriority w:val="99"/>
    <w:semiHidden/>
    <w:unhideWhenUsed/>
    <w:rsid w:val="00095C78"/>
    <w:rPr>
      <w:sz w:val="16"/>
      <w:szCs w:val="16"/>
    </w:rPr>
  </w:style>
  <w:style w:styleId="CommentText" w:type="paragraph">
    <w:name w:val="annotation text"/>
    <w:basedOn w:val="Normal"/>
    <w:link w:val="CommentTextChar"/>
    <w:uiPriority w:val="99"/>
    <w:semiHidden/>
    <w:unhideWhenUsed/>
    <w:rsid w:val="00095C78"/>
    <w:pPr>
      <w:spacing w:line="240" w:lineRule="auto"/>
    </w:pPr>
    <w:rPr>
      <w:sz w:val="20"/>
      <w:szCs w:val="20"/>
    </w:rPr>
  </w:style>
  <w:style w:customStyle="1" w:styleId="CommentTextChar" w:type="character">
    <w:name w:val="Comment Text Char"/>
    <w:basedOn w:val="DefaultParagraphFont"/>
    <w:link w:val="CommentText"/>
    <w:uiPriority w:val="99"/>
    <w:semiHidden/>
    <w:rsid w:val="00095C78"/>
    <w:rPr>
      <w:rFonts w:ascii="Calibri" w:cs="Times New Roman" w:eastAsia="Calibri" w:hAnsi="Calibri"/>
      <w:sz w:val="20"/>
      <w:szCs w:val="20"/>
      <w:lang w:val="en-GB"/>
    </w:rPr>
  </w:style>
  <w:style w:styleId="CommentSubject" w:type="paragraph">
    <w:name w:val="annotation subject"/>
    <w:basedOn w:val="CommentText"/>
    <w:next w:val="CommentText"/>
    <w:link w:val="CommentSubjectChar"/>
    <w:uiPriority w:val="99"/>
    <w:semiHidden/>
    <w:unhideWhenUsed/>
    <w:rsid w:val="00095C78"/>
    <w:rPr>
      <w:b/>
      <w:bCs/>
    </w:rPr>
  </w:style>
  <w:style w:customStyle="1" w:styleId="CommentSubjectChar" w:type="character">
    <w:name w:val="Comment Subject Char"/>
    <w:basedOn w:val="CommentTextChar"/>
    <w:link w:val="CommentSubject"/>
    <w:uiPriority w:val="99"/>
    <w:semiHidden/>
    <w:rsid w:val="00095C78"/>
    <w:rPr>
      <w:rFonts w:ascii="Calibri" w:cs="Times New Roman" w:eastAsia="Calibri" w:hAnsi="Calibri"/>
      <w:b/>
      <w:bCs/>
      <w:sz w:val="20"/>
      <w:szCs w:val="20"/>
      <w:lang w:val="en-GB"/>
    </w:rPr>
  </w:style>
  <w:style w:styleId="Revision" w:type="paragraph">
    <w:name w:val="Revision"/>
    <w:hidden/>
    <w:uiPriority w:val="99"/>
    <w:semiHidden/>
    <w:rsid w:val="00FE5DC3"/>
    <w:pPr>
      <w:spacing w:after="0" w:line="240" w:lineRule="auto"/>
    </w:pPr>
    <w:rPr>
      <w:rFonts w:ascii="Calibri" w:cs="Times New Roman" w:eastAsia="Calibri" w:hAnsi="Calibri"/>
      <w:lang w:val="en-GB"/>
    </w:rPr>
  </w:style>
  <w:style w:customStyle="1" w:styleId="Heading3Char" w:type="character">
    <w:name w:val="Heading 3 Char"/>
    <w:basedOn w:val="DefaultParagraphFont"/>
    <w:link w:val="Heading3"/>
    <w:uiPriority w:val="9"/>
    <w:rsid w:val="001C75D8"/>
    <w:rPr>
      <w:rFonts w:ascii="Times New Roman" w:cs="Times New Roman" w:eastAsia="Times New Roman" w:hAnsi="Times New Roman"/>
      <w:b/>
      <w:bCs/>
      <w:sz w:val="27"/>
      <w:szCs w:val="27"/>
      <w:lang w:eastAsia="fr-FR" w:val="fr-FR"/>
    </w:rPr>
  </w:style>
  <w:style w:styleId="NormalWeb" w:type="paragraph">
    <w:name w:val="Normal (Web)"/>
    <w:basedOn w:val="Normal"/>
    <w:uiPriority w:val="99"/>
    <w:semiHidden/>
    <w:unhideWhenUsed/>
    <w:rsid w:val="001C75D8"/>
    <w:pPr>
      <w:spacing w:after="100" w:afterAutospacing="1" w:before="100" w:beforeAutospacing="1" w:line="240" w:lineRule="auto"/>
    </w:pPr>
    <w:rPr>
      <w:rFonts w:ascii="Times New Roman" w:eastAsia="Times New Roman" w:hAnsi="Times New Roman"/>
      <w:sz w:val="24"/>
      <w:szCs w:val="24"/>
      <w:lang w:eastAsia="fr-FR" w:val="fr-FR"/>
    </w:rPr>
  </w:style>
  <w:style w:styleId="UnresolvedMention" w:type="character">
    <w:name w:val="Unresolved Mention"/>
    <w:basedOn w:val="DefaultParagraphFont"/>
    <w:uiPriority w:val="99"/>
    <w:semiHidden/>
    <w:unhideWhenUsed/>
    <w:rsid w:val="00545FE8"/>
    <w:rPr>
      <w:color w:val="605E5C"/>
      <w:shd w:color="auto" w:fill="E1DFDD" w:val="clear"/>
    </w:rPr>
  </w:style>
  <w:style w:customStyle="1" w:styleId="Default" w:type="paragraph">
    <w:name w:val="Default"/>
    <w:rsid w:val="003275DB"/>
    <w:pPr>
      <w:autoSpaceDE w:val="0"/>
      <w:autoSpaceDN w:val="0"/>
      <w:adjustRightInd w:val="0"/>
      <w:spacing w:after="0" w:line="240" w:lineRule="auto"/>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96713">
      <w:bodyDiv w:val="1"/>
      <w:marLeft w:val="0"/>
      <w:marRight w:val="0"/>
      <w:marTop w:val="0"/>
      <w:marBottom w:val="0"/>
      <w:divBdr>
        <w:top w:val="none" w:sz="0" w:space="0" w:color="auto"/>
        <w:left w:val="none" w:sz="0" w:space="0" w:color="auto"/>
        <w:bottom w:val="none" w:sz="0" w:space="0" w:color="auto"/>
        <w:right w:val="none" w:sz="0" w:space="0" w:color="auto"/>
      </w:divBdr>
      <w:divsChild>
        <w:div w:id="853687383">
          <w:marLeft w:val="446"/>
          <w:marRight w:val="0"/>
          <w:marTop w:val="0"/>
          <w:marBottom w:val="0"/>
          <w:divBdr>
            <w:top w:val="none" w:sz="0" w:space="0" w:color="auto"/>
            <w:left w:val="none" w:sz="0" w:space="0" w:color="auto"/>
            <w:bottom w:val="none" w:sz="0" w:space="0" w:color="auto"/>
            <w:right w:val="none" w:sz="0" w:space="0" w:color="auto"/>
          </w:divBdr>
        </w:div>
        <w:div w:id="957488211">
          <w:marLeft w:val="446"/>
          <w:marRight w:val="0"/>
          <w:marTop w:val="0"/>
          <w:marBottom w:val="0"/>
          <w:divBdr>
            <w:top w:val="none" w:sz="0" w:space="0" w:color="auto"/>
            <w:left w:val="none" w:sz="0" w:space="0" w:color="auto"/>
            <w:bottom w:val="none" w:sz="0" w:space="0" w:color="auto"/>
            <w:right w:val="none" w:sz="0" w:space="0" w:color="auto"/>
          </w:divBdr>
        </w:div>
        <w:div w:id="1683895436">
          <w:marLeft w:val="446"/>
          <w:marRight w:val="0"/>
          <w:marTop w:val="0"/>
          <w:marBottom w:val="0"/>
          <w:divBdr>
            <w:top w:val="none" w:sz="0" w:space="0" w:color="auto"/>
            <w:left w:val="none" w:sz="0" w:space="0" w:color="auto"/>
            <w:bottom w:val="none" w:sz="0" w:space="0" w:color="auto"/>
            <w:right w:val="none" w:sz="0" w:space="0" w:color="auto"/>
          </w:divBdr>
        </w:div>
      </w:divsChild>
    </w:div>
    <w:div w:id="753357524">
      <w:bodyDiv w:val="1"/>
      <w:marLeft w:val="0"/>
      <w:marRight w:val="0"/>
      <w:marTop w:val="0"/>
      <w:marBottom w:val="0"/>
      <w:divBdr>
        <w:top w:val="none" w:sz="0" w:space="0" w:color="auto"/>
        <w:left w:val="none" w:sz="0" w:space="0" w:color="auto"/>
        <w:bottom w:val="none" w:sz="0" w:space="0" w:color="auto"/>
        <w:right w:val="none" w:sz="0" w:space="0" w:color="auto"/>
      </w:divBdr>
    </w:div>
    <w:div w:id="877087876">
      <w:bodyDiv w:val="1"/>
      <w:marLeft w:val="0"/>
      <w:marRight w:val="0"/>
      <w:marTop w:val="0"/>
      <w:marBottom w:val="0"/>
      <w:divBdr>
        <w:top w:val="none" w:sz="0" w:space="0" w:color="auto"/>
        <w:left w:val="none" w:sz="0" w:space="0" w:color="auto"/>
        <w:bottom w:val="none" w:sz="0" w:space="0" w:color="auto"/>
        <w:right w:val="none" w:sz="0" w:space="0" w:color="auto"/>
      </w:divBdr>
    </w:div>
    <w:div w:id="919212162">
      <w:bodyDiv w:val="1"/>
      <w:marLeft w:val="0"/>
      <w:marRight w:val="0"/>
      <w:marTop w:val="0"/>
      <w:marBottom w:val="0"/>
      <w:divBdr>
        <w:top w:val="none" w:sz="0" w:space="0" w:color="auto"/>
        <w:left w:val="none" w:sz="0" w:space="0" w:color="auto"/>
        <w:bottom w:val="none" w:sz="0" w:space="0" w:color="auto"/>
        <w:right w:val="none" w:sz="0" w:space="0" w:color="auto"/>
      </w:divBdr>
      <w:divsChild>
        <w:div w:id="1281838063">
          <w:marLeft w:val="446"/>
          <w:marRight w:val="0"/>
          <w:marTop w:val="0"/>
          <w:marBottom w:val="0"/>
          <w:divBdr>
            <w:top w:val="none" w:sz="0" w:space="0" w:color="auto"/>
            <w:left w:val="none" w:sz="0" w:space="0" w:color="auto"/>
            <w:bottom w:val="none" w:sz="0" w:space="0" w:color="auto"/>
            <w:right w:val="none" w:sz="0" w:space="0" w:color="auto"/>
          </w:divBdr>
        </w:div>
        <w:div w:id="1442452730">
          <w:marLeft w:val="446"/>
          <w:marRight w:val="0"/>
          <w:marTop w:val="0"/>
          <w:marBottom w:val="0"/>
          <w:divBdr>
            <w:top w:val="none" w:sz="0" w:space="0" w:color="auto"/>
            <w:left w:val="none" w:sz="0" w:space="0" w:color="auto"/>
            <w:bottom w:val="none" w:sz="0" w:space="0" w:color="auto"/>
            <w:right w:val="none" w:sz="0" w:space="0" w:color="auto"/>
          </w:divBdr>
        </w:div>
      </w:divsChild>
    </w:div>
    <w:div w:id="1088231334">
      <w:bodyDiv w:val="1"/>
      <w:marLeft w:val="0"/>
      <w:marRight w:val="0"/>
      <w:marTop w:val="0"/>
      <w:marBottom w:val="0"/>
      <w:divBdr>
        <w:top w:val="none" w:sz="0" w:space="0" w:color="auto"/>
        <w:left w:val="none" w:sz="0" w:space="0" w:color="auto"/>
        <w:bottom w:val="none" w:sz="0" w:space="0" w:color="auto"/>
        <w:right w:val="none" w:sz="0" w:space="0" w:color="auto"/>
      </w:divBdr>
      <w:divsChild>
        <w:div w:id="21366063">
          <w:marLeft w:val="446"/>
          <w:marRight w:val="0"/>
          <w:marTop w:val="0"/>
          <w:marBottom w:val="0"/>
          <w:divBdr>
            <w:top w:val="none" w:sz="0" w:space="0" w:color="auto"/>
            <w:left w:val="none" w:sz="0" w:space="0" w:color="auto"/>
            <w:bottom w:val="none" w:sz="0" w:space="0" w:color="auto"/>
            <w:right w:val="none" w:sz="0" w:space="0" w:color="auto"/>
          </w:divBdr>
        </w:div>
        <w:div w:id="543516821">
          <w:marLeft w:val="446"/>
          <w:marRight w:val="0"/>
          <w:marTop w:val="0"/>
          <w:marBottom w:val="0"/>
          <w:divBdr>
            <w:top w:val="none" w:sz="0" w:space="0" w:color="auto"/>
            <w:left w:val="none" w:sz="0" w:space="0" w:color="auto"/>
            <w:bottom w:val="none" w:sz="0" w:space="0" w:color="auto"/>
            <w:right w:val="none" w:sz="0" w:space="0" w:color="auto"/>
          </w:divBdr>
        </w:div>
        <w:div w:id="1734035566">
          <w:marLeft w:val="446"/>
          <w:marRight w:val="0"/>
          <w:marTop w:val="0"/>
          <w:marBottom w:val="0"/>
          <w:divBdr>
            <w:top w:val="none" w:sz="0" w:space="0" w:color="auto"/>
            <w:left w:val="none" w:sz="0" w:space="0" w:color="auto"/>
            <w:bottom w:val="none" w:sz="0" w:space="0" w:color="auto"/>
            <w:right w:val="none" w:sz="0" w:space="0" w:color="auto"/>
          </w:divBdr>
        </w:div>
      </w:divsChild>
    </w:div>
    <w:div w:id="1659844878">
      <w:bodyDiv w:val="1"/>
      <w:marLeft w:val="0"/>
      <w:marRight w:val="0"/>
      <w:marTop w:val="0"/>
      <w:marBottom w:val="0"/>
      <w:divBdr>
        <w:top w:val="none" w:sz="0" w:space="0" w:color="auto"/>
        <w:left w:val="none" w:sz="0" w:space="0" w:color="auto"/>
        <w:bottom w:val="none" w:sz="0" w:space="0" w:color="auto"/>
        <w:right w:val="none" w:sz="0" w:space="0" w:color="auto"/>
      </w:divBdr>
      <w:divsChild>
        <w:div w:id="861363950">
          <w:marLeft w:val="446"/>
          <w:marRight w:val="0"/>
          <w:marTop w:val="0"/>
          <w:marBottom w:val="0"/>
          <w:divBdr>
            <w:top w:val="none" w:sz="0" w:space="0" w:color="auto"/>
            <w:left w:val="none" w:sz="0" w:space="0" w:color="auto"/>
            <w:bottom w:val="none" w:sz="0" w:space="0" w:color="auto"/>
            <w:right w:val="none" w:sz="0" w:space="0" w:color="auto"/>
          </w:divBdr>
        </w:div>
        <w:div w:id="1745178034">
          <w:marLeft w:val="446"/>
          <w:marRight w:val="0"/>
          <w:marTop w:val="0"/>
          <w:marBottom w:val="0"/>
          <w:divBdr>
            <w:top w:val="none" w:sz="0" w:space="0" w:color="auto"/>
            <w:left w:val="none" w:sz="0" w:space="0" w:color="auto"/>
            <w:bottom w:val="none" w:sz="0" w:space="0" w:color="auto"/>
            <w:right w:val="none" w:sz="0" w:space="0" w:color="auto"/>
          </w:divBdr>
        </w:div>
        <w:div w:id="1758282052">
          <w:marLeft w:val="446"/>
          <w:marRight w:val="0"/>
          <w:marTop w:val="0"/>
          <w:marBottom w:val="0"/>
          <w:divBdr>
            <w:top w:val="none" w:sz="0" w:space="0" w:color="auto"/>
            <w:left w:val="none" w:sz="0" w:space="0" w:color="auto"/>
            <w:bottom w:val="none" w:sz="0" w:space="0" w:color="auto"/>
            <w:right w:val="none" w:sz="0" w:space="0" w:color="auto"/>
          </w:divBdr>
        </w:div>
      </w:divsChild>
    </w:div>
    <w:div w:id="1924682348">
      <w:bodyDiv w:val="1"/>
      <w:marLeft w:val="0"/>
      <w:marRight w:val="0"/>
      <w:marTop w:val="0"/>
      <w:marBottom w:val="0"/>
      <w:divBdr>
        <w:top w:val="none" w:sz="0" w:space="0" w:color="auto"/>
        <w:left w:val="none" w:sz="0" w:space="0" w:color="auto"/>
        <w:bottom w:val="none" w:sz="0" w:space="0" w:color="auto"/>
        <w:right w:val="none" w:sz="0" w:space="0" w:color="auto"/>
      </w:divBdr>
      <w:divsChild>
        <w:div w:id="77947289">
          <w:marLeft w:val="1166"/>
          <w:marRight w:val="0"/>
          <w:marTop w:val="0"/>
          <w:marBottom w:val="0"/>
          <w:divBdr>
            <w:top w:val="none" w:sz="0" w:space="0" w:color="auto"/>
            <w:left w:val="none" w:sz="0" w:space="0" w:color="auto"/>
            <w:bottom w:val="none" w:sz="0" w:space="0" w:color="auto"/>
            <w:right w:val="none" w:sz="0" w:space="0" w:color="auto"/>
          </w:divBdr>
        </w:div>
        <w:div w:id="772281916">
          <w:marLeft w:val="1166"/>
          <w:marRight w:val="0"/>
          <w:marTop w:val="0"/>
          <w:marBottom w:val="0"/>
          <w:divBdr>
            <w:top w:val="none" w:sz="0" w:space="0" w:color="auto"/>
            <w:left w:val="none" w:sz="0" w:space="0" w:color="auto"/>
            <w:bottom w:val="none" w:sz="0" w:space="0" w:color="auto"/>
            <w:right w:val="none" w:sz="0" w:space="0" w:color="auto"/>
          </w:divBdr>
        </w:div>
        <w:div w:id="1152218403">
          <w:marLeft w:val="1166"/>
          <w:marRight w:val="0"/>
          <w:marTop w:val="0"/>
          <w:marBottom w:val="0"/>
          <w:divBdr>
            <w:top w:val="none" w:sz="0" w:space="0" w:color="auto"/>
            <w:left w:val="none" w:sz="0" w:space="0" w:color="auto"/>
            <w:bottom w:val="none" w:sz="0" w:space="0" w:color="auto"/>
            <w:right w:val="none" w:sz="0" w:space="0" w:color="auto"/>
          </w:divBdr>
        </w:div>
        <w:div w:id="1404719024">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7BD1-49BB-4905-BED0-B0ADA244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3108</Words>
  <Characters>15606</Characters>
  <Application>Microsoft Office Word</Application>
  <DocSecurity>0</DocSecurity>
  <Lines>354</Lines>
  <Paragraphs>231</Paragraphs>
  <ScaleCrop>false</ScaleCrop>
  <HeadingPairs>
    <vt:vector baseType="variant" size="4">
      <vt:variant>
        <vt:lpstr>Title</vt:lpstr>
      </vt:variant>
      <vt:variant>
        <vt:i4>1</vt:i4>
      </vt:variant>
      <vt:variant>
        <vt:lpstr>Titre</vt:lpstr>
      </vt:variant>
      <vt:variant>
        <vt:i4>1</vt:i4>
      </vt:variant>
    </vt:vector>
  </HeadingPairs>
  <TitlesOfParts>
    <vt:vector baseType="lpstr" size="2">
      <vt: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2023-01-03T15:43:00Z</dcterms:created>
  <cp:lastPrinted>2022-12-21T15:55:00Z</cp:lastPrinted>
  <dcterms:modified xsi:type="dcterms:W3CDTF">2023-01-03T15:43:00Z</dcterms:modified>
  <cp:revision>2</cp:revision>
</cp:coreProperties>
</file>