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D48DA" w:rsidR="00FD48DA" w:rsidRDefault="00FD48DA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left="-709" w:right="565"/>
        <w:jc w:val="left"/>
      </w:pPr>
      <w:r>
        <w:rPr>
          <w:rFonts w:asciiTheme="minorHAnsi" w:cstheme="minorHAnsi" w:hAnsiTheme="minorHAnsi"/>
          <w:noProof/>
        </w:rPr>
        <w:drawing>
          <wp:anchor allowOverlap="1" behindDoc="0" distB="0" distL="114300" distR="114300" distT="0" layoutInCell="1" locked="0" relativeHeight="251659264" simplePos="0" wp14:anchorId="44964B73" wp14:editId="54D953F1">
            <wp:simplePos x="0" y="0"/>
            <wp:positionH relativeFrom="margin">
              <wp:posOffset>-561975</wp:posOffset>
            </wp:positionH>
            <wp:positionV relativeFrom="paragraph">
              <wp:posOffset>-10160</wp:posOffset>
            </wp:positionV>
            <wp:extent cx="2301046" cy="329609"/>
            <wp:effectExtent b="0" l="0" r="0" t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werglide-cmj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046" cy="3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FD48DA" w:rsidR="00FD48DA" w:rsidRDefault="00FD48DA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right="565"/>
        <w:jc w:val="left"/>
      </w:pPr>
    </w:p>
    <w:p w:rsidP="00FD48DA" w:rsidR="00FD48DA" w:rsidRDefault="00FD48DA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ind w:right="565"/>
        <w:jc w:val="left"/>
      </w:pPr>
    </w:p>
    <w:p w:rsidP="00C61CB2" w:rsidR="00F1150F" w:rsidRDefault="00F1150F">
      <w:pPr>
        <w:pStyle w:val="Titre"/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24" w:sz="4" w:val="single"/>
        </w:pBdr>
        <w:ind w:right="565"/>
      </w:pPr>
      <w:r w:rsidRPr="00BE606E">
        <w:t xml:space="preserve">ACCORD D’ENTREPRISE DU </w:t>
      </w:r>
      <w:r w:rsidR="00CF7836">
        <w:t>17</w:t>
      </w:r>
      <w:r>
        <w:t xml:space="preserve"> MARS 202</w:t>
      </w:r>
      <w:r w:rsidR="00C61CB2">
        <w:t>3</w:t>
      </w:r>
      <w:r w:rsidRPr="00BE606E">
        <w:t xml:space="preserve"> </w:t>
      </w:r>
      <w:r>
        <w:t xml:space="preserve">SUR LA POLITIQUE SALARIALE </w:t>
      </w:r>
      <w:r w:rsidR="00C61CB2">
        <w:t>2023</w:t>
      </w:r>
    </w:p>
    <w:p w:rsidP="00C61CB2" w:rsidR="00F1150F" w:rsidRDefault="00F1150F">
      <w:pPr>
        <w:pStyle w:val="Titre"/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24" w:sz="4" w:val="single"/>
        </w:pBdr>
        <w:ind w:right="565"/>
      </w:pPr>
      <w:r>
        <w:t>NEGOCIATIONS ANNUELLES OBLIGATOIRES</w:t>
      </w:r>
      <w:r w:rsidR="00C61CB2">
        <w:t xml:space="preserve"> </w:t>
      </w:r>
      <w:r>
        <w:t>20</w:t>
      </w:r>
      <w:r w:rsidR="00C61CB2">
        <w:t>23</w:t>
      </w:r>
    </w:p>
    <w:p w:rsidP="00FD48DA" w:rsidR="00FD48DA" w:rsidRDefault="00FD48DA">
      <w:pPr>
        <w:ind w:right="565"/>
        <w:rPr>
          <w:rFonts w:ascii="Arial" w:hAnsi="Arial"/>
          <w:sz w:val="24"/>
        </w:rPr>
      </w:pPr>
    </w:p>
    <w:p w:rsidP="00FD48DA" w:rsidR="00FD48DA" w:rsidRDefault="00FD48DA">
      <w:pPr>
        <w:ind w:right="565"/>
        <w:rPr>
          <w:rFonts w:ascii="Arial" w:hAnsi="Arial"/>
          <w:sz w:val="24"/>
        </w:rPr>
      </w:pP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>Entre :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 xml:space="preserve">La </w:t>
      </w:r>
      <w:r w:rsidR="00683A31">
        <w:rPr>
          <w:rFonts w:ascii="Arial" w:eastAsia="Calibri" w:hAnsi="Arial"/>
          <w:sz w:val="24"/>
          <w:szCs w:val="22"/>
          <w:lang w:eastAsia="en-US"/>
        </w:rPr>
        <w:t>Société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: </w:t>
      </w:r>
      <w:r w:rsidR="00080C63">
        <w:rPr>
          <w:rFonts w:ascii="Arial" w:eastAsia="Calibri" w:hAnsi="Arial"/>
          <w:sz w:val="24"/>
          <w:szCs w:val="22"/>
          <w:lang w:eastAsia="en-US"/>
        </w:rPr>
        <w:t>Punch Powerglide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Strasbourg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 xml:space="preserve">Dont le siège social est : 81 rue de La Rochelle </w:t>
      </w:r>
      <w:r w:rsidR="00080C63">
        <w:rPr>
          <w:rFonts w:ascii="Arial" w:eastAsia="Calibri" w:hAnsi="Arial"/>
          <w:sz w:val="24"/>
          <w:szCs w:val="22"/>
          <w:lang w:eastAsia="en-US"/>
        </w:rPr>
        <w:t>CS90033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>67026 Strasbourg CEDEX</w:t>
      </w:r>
      <w:r w:rsidR="00080C63">
        <w:rPr>
          <w:rFonts w:ascii="Arial" w:eastAsia="Calibri" w:hAnsi="Arial"/>
          <w:sz w:val="24"/>
          <w:szCs w:val="22"/>
          <w:lang w:eastAsia="en-US"/>
        </w:rPr>
        <w:t xml:space="preserve"> 1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 xml:space="preserve">représentée par </w:t>
      </w:r>
      <w:r w:rsidR="003E6ACE">
        <w:rPr>
          <w:rFonts w:ascii="Arial" w:eastAsia="Calibri" w:hAnsi="Arial"/>
          <w:sz w:val="24"/>
          <w:szCs w:val="22"/>
          <w:lang w:eastAsia="en-US"/>
        </w:rPr>
        <w:t>XXX</w:t>
      </w:r>
      <w:bookmarkStart w:id="0" w:name="_GoBack"/>
      <w:bookmarkEnd w:id="0"/>
      <w:r w:rsidRPr="00616E76">
        <w:rPr>
          <w:rFonts w:ascii="Arial" w:eastAsia="Calibri" w:hAnsi="Arial"/>
          <w:sz w:val="24"/>
          <w:szCs w:val="22"/>
          <w:lang w:eastAsia="en-US"/>
        </w:rPr>
        <w:t xml:space="preserve"> agissant en qualité de Directrice des Ressources Humaines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proofErr w:type="gramStart"/>
      <w:r w:rsidRPr="00616E76">
        <w:rPr>
          <w:rFonts w:ascii="Arial" w:eastAsia="Calibri" w:hAnsi="Arial"/>
          <w:sz w:val="24"/>
          <w:szCs w:val="22"/>
          <w:lang w:eastAsia="en-US"/>
        </w:rPr>
        <w:t>d’une</w:t>
      </w:r>
      <w:proofErr w:type="gramEnd"/>
      <w:r w:rsidRPr="00616E76">
        <w:rPr>
          <w:rFonts w:ascii="Arial" w:eastAsia="Calibri" w:hAnsi="Arial"/>
          <w:sz w:val="24"/>
          <w:szCs w:val="22"/>
          <w:lang w:eastAsia="en-US"/>
        </w:rPr>
        <w:t xml:space="preserve"> part,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>Et :</w:t>
      </w:r>
    </w:p>
    <w:p w:rsidP="00FD48DA" w:rsidR="00FD48DA" w:rsidRDefault="00FD48DA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>Les Représentants des Organisations Syndicales suivantes :</w:t>
      </w:r>
    </w:p>
    <w:p w:rsidP="00FD48DA" w:rsidR="006E41FD" w:rsidRDefault="006E41FD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</w:p>
    <w:p w:rsidP="00FD48DA" w:rsidR="00FD48DA" w:rsidRDefault="00FD48DA" w:rsidRPr="00616E76">
      <w:pPr>
        <w:tabs>
          <w:tab w:pos="7116" w:val="left"/>
        </w:tabs>
        <w:spacing w:before="170"/>
        <w:ind w:firstLine="708"/>
        <w:jc w:val="both"/>
        <w:rPr>
          <w:rFonts w:ascii="Arial" w:eastAsia="Calibri" w:hAnsi="Arial"/>
          <w:b/>
          <w:sz w:val="24"/>
          <w:szCs w:val="22"/>
          <w:lang w:eastAsia="en-US"/>
        </w:rPr>
      </w:pPr>
      <w:r w:rsidRPr="00616E76">
        <w:rPr>
          <w:rFonts w:ascii="Arial" w:eastAsia="Calibri" w:hAnsi="Arial"/>
          <w:b/>
          <w:sz w:val="24"/>
          <w:szCs w:val="22"/>
          <w:lang w:eastAsia="en-US"/>
        </w:rPr>
        <w:t>Syndicat C.F.D.T.</w:t>
      </w:r>
      <w:r w:rsidRPr="00616E76">
        <w:rPr>
          <w:rFonts w:ascii="Arial" w:eastAsia="Calibri" w:hAnsi="Arial"/>
          <w:b/>
          <w:sz w:val="24"/>
          <w:szCs w:val="22"/>
          <w:lang w:eastAsia="en-US"/>
        </w:rPr>
        <w:tab/>
      </w:r>
    </w:p>
    <w:p w:rsidP="00FD48DA" w:rsidR="00FD48DA" w:rsidRDefault="00FD48DA" w:rsidRPr="00616E76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  <w:proofErr w:type="gramStart"/>
      <w:r w:rsidRPr="00616E76">
        <w:rPr>
          <w:rFonts w:ascii="Arial" w:eastAsia="Calibri" w:hAnsi="Arial"/>
          <w:sz w:val="24"/>
          <w:szCs w:val="22"/>
          <w:lang w:eastAsia="en-US"/>
        </w:rPr>
        <w:t>représenté</w:t>
      </w:r>
      <w:proofErr w:type="gramEnd"/>
      <w:r w:rsidRPr="00616E76">
        <w:rPr>
          <w:rFonts w:ascii="Arial" w:eastAsia="Calibri" w:hAnsi="Arial"/>
          <w:sz w:val="24"/>
          <w:szCs w:val="22"/>
          <w:lang w:eastAsia="en-US"/>
        </w:rPr>
        <w:t xml:space="preserve"> par </w:t>
      </w:r>
      <w:r w:rsidRPr="00616E76">
        <w:rPr>
          <w:rFonts w:ascii="Arial" w:eastAsia="Calibri" w:hAnsi="Arial"/>
          <w:sz w:val="24"/>
          <w:szCs w:val="22"/>
          <w:lang w:eastAsia="en-US"/>
        </w:rPr>
        <w:tab/>
      </w:r>
      <w:r w:rsidR="003E6ACE">
        <w:rPr>
          <w:rFonts w:ascii="Arial" w:eastAsia="Calibri" w:hAnsi="Arial"/>
          <w:sz w:val="24"/>
          <w:szCs w:val="22"/>
          <w:lang w:eastAsia="en-US"/>
        </w:rPr>
        <w:t>XXX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délégué</w:t>
      </w:r>
      <w:r w:rsidR="004D53F9">
        <w:rPr>
          <w:rFonts w:ascii="Arial" w:eastAsia="Calibri" w:hAnsi="Arial"/>
          <w:sz w:val="24"/>
          <w:szCs w:val="22"/>
          <w:lang w:eastAsia="en-US"/>
        </w:rPr>
        <w:t>e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syndical</w:t>
      </w:r>
    </w:p>
    <w:p w:rsidP="00FD48DA" w:rsidR="00FD48DA" w:rsidRDefault="00FD48DA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ab/>
      </w:r>
      <w:r w:rsidRPr="00616E76">
        <w:rPr>
          <w:rFonts w:ascii="Arial" w:eastAsia="Calibri" w:hAnsi="Arial"/>
          <w:sz w:val="24"/>
          <w:szCs w:val="22"/>
          <w:lang w:eastAsia="en-US"/>
        </w:rPr>
        <w:tab/>
        <w:t xml:space="preserve">   </w:t>
      </w:r>
      <w:r w:rsidRPr="00616E76">
        <w:rPr>
          <w:rFonts w:ascii="Arial" w:eastAsia="Calibri" w:hAnsi="Arial"/>
          <w:sz w:val="24"/>
          <w:szCs w:val="22"/>
          <w:lang w:eastAsia="en-US"/>
        </w:rPr>
        <w:tab/>
      </w:r>
      <w:r w:rsidR="00683A31">
        <w:rPr>
          <w:rFonts w:ascii="Arial" w:eastAsia="Calibri" w:hAnsi="Arial"/>
          <w:sz w:val="24"/>
          <w:szCs w:val="22"/>
          <w:lang w:eastAsia="en-US"/>
        </w:rPr>
        <w:tab/>
      </w:r>
      <w:r w:rsidR="003E6ACE">
        <w:rPr>
          <w:rFonts w:ascii="Arial" w:eastAsia="Calibri" w:hAnsi="Arial"/>
          <w:sz w:val="24"/>
          <w:szCs w:val="22"/>
          <w:lang w:eastAsia="en-US"/>
        </w:rPr>
        <w:t>XXX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délégué syndical</w:t>
      </w:r>
    </w:p>
    <w:p w:rsidP="00FD48DA" w:rsidR="00FD48DA" w:rsidRDefault="00FD48DA" w:rsidRPr="00616E76">
      <w:pPr>
        <w:spacing w:before="170"/>
        <w:jc w:val="both"/>
        <w:rPr>
          <w:rFonts w:ascii="Arial" w:eastAsia="Calibri" w:hAnsi="Arial"/>
          <w:sz w:val="24"/>
          <w:szCs w:val="22"/>
          <w:lang w:eastAsia="en-US"/>
        </w:rPr>
      </w:pPr>
    </w:p>
    <w:p w:rsidP="00FD48DA" w:rsidR="00FD48DA" w:rsidRDefault="00FD48DA" w:rsidRPr="00616E76">
      <w:pPr>
        <w:spacing w:before="170"/>
        <w:ind w:firstLine="708"/>
        <w:jc w:val="both"/>
        <w:rPr>
          <w:rFonts w:ascii="Arial" w:eastAsia="Calibri" w:hAnsi="Arial"/>
          <w:b/>
          <w:bCs/>
          <w:sz w:val="24"/>
          <w:szCs w:val="22"/>
          <w:lang w:eastAsia="en-US"/>
        </w:rPr>
      </w:pPr>
      <w:r w:rsidRPr="00616E76">
        <w:rPr>
          <w:rFonts w:ascii="Arial" w:eastAsia="Calibri" w:hAnsi="Arial"/>
          <w:b/>
          <w:bCs/>
          <w:sz w:val="24"/>
          <w:szCs w:val="22"/>
          <w:lang w:eastAsia="en-US"/>
        </w:rPr>
        <w:t>Syndicat C.G.T.</w:t>
      </w:r>
    </w:p>
    <w:p w:rsidP="00FD48DA" w:rsidR="00A76D2F" w:rsidRDefault="00FD48DA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  <w:proofErr w:type="gramStart"/>
      <w:r w:rsidRPr="00616E76">
        <w:rPr>
          <w:rFonts w:ascii="Arial" w:eastAsia="Calibri" w:hAnsi="Arial"/>
          <w:bCs/>
          <w:sz w:val="24"/>
          <w:szCs w:val="22"/>
          <w:lang w:eastAsia="en-US"/>
        </w:rPr>
        <w:t xml:space="preserve">représenté </w:t>
      </w:r>
      <w:r w:rsidRPr="00616E76">
        <w:rPr>
          <w:rFonts w:ascii="Arial" w:eastAsia="Calibri" w:hAnsi="Arial"/>
          <w:sz w:val="24"/>
          <w:szCs w:val="22"/>
          <w:lang w:eastAsia="en-US"/>
        </w:rPr>
        <w:t xml:space="preserve"> par</w:t>
      </w:r>
      <w:proofErr w:type="gramEnd"/>
      <w:r w:rsidRPr="00616E76">
        <w:rPr>
          <w:rFonts w:ascii="Arial" w:eastAsia="Calibri" w:hAnsi="Arial"/>
          <w:sz w:val="24"/>
          <w:szCs w:val="22"/>
          <w:lang w:eastAsia="en-US"/>
        </w:rPr>
        <w:t xml:space="preserve"> </w:t>
      </w:r>
      <w:r w:rsidR="00A76D2F">
        <w:rPr>
          <w:rFonts w:ascii="Arial" w:eastAsia="Calibri" w:hAnsi="Arial"/>
          <w:sz w:val="24"/>
          <w:szCs w:val="22"/>
          <w:lang w:eastAsia="en-US"/>
        </w:rPr>
        <w:tab/>
      </w:r>
      <w:r w:rsidR="003E6ACE">
        <w:rPr>
          <w:rFonts w:ascii="Arial" w:eastAsia="Calibri" w:hAnsi="Arial"/>
          <w:sz w:val="24"/>
          <w:szCs w:val="22"/>
          <w:lang w:eastAsia="en-US"/>
        </w:rPr>
        <w:t>XXX</w:t>
      </w:r>
      <w:r w:rsidR="00A76D2F" w:rsidRPr="00616E76">
        <w:rPr>
          <w:rFonts w:ascii="Arial" w:eastAsia="Calibri" w:hAnsi="Arial"/>
          <w:sz w:val="24"/>
          <w:szCs w:val="22"/>
          <w:lang w:eastAsia="en-US"/>
        </w:rPr>
        <w:t xml:space="preserve"> délégué syndical</w:t>
      </w:r>
    </w:p>
    <w:p w:rsidP="00FD48DA" w:rsidR="00C61CB2" w:rsidRDefault="00C61CB2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</w:p>
    <w:p w:rsidP="00FD48DA" w:rsidR="00FD48DA" w:rsidRDefault="00FD48DA" w:rsidRPr="00616E76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  <w:r w:rsidRPr="00616E76">
        <w:rPr>
          <w:rFonts w:ascii="Arial" w:eastAsia="Calibri" w:hAnsi="Arial"/>
          <w:sz w:val="24"/>
          <w:szCs w:val="22"/>
          <w:lang w:eastAsia="en-US"/>
        </w:rPr>
        <w:tab/>
      </w:r>
      <w:r w:rsidRPr="00616E76">
        <w:rPr>
          <w:rFonts w:ascii="Arial" w:eastAsia="Calibri" w:hAnsi="Arial"/>
          <w:sz w:val="24"/>
          <w:szCs w:val="22"/>
          <w:lang w:eastAsia="en-US"/>
        </w:rPr>
        <w:tab/>
        <w:t xml:space="preserve">    </w:t>
      </w:r>
    </w:p>
    <w:p w:rsidP="00FD48DA" w:rsidR="00FD48DA" w:rsidRDefault="00FD48DA" w:rsidRPr="00616E76">
      <w:pPr>
        <w:spacing w:before="170"/>
        <w:ind w:firstLine="708"/>
        <w:jc w:val="both"/>
        <w:rPr>
          <w:rFonts w:ascii="Arial" w:eastAsia="Calibri" w:hAnsi="Arial"/>
          <w:sz w:val="24"/>
          <w:szCs w:val="22"/>
          <w:lang w:eastAsia="en-US"/>
        </w:rPr>
      </w:pPr>
      <w:proofErr w:type="gramStart"/>
      <w:r w:rsidRPr="00616E76">
        <w:rPr>
          <w:rFonts w:ascii="Arial" w:eastAsia="Calibri" w:hAnsi="Arial"/>
          <w:sz w:val="24"/>
          <w:szCs w:val="22"/>
          <w:lang w:eastAsia="en-US"/>
        </w:rPr>
        <w:t>d’autre</w:t>
      </w:r>
      <w:proofErr w:type="gramEnd"/>
      <w:r w:rsidRPr="00616E76">
        <w:rPr>
          <w:rFonts w:ascii="Arial" w:eastAsia="Calibri" w:hAnsi="Arial"/>
          <w:sz w:val="24"/>
          <w:szCs w:val="22"/>
          <w:lang w:eastAsia="en-US"/>
        </w:rPr>
        <w:t xml:space="preserve"> part, </w:t>
      </w:r>
    </w:p>
    <w:p w:rsidP="00FD48DA" w:rsidR="00FD48DA" w:rsidRDefault="00FD48DA">
      <w:pPr>
        <w:ind w:right="565"/>
        <w:rPr>
          <w:rFonts w:ascii="Arial" w:hAnsi="Arial"/>
          <w:sz w:val="24"/>
        </w:rPr>
      </w:pPr>
    </w:p>
    <w:p w:rsidP="00FD48DA" w:rsidR="00FD48DA" w:rsidRDefault="00FD48DA">
      <w:pPr>
        <w:ind w:right="565"/>
        <w:rPr>
          <w:rFonts w:ascii="Arial" w:hAnsi="Arial"/>
          <w:sz w:val="24"/>
        </w:rPr>
      </w:pPr>
    </w:p>
    <w:p w:rsidP="00FD48DA" w:rsidR="00FD48DA" w:rsidRDefault="00FD48DA">
      <w:pPr>
        <w:ind w:right="565"/>
        <w:jc w:val="both"/>
        <w:rPr>
          <w:rFonts w:ascii="Arial" w:hAnsi="Arial"/>
          <w:sz w:val="24"/>
        </w:rPr>
      </w:pPr>
    </w:p>
    <w:p w:rsidP="00FD48DA" w:rsidR="00160A2E" w:rsidRDefault="00160A2E">
      <w:pPr>
        <w:jc w:val="both"/>
        <w:rPr>
          <w:rFonts w:ascii="Arial" w:cs="Arial" w:hAnsi="Arial"/>
          <w:sz w:val="24"/>
          <w:szCs w:val="24"/>
          <w:u w:val="single"/>
        </w:rPr>
      </w:pPr>
    </w:p>
    <w:p w:rsidP="00FD48DA" w:rsidR="00FD48DA" w:rsidRDefault="00FD48DA">
      <w:pPr>
        <w:jc w:val="both"/>
        <w:rPr>
          <w:rFonts w:ascii="Arial" w:cs="Arial" w:hAnsi="Arial"/>
          <w:sz w:val="24"/>
          <w:szCs w:val="24"/>
        </w:rPr>
      </w:pPr>
      <w:r w:rsidRPr="005F478E">
        <w:rPr>
          <w:rFonts w:ascii="Arial" w:cs="Arial" w:hAnsi="Arial"/>
          <w:sz w:val="24"/>
          <w:szCs w:val="24"/>
          <w:u w:val="single"/>
        </w:rPr>
        <w:t>Il est convenu les dispositions suivantes</w:t>
      </w:r>
      <w:r w:rsidRPr="00A851DB">
        <w:rPr>
          <w:rFonts w:ascii="Arial" w:cs="Arial" w:hAnsi="Arial"/>
          <w:sz w:val="24"/>
          <w:szCs w:val="24"/>
        </w:rPr>
        <w:t> :</w:t>
      </w:r>
    </w:p>
    <w:p w:rsidP="00FD48DA" w:rsidR="00FD48DA" w:rsidRDefault="00FD48DA" w:rsidRPr="005F478E">
      <w:pPr>
        <w:jc w:val="both"/>
        <w:rPr>
          <w:rFonts w:ascii="Arial" w:cs="Arial" w:hAnsi="Arial"/>
          <w:sz w:val="24"/>
          <w:szCs w:val="24"/>
        </w:rPr>
      </w:pPr>
    </w:p>
    <w:p w:rsidP="00FD48DA" w:rsidR="00FD48DA" w:rsidRDefault="00FD48DA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keepNext/>
        <w:keepLines/>
        <w:spacing w:before="480"/>
        <w:jc w:val="both"/>
        <w:outlineLvl w:val="0"/>
        <w:rPr>
          <w:rFonts w:ascii="Arial" w:cs="Arial" w:eastAsiaTheme="majorEastAsia" w:hAnsi="Arial"/>
          <w:b/>
          <w:bCs/>
          <w:color w:themeColor="accent1" w:themeShade="BF" w:val="2E74B5"/>
          <w:sz w:val="24"/>
          <w:szCs w:val="28"/>
          <w:lang w:eastAsia="en-US"/>
        </w:rPr>
      </w:pPr>
      <w:bookmarkStart w:id="1" w:name="_Toc97809869"/>
      <w:r w:rsidRPr="00F1150F">
        <w:rPr>
          <w:rFonts w:ascii="Arial" w:cs="Arial" w:eastAsiaTheme="majorEastAsia" w:hAnsi="Arial"/>
          <w:b/>
          <w:bCs/>
          <w:color w:themeColor="accent1" w:themeShade="BF" w:val="2E74B5"/>
          <w:sz w:val="24"/>
          <w:szCs w:val="28"/>
          <w:lang w:eastAsia="en-US"/>
        </w:rPr>
        <w:lastRenderedPageBreak/>
        <w:t>Préambule</w:t>
      </w:r>
      <w:bookmarkEnd w:id="1"/>
      <w:r w:rsidRPr="00F1150F">
        <w:rPr>
          <w:rFonts w:ascii="Arial" w:cs="Arial" w:eastAsiaTheme="majorEastAsia" w:hAnsi="Arial"/>
          <w:b/>
          <w:bCs/>
          <w:color w:themeColor="accent1" w:themeShade="BF" w:val="2E74B5"/>
          <w:sz w:val="24"/>
          <w:szCs w:val="28"/>
          <w:lang w:eastAsia="en-US"/>
        </w:rPr>
        <w:t xml:space="preserve"> 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Conformément à l’article L.2242-13 et suivants du Code du travail, les négociations annuell</w:t>
      </w:r>
      <w:r w:rsidR="007F7340">
        <w:rPr>
          <w:rFonts w:ascii="Arial" w:hAnsi="Arial"/>
          <w:sz w:val="24"/>
        </w:rPr>
        <w:t>es obligatoires pour l’année 202</w:t>
      </w:r>
      <w:r w:rsidR="006E41FD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 xml:space="preserve"> se sont engagées le </w:t>
      </w:r>
      <w:r w:rsidR="007F7340">
        <w:rPr>
          <w:rFonts w:ascii="Arial" w:hAnsi="Arial"/>
          <w:sz w:val="24"/>
        </w:rPr>
        <w:t>24 février 202</w:t>
      </w:r>
      <w:r w:rsidR="00C61CB2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 xml:space="preserve"> entre la Direction et les Organisations Syndicales précitées ci</w:t>
      </w:r>
      <w:r w:rsidR="007F7340">
        <w:rPr>
          <w:rFonts w:ascii="Arial" w:hAnsi="Arial"/>
          <w:sz w:val="24"/>
        </w:rPr>
        <w:t>-dessus et ont f</w:t>
      </w:r>
      <w:r w:rsidR="00EE3E9C">
        <w:rPr>
          <w:rFonts w:ascii="Arial" w:hAnsi="Arial"/>
          <w:sz w:val="24"/>
        </w:rPr>
        <w:t>ai</w:t>
      </w:r>
      <w:r w:rsidR="007F7340">
        <w:rPr>
          <w:rFonts w:ascii="Arial" w:hAnsi="Arial"/>
          <w:sz w:val="24"/>
        </w:rPr>
        <w:t xml:space="preserve">t l’objet de </w:t>
      </w:r>
      <w:r w:rsidR="00C61CB2">
        <w:rPr>
          <w:rFonts w:ascii="Arial" w:hAnsi="Arial"/>
          <w:sz w:val="24"/>
        </w:rPr>
        <w:t>5</w:t>
      </w:r>
      <w:r w:rsidRPr="00F1150F">
        <w:rPr>
          <w:rFonts w:ascii="Arial" w:hAnsi="Arial"/>
          <w:sz w:val="24"/>
        </w:rPr>
        <w:t xml:space="preserve"> réunions les </w:t>
      </w:r>
      <w:r w:rsidR="007F7340">
        <w:rPr>
          <w:rFonts w:ascii="Arial" w:hAnsi="Arial"/>
          <w:sz w:val="24"/>
        </w:rPr>
        <w:t>24 février, 1</w:t>
      </w:r>
      <w:r w:rsidR="007F7340" w:rsidRPr="007F7340">
        <w:rPr>
          <w:rFonts w:ascii="Arial" w:hAnsi="Arial"/>
          <w:sz w:val="24"/>
          <w:vertAlign w:val="superscript"/>
        </w:rPr>
        <w:t>er</w:t>
      </w:r>
      <w:r w:rsidR="007F7340">
        <w:rPr>
          <w:rFonts w:ascii="Arial" w:hAnsi="Arial"/>
          <w:sz w:val="24"/>
        </w:rPr>
        <w:t xml:space="preserve">, </w:t>
      </w:r>
      <w:r w:rsidR="00C61CB2">
        <w:rPr>
          <w:rFonts w:ascii="Arial" w:hAnsi="Arial"/>
          <w:sz w:val="24"/>
        </w:rPr>
        <w:t>8</w:t>
      </w:r>
      <w:r w:rsidR="007F7340">
        <w:rPr>
          <w:rFonts w:ascii="Arial" w:hAnsi="Arial"/>
          <w:sz w:val="24"/>
        </w:rPr>
        <w:t xml:space="preserve"> et </w:t>
      </w:r>
      <w:r w:rsidR="00C61CB2">
        <w:rPr>
          <w:rFonts w:ascii="Arial" w:hAnsi="Arial"/>
          <w:sz w:val="24"/>
        </w:rPr>
        <w:t>10 et 15</w:t>
      </w:r>
      <w:r w:rsidR="007F7340">
        <w:rPr>
          <w:rFonts w:ascii="Arial" w:hAnsi="Arial"/>
          <w:sz w:val="24"/>
        </w:rPr>
        <w:t xml:space="preserve"> mars 202</w:t>
      </w:r>
      <w:r w:rsidR="00C61CB2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>.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Conformément à l’article L. 2242-13 du Code du travail, « A défaut d'accord prévu à l'article </w:t>
      </w:r>
      <w:hyperlink r:id="rId9" w:history="1">
        <w:r w:rsidRPr="00F1150F">
          <w:rPr>
            <w:rFonts w:ascii="Arial" w:hAnsi="Arial"/>
            <w:sz w:val="24"/>
          </w:rPr>
          <w:t xml:space="preserve">L. 2242-11 </w:t>
        </w:r>
      </w:hyperlink>
      <w:r w:rsidRPr="00F1150F">
        <w:rPr>
          <w:rFonts w:ascii="Arial" w:hAnsi="Arial"/>
          <w:sz w:val="24"/>
        </w:rPr>
        <w:t xml:space="preserve">ou en cas de non-respect de ses stipulations, l'employeur engage, dans les entreprises mentionnées à ce même article : 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1° Chaque année, une négociation sur la rémunération, le temps de travail et le partage de la valeur ajoutée dans l'entreprise, dans les conditions prévues à la sous-section 2 de la présente section ;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 2° Chaque année, une négociation sur l'égalité professionnelle entre les femmes et les hommes et la qualité de vie au travail, dans les conditions prévues à la sous-section 3 de la présente section ; 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3° Tous les trois ans, dans les entreprises d'au moins trois cents salariés mentionnées à l'article </w:t>
      </w:r>
      <w:hyperlink r:id="rId10" w:history="1">
        <w:r w:rsidRPr="00F1150F">
          <w:rPr>
            <w:rFonts w:ascii="Arial" w:hAnsi="Arial"/>
            <w:sz w:val="24"/>
          </w:rPr>
          <w:t>L. 2242-2</w:t>
        </w:r>
      </w:hyperlink>
      <w:r w:rsidRPr="00F1150F">
        <w:rPr>
          <w:rFonts w:ascii="Arial" w:hAnsi="Arial"/>
          <w:sz w:val="24"/>
        </w:rPr>
        <w:t xml:space="preserve">, une négociation sur la gestion des emplois et des parcours professionnels, dans les conditions prévues à la sous-section 4 de la présente section. »  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C61CB2" w:rsidR="00C61CB2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Les parties ont rappelé qu’un accord sur l’égalité professionnelle entre les femmes et les hommes et la qualité de vie au travail avait été signé le </w:t>
      </w:r>
      <w:r w:rsidR="007F7340" w:rsidRPr="007F7340">
        <w:rPr>
          <w:rFonts w:ascii="Arial" w:hAnsi="Arial"/>
          <w:sz w:val="24"/>
        </w:rPr>
        <w:t>27</w:t>
      </w:r>
      <w:r w:rsidR="007F7340">
        <w:rPr>
          <w:rFonts w:ascii="Arial" w:hAnsi="Arial"/>
          <w:sz w:val="24"/>
        </w:rPr>
        <w:t xml:space="preserve"> septembre </w:t>
      </w:r>
      <w:r w:rsidR="007F7340" w:rsidRPr="007F7340">
        <w:rPr>
          <w:rFonts w:ascii="Arial" w:hAnsi="Arial"/>
          <w:sz w:val="24"/>
        </w:rPr>
        <w:t>2019</w:t>
      </w:r>
      <w:r w:rsidR="007F7340">
        <w:rPr>
          <w:rFonts w:ascii="Arial" w:hAnsi="Arial"/>
          <w:sz w:val="24"/>
        </w:rPr>
        <w:t>, conclu pour une durée de 4 ans</w:t>
      </w:r>
      <w:r w:rsidRPr="00F1150F">
        <w:rPr>
          <w:rFonts w:ascii="Arial" w:hAnsi="Arial"/>
          <w:sz w:val="24"/>
        </w:rPr>
        <w:t>.</w:t>
      </w:r>
      <w:r w:rsidR="00C61CB2">
        <w:rPr>
          <w:rFonts w:ascii="Arial" w:hAnsi="Arial"/>
          <w:sz w:val="24"/>
        </w:rPr>
        <w:t xml:space="preserve"> Il est convenu de réouvrir les négociations courant de l’année 2023.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520BDA" w:rsidR="00520BDA" w:rsidRDefault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De même, </w:t>
      </w:r>
      <w:bookmarkStart w:id="2" w:name="_Hlk129694083"/>
      <w:r w:rsidRPr="00F1150F">
        <w:rPr>
          <w:rFonts w:ascii="Arial" w:hAnsi="Arial"/>
          <w:sz w:val="24"/>
        </w:rPr>
        <w:t xml:space="preserve">un accord sur la gestion des emplois et des parcours professionnels est en vigueur depuis le </w:t>
      </w:r>
      <w:r w:rsidR="007F7340">
        <w:rPr>
          <w:rFonts w:ascii="Arial" w:hAnsi="Arial"/>
          <w:sz w:val="24"/>
        </w:rPr>
        <w:t>12 mars 2019</w:t>
      </w:r>
      <w:r w:rsidR="00520BDA">
        <w:rPr>
          <w:rFonts w:ascii="Arial" w:hAnsi="Arial"/>
          <w:sz w:val="24"/>
        </w:rPr>
        <w:t>, conclu pour une durée de 4 ans</w:t>
      </w:r>
      <w:r w:rsidR="00520BDA" w:rsidRPr="00F1150F">
        <w:rPr>
          <w:rFonts w:ascii="Arial" w:hAnsi="Arial"/>
          <w:sz w:val="24"/>
        </w:rPr>
        <w:t>.</w:t>
      </w:r>
      <w:r w:rsidR="00C61CB2">
        <w:rPr>
          <w:rFonts w:ascii="Arial" w:hAnsi="Arial"/>
          <w:sz w:val="24"/>
        </w:rPr>
        <w:t xml:space="preserve"> </w:t>
      </w:r>
      <w:bookmarkEnd w:id="2"/>
      <w:r w:rsidR="00C61CB2">
        <w:rPr>
          <w:rFonts w:ascii="Arial" w:hAnsi="Arial"/>
          <w:sz w:val="24"/>
        </w:rPr>
        <w:t>Il est convenu de réouvrir les négociations courant de l’année 2023.</w:t>
      </w:r>
    </w:p>
    <w:p w:rsidP="00520BDA" w:rsidR="006E41FD" w:rsidRDefault="006E41FD">
      <w:pPr>
        <w:ind w:right="565"/>
        <w:jc w:val="both"/>
        <w:rPr>
          <w:rFonts w:ascii="Arial" w:hAnsi="Arial"/>
          <w:sz w:val="24"/>
        </w:rPr>
      </w:pPr>
    </w:p>
    <w:p w:rsidP="00520BDA" w:rsidR="006E41FD" w:rsidRDefault="006E41FD" w:rsidRPr="00F1150F">
      <w:pPr>
        <w:ind w:right="56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même, un accord d’intéressement pour les années 2022, 2023 et 2024 est en vigueur depuis le 25 avril 2022.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Les négociations ont dès lors porté sur les thèmes prévus à l’article L. 2242-15 du Code du travail qui prévoit « La négociation annuelle sur la rémunération, le temps de travail et le partage de la valeur ajoutée dans l'entreprise porte sur :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1° Les salaires effectifs ;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2° La durée effective et l'organisation du temps de travail, notamment la mise en place du travail à temps partiel. Dans ce cadre, la négociation peut également porter sur la réduction du temps de travail ;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3° L'intéressement, la participation et l'épargne salariale, à défaut d'accord d'intéressement, d'accord de participation, de plan d'épargne d'entreprise, de plan d'épargne pour la mise à la retraite collectif ou d'accord de branche comportant un ou plusieurs de ces dispositifs. S'il y a lieu, la négociation porte également sur l'affectation d'une partie des sommes collectées dans le cadre du plan d'épargne pour </w:t>
      </w:r>
      <w:proofErr w:type="gramStart"/>
      <w:r w:rsidRPr="00F1150F">
        <w:rPr>
          <w:rFonts w:ascii="Arial" w:hAnsi="Arial"/>
          <w:sz w:val="24"/>
        </w:rPr>
        <w:t>la retraite collectif</w:t>
      </w:r>
      <w:proofErr w:type="gramEnd"/>
      <w:r w:rsidRPr="00F1150F">
        <w:rPr>
          <w:rFonts w:ascii="Arial" w:hAnsi="Arial"/>
          <w:sz w:val="24"/>
        </w:rPr>
        <w:t xml:space="preserve"> mentionné à l'article L. 3334-1 et sur l'acquisition de parts de fonds investis dans les entreprises solidaires mentionnés à l'article L. 3334-13. La même obligation incombe aux groupements d'employeurs ;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4° Le suivi de la mise en œuvre des mesures visant à supprimer les écarts de rémunération et les différences de déroulement de carrière entre les femmes et les hommes. »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lastRenderedPageBreak/>
        <w:t xml:space="preserve">A l’issue de la négociation, les parties ont abouti à la conclusion du présent accord du </w:t>
      </w:r>
      <w:r w:rsidR="00CF7836" w:rsidRPr="00CF7836">
        <w:rPr>
          <w:rFonts w:ascii="Arial" w:hAnsi="Arial"/>
          <w:sz w:val="24"/>
        </w:rPr>
        <w:t>17</w:t>
      </w:r>
      <w:r w:rsidR="00520BDA" w:rsidRPr="00CF7836">
        <w:rPr>
          <w:rFonts w:ascii="Arial" w:hAnsi="Arial"/>
          <w:sz w:val="24"/>
        </w:rPr>
        <w:t xml:space="preserve"> </w:t>
      </w:r>
      <w:r w:rsidR="00520BDA" w:rsidRPr="006E41FD">
        <w:rPr>
          <w:rFonts w:ascii="Arial" w:hAnsi="Arial"/>
          <w:sz w:val="24"/>
        </w:rPr>
        <w:t>mars 202</w:t>
      </w:r>
      <w:r w:rsidR="00C61CB2" w:rsidRPr="006E41FD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 xml:space="preserve"> sur la politique salariale </w:t>
      </w:r>
      <w:r w:rsidR="00520BDA">
        <w:rPr>
          <w:rFonts w:ascii="Arial" w:hAnsi="Arial"/>
          <w:sz w:val="24"/>
        </w:rPr>
        <w:t>202</w:t>
      </w:r>
      <w:r w:rsidR="00C61CB2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 xml:space="preserve"> :</w:t>
      </w:r>
    </w:p>
    <w:p w:rsidP="00F1150F" w:rsidR="00F1150F" w:rsidRDefault="00F1150F">
      <w:pPr>
        <w:ind w:right="565"/>
        <w:jc w:val="both"/>
        <w:rPr>
          <w:rFonts w:ascii="Arial" w:hAnsi="Arial"/>
          <w:sz w:val="24"/>
        </w:rPr>
      </w:pPr>
    </w:p>
    <w:p w:rsidP="00F1150F" w:rsidR="00C508C3" w:rsidRDefault="00C508C3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keepNext/>
        <w:keepLines/>
        <w:spacing w:before="480"/>
        <w:outlineLvl w:val="0"/>
        <w:rPr>
          <w:rFonts w:ascii="Arial" w:cstheme="majorBidi" w:eastAsiaTheme="majorEastAsia" w:hAnsi="Arial"/>
          <w:bCs/>
          <w:color w:themeColor="accent1" w:themeShade="BF" w:val="2E74B5"/>
          <w:sz w:val="24"/>
          <w:szCs w:val="28"/>
          <w:u w:val="single"/>
          <w:lang w:eastAsia="en-US"/>
        </w:rPr>
      </w:pPr>
      <w:bookmarkStart w:id="3" w:name="_Toc942757"/>
      <w:bookmarkStart w:id="4" w:name="_Toc97809870"/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Article 1 : CHAMP D’APPLICATION</w:t>
      </w:r>
      <w:bookmarkEnd w:id="3"/>
      <w:bookmarkEnd w:id="4"/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Les dispositions du présent </w:t>
      </w:r>
      <w:r w:rsidR="006E41FD">
        <w:rPr>
          <w:rFonts w:ascii="Arial" w:hAnsi="Arial"/>
          <w:sz w:val="24"/>
        </w:rPr>
        <w:t xml:space="preserve">accord </w:t>
      </w:r>
      <w:r w:rsidRPr="00F1150F">
        <w:rPr>
          <w:rFonts w:ascii="Arial" w:hAnsi="Arial"/>
          <w:sz w:val="24"/>
        </w:rPr>
        <w:t>sont applicables à l’ensemble du personnel de Punch Powerglide Strasbourg.</w:t>
      </w:r>
    </w:p>
    <w:p w:rsidP="00F1150F" w:rsidR="00F1150F" w:rsidRDefault="00F1150F" w:rsidRPr="00F1150F">
      <w:pPr>
        <w:keepNext/>
        <w:keepLines/>
        <w:spacing w:before="480"/>
        <w:outlineLvl w:val="0"/>
        <w:rPr>
          <w:rFonts w:ascii="Arial" w:cstheme="majorBidi" w:eastAsiaTheme="majorEastAsia" w:hAnsi="Arial"/>
          <w:bCs/>
          <w:color w:themeColor="accent1" w:themeShade="BF" w:val="2E74B5"/>
          <w:sz w:val="24"/>
          <w:szCs w:val="28"/>
          <w:u w:val="single"/>
          <w:lang w:eastAsia="en-US"/>
        </w:rPr>
      </w:pPr>
      <w:bookmarkStart w:id="5" w:name="_Toc942758"/>
      <w:bookmarkStart w:id="6" w:name="_Toc97809871"/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Article 2 : OBJET</w:t>
      </w:r>
      <w:bookmarkEnd w:id="5"/>
      <w:bookmarkEnd w:id="6"/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 xml:space="preserve"> 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b/>
          <w:sz w:val="24"/>
          <w:u w:val="single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Le présent </w:t>
      </w:r>
      <w:r w:rsidR="006E41FD">
        <w:rPr>
          <w:rFonts w:ascii="Arial" w:hAnsi="Arial"/>
          <w:sz w:val="24"/>
        </w:rPr>
        <w:t>accord</w:t>
      </w:r>
      <w:r w:rsidRPr="00F1150F">
        <w:rPr>
          <w:rFonts w:ascii="Arial" w:hAnsi="Arial"/>
          <w:sz w:val="24"/>
        </w:rPr>
        <w:t xml:space="preserve"> a pour objet </w:t>
      </w:r>
      <w:r w:rsidR="00C61CB2">
        <w:rPr>
          <w:rFonts w:ascii="Arial" w:hAnsi="Arial"/>
          <w:sz w:val="24"/>
        </w:rPr>
        <w:t>de déterminer</w:t>
      </w:r>
      <w:r w:rsidRPr="00F1150F">
        <w:rPr>
          <w:rFonts w:ascii="Arial" w:hAnsi="Arial"/>
          <w:sz w:val="24"/>
        </w:rPr>
        <w:t xml:space="preserve"> la politique salariale 20</w:t>
      </w:r>
      <w:r w:rsidR="00520BDA">
        <w:rPr>
          <w:rFonts w:ascii="Arial" w:hAnsi="Arial"/>
          <w:sz w:val="24"/>
        </w:rPr>
        <w:t>2</w:t>
      </w:r>
      <w:r w:rsidR="00C61CB2">
        <w:rPr>
          <w:rFonts w:ascii="Arial" w:hAnsi="Arial"/>
          <w:sz w:val="24"/>
        </w:rPr>
        <w:t>3</w:t>
      </w:r>
      <w:r w:rsidRPr="00F1150F">
        <w:rPr>
          <w:rFonts w:ascii="Arial" w:hAnsi="Arial"/>
          <w:sz w:val="24"/>
        </w:rPr>
        <w:t xml:space="preserve">. </w:t>
      </w:r>
    </w:p>
    <w:p w:rsidP="00F1150F" w:rsidR="00F1150F" w:rsidRDefault="00F1150F" w:rsidRPr="00F1150F">
      <w:pPr>
        <w:keepNext/>
        <w:keepLines/>
        <w:spacing w:before="480"/>
        <w:outlineLvl w:val="0"/>
        <w:rPr>
          <w:rFonts w:ascii="Arial" w:cstheme="majorBidi" w:eastAsiaTheme="majorEastAsia" w:hAnsi="Arial"/>
          <w:bCs/>
          <w:color w:themeColor="accent1" w:themeShade="BF" w:val="2E74B5"/>
          <w:sz w:val="24"/>
          <w:szCs w:val="28"/>
          <w:u w:val="single"/>
          <w:lang w:eastAsia="en-US"/>
        </w:rPr>
      </w:pPr>
      <w:bookmarkStart w:id="7" w:name="_Toc942759"/>
      <w:bookmarkStart w:id="8" w:name="_Toc97809872"/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Article 3 : POLITIQUE SALARIALE POUR L’ANNEE 20</w:t>
      </w:r>
      <w:bookmarkEnd w:id="7"/>
      <w:r w:rsidR="00520BDA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2</w:t>
      </w:r>
      <w:bookmarkEnd w:id="8"/>
      <w:r w:rsidR="00C61CB2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3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b/>
          <w:sz w:val="24"/>
          <w:u w:val="single"/>
        </w:rPr>
      </w:pPr>
    </w:p>
    <w:p w:rsidP="00520BDA" w:rsidR="00520BDA" w:rsidRDefault="00DD01C0">
      <w:pPr>
        <w:ind w:right="56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Pour l’année 2023, les augmentations de salaires sont définies </w:t>
      </w:r>
      <w:r w:rsidR="00520BDA" w:rsidRPr="00972A39">
        <w:rPr>
          <w:rFonts w:ascii="Arial" w:hAnsi="Arial"/>
          <w:sz w:val="24"/>
        </w:rPr>
        <w:t>de la manière suivante :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numPr>
          <w:ilvl w:val="0"/>
          <w:numId w:val="3"/>
        </w:numPr>
        <w:ind w:right="565"/>
        <w:contextualSpacing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Pour la catégorie ouvrier et ETAM : </w:t>
      </w:r>
      <w:r w:rsidR="00DD01C0">
        <w:rPr>
          <w:rFonts w:ascii="Arial" w:hAnsi="Arial"/>
          <w:b/>
          <w:sz w:val="24"/>
        </w:rPr>
        <w:t>5</w:t>
      </w:r>
      <w:r w:rsidR="00520BDA" w:rsidRPr="00520BDA">
        <w:rPr>
          <w:rFonts w:ascii="Arial" w:hAnsi="Arial"/>
          <w:b/>
          <w:sz w:val="24"/>
        </w:rPr>
        <w:t>,</w:t>
      </w:r>
      <w:r w:rsidR="00DD01C0">
        <w:rPr>
          <w:rFonts w:ascii="Arial" w:hAnsi="Arial"/>
          <w:b/>
          <w:sz w:val="24"/>
        </w:rPr>
        <w:t>4</w:t>
      </w:r>
      <w:r w:rsidR="00520BDA">
        <w:rPr>
          <w:rFonts w:ascii="Arial" w:hAnsi="Arial"/>
          <w:sz w:val="24"/>
        </w:rPr>
        <w:t xml:space="preserve"> </w:t>
      </w:r>
      <w:r w:rsidRPr="00F1150F">
        <w:rPr>
          <w:rFonts w:ascii="Arial" w:hAnsi="Arial"/>
          <w:b/>
          <w:sz w:val="24"/>
        </w:rPr>
        <w:t>%</w:t>
      </w:r>
      <w:r w:rsidRPr="00F1150F">
        <w:rPr>
          <w:rFonts w:ascii="Arial" w:hAnsi="Arial"/>
          <w:sz w:val="24"/>
        </w:rPr>
        <w:t xml:space="preserve"> répartit de la manière suivante :</w:t>
      </w:r>
    </w:p>
    <w:p w:rsidP="00F1150F" w:rsidR="00F1150F" w:rsidRDefault="00520BDA" w:rsidRPr="00F1150F">
      <w:pPr>
        <w:numPr>
          <w:ilvl w:val="1"/>
          <w:numId w:val="3"/>
        </w:numPr>
        <w:ind w:right="565"/>
        <w:contextualSpacing/>
        <w:jc w:val="both"/>
        <w:rPr>
          <w:rFonts w:ascii="Arial" w:hAnsi="Arial"/>
          <w:sz w:val="24"/>
        </w:rPr>
      </w:pPr>
      <w:r>
        <w:rPr>
          <w:rFonts w:ascii="Arial" w:hAnsi="Arial"/>
          <w:bCs/>
          <w:sz w:val="24"/>
        </w:rPr>
        <w:t>5</w:t>
      </w:r>
      <w:r w:rsidR="00F1150F" w:rsidRPr="00F1150F">
        <w:rPr>
          <w:rFonts w:ascii="Arial" w:hAnsi="Arial"/>
          <w:bCs/>
          <w:sz w:val="24"/>
        </w:rPr>
        <w:t>%</w:t>
      </w:r>
      <w:r w:rsidR="00F1150F" w:rsidRPr="00F1150F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 xml:space="preserve">d’augmentation au général </w:t>
      </w:r>
      <w:r w:rsidR="00F1150F" w:rsidRPr="00F1150F">
        <w:rPr>
          <w:rFonts w:ascii="Arial" w:hAnsi="Arial"/>
          <w:sz w:val="24"/>
        </w:rPr>
        <w:t>et,</w:t>
      </w:r>
    </w:p>
    <w:p w:rsidP="00F1150F" w:rsidR="00F1150F" w:rsidRDefault="00F1150F" w:rsidRPr="00F1150F">
      <w:pPr>
        <w:numPr>
          <w:ilvl w:val="1"/>
          <w:numId w:val="3"/>
        </w:numPr>
        <w:ind w:right="565"/>
        <w:contextualSpacing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>0,</w:t>
      </w:r>
      <w:r w:rsidR="00520BDA">
        <w:rPr>
          <w:rFonts w:ascii="Arial" w:hAnsi="Arial"/>
          <w:sz w:val="24"/>
        </w:rPr>
        <w:t>4</w:t>
      </w:r>
      <w:r w:rsidRPr="00F1150F">
        <w:rPr>
          <w:rFonts w:ascii="Arial" w:hAnsi="Arial"/>
          <w:sz w:val="24"/>
        </w:rPr>
        <w:t xml:space="preserve">% au mérite </w:t>
      </w:r>
    </w:p>
    <w:p w:rsidP="00F1150F" w:rsidR="00F1150F" w:rsidRDefault="00F1150F" w:rsidRPr="00F1150F">
      <w:pPr>
        <w:ind w:left="1440" w:right="565"/>
        <w:contextualSpacing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numPr>
          <w:ilvl w:val="0"/>
          <w:numId w:val="3"/>
        </w:numPr>
        <w:ind w:right="565"/>
        <w:contextualSpacing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Pour la catégorie Cadre : </w:t>
      </w:r>
      <w:r w:rsidR="009016F9">
        <w:rPr>
          <w:rFonts w:ascii="Arial" w:hAnsi="Arial"/>
          <w:b/>
          <w:sz w:val="24"/>
        </w:rPr>
        <w:t>5</w:t>
      </w:r>
      <w:r w:rsidR="00520BDA" w:rsidRPr="00520BDA">
        <w:rPr>
          <w:rFonts w:ascii="Arial" w:hAnsi="Arial"/>
          <w:b/>
          <w:sz w:val="24"/>
        </w:rPr>
        <w:t>,</w:t>
      </w:r>
      <w:r w:rsidR="009016F9">
        <w:rPr>
          <w:rFonts w:ascii="Arial" w:hAnsi="Arial"/>
          <w:b/>
          <w:sz w:val="24"/>
        </w:rPr>
        <w:t>4</w:t>
      </w:r>
      <w:r w:rsidR="00520BDA">
        <w:rPr>
          <w:rFonts w:ascii="Arial" w:hAnsi="Arial"/>
          <w:b/>
          <w:sz w:val="24"/>
        </w:rPr>
        <w:t xml:space="preserve"> </w:t>
      </w:r>
      <w:r w:rsidRPr="00520BDA">
        <w:rPr>
          <w:rFonts w:ascii="Arial" w:hAnsi="Arial"/>
          <w:b/>
          <w:sz w:val="24"/>
        </w:rPr>
        <w:t>%</w:t>
      </w:r>
      <w:r w:rsidRPr="00F1150F">
        <w:rPr>
          <w:rFonts w:ascii="Arial" w:hAnsi="Arial"/>
          <w:sz w:val="24"/>
        </w:rPr>
        <w:t xml:space="preserve"> répartit de la manière suivante :</w:t>
      </w:r>
    </w:p>
    <w:p w:rsidP="00F1150F" w:rsidR="00F1150F" w:rsidRDefault="009016F9" w:rsidRPr="00F1150F">
      <w:pPr>
        <w:numPr>
          <w:ilvl w:val="1"/>
          <w:numId w:val="3"/>
        </w:numPr>
        <w:ind w:right="565"/>
        <w:contextualSpacing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4,4</w:t>
      </w:r>
      <w:r w:rsidR="00F1150F" w:rsidRPr="00F1150F">
        <w:rPr>
          <w:rFonts w:ascii="Arial" w:hAnsi="Arial"/>
          <w:sz w:val="24"/>
        </w:rPr>
        <w:t xml:space="preserve"> % d’augmentation au général </w:t>
      </w:r>
      <w:r>
        <w:rPr>
          <w:rFonts w:ascii="Arial" w:hAnsi="Arial"/>
          <w:sz w:val="24"/>
        </w:rPr>
        <w:t>et,</w:t>
      </w:r>
    </w:p>
    <w:p w:rsidP="0091701D" w:rsidR="00F1150F" w:rsidRDefault="00520BDA" w:rsidRPr="009016F9">
      <w:pPr>
        <w:numPr>
          <w:ilvl w:val="1"/>
          <w:numId w:val="3"/>
        </w:numPr>
        <w:ind w:right="565"/>
        <w:contextualSpacing/>
        <w:jc w:val="both"/>
        <w:rPr>
          <w:rFonts w:ascii="Arial" w:hAnsi="Arial"/>
          <w:b/>
          <w:sz w:val="24"/>
          <w:u w:val="single"/>
        </w:rPr>
      </w:pPr>
      <w:r w:rsidRPr="009016F9">
        <w:rPr>
          <w:rFonts w:ascii="Arial" w:hAnsi="Arial"/>
          <w:sz w:val="24"/>
        </w:rPr>
        <w:t>1</w:t>
      </w:r>
      <w:r w:rsidR="009016F9" w:rsidRPr="009016F9">
        <w:rPr>
          <w:rFonts w:ascii="Arial" w:hAnsi="Arial"/>
          <w:sz w:val="24"/>
        </w:rPr>
        <w:t xml:space="preserve"> </w:t>
      </w:r>
      <w:r w:rsidRPr="009016F9">
        <w:rPr>
          <w:rFonts w:ascii="Arial" w:hAnsi="Arial"/>
          <w:sz w:val="24"/>
        </w:rPr>
        <w:t xml:space="preserve">% au mérite </w:t>
      </w:r>
    </w:p>
    <w:p w:rsidP="009016F9" w:rsidR="009016F9" w:rsidRDefault="009016F9" w:rsidRPr="009016F9">
      <w:pPr>
        <w:ind w:left="720" w:right="565"/>
        <w:contextualSpacing/>
        <w:jc w:val="both"/>
        <w:rPr>
          <w:rFonts w:ascii="Arial" w:hAnsi="Arial"/>
          <w:b/>
          <w:sz w:val="24"/>
          <w:u w:val="single"/>
        </w:rPr>
      </w:pPr>
    </w:p>
    <w:p w:rsidP="00F1150F" w:rsidR="00F1150F" w:rsidRDefault="003159F3" w:rsidRPr="006E41FD">
      <w:pPr>
        <w:ind w:right="565"/>
        <w:jc w:val="both"/>
        <w:rPr>
          <w:rFonts w:ascii="Arial" w:hAnsi="Arial"/>
          <w:b/>
          <w:sz w:val="24"/>
        </w:rPr>
      </w:pPr>
      <w:r w:rsidRPr="006E41FD">
        <w:rPr>
          <w:rFonts w:ascii="Arial" w:hAnsi="Arial"/>
          <w:b/>
          <w:sz w:val="24"/>
        </w:rPr>
        <w:t>Les augmentations seront versées sur la paie du mois d’avril 2023 avec effet rétroactif au 1</w:t>
      </w:r>
      <w:r w:rsidRPr="006E41FD">
        <w:rPr>
          <w:rFonts w:ascii="Arial" w:hAnsi="Arial"/>
          <w:b/>
          <w:sz w:val="24"/>
          <w:vertAlign w:val="superscript"/>
        </w:rPr>
        <w:t>er</w:t>
      </w:r>
      <w:r w:rsidRPr="006E41FD">
        <w:rPr>
          <w:rFonts w:ascii="Arial" w:hAnsi="Arial"/>
          <w:b/>
          <w:sz w:val="24"/>
        </w:rPr>
        <w:t xml:space="preserve"> janvier 2023.</w:t>
      </w:r>
    </w:p>
    <w:p w:rsidP="00F1150F" w:rsidR="00F1150F" w:rsidRDefault="00F1150F" w:rsidRPr="00F1150F">
      <w:pPr>
        <w:keepNext/>
        <w:keepLines/>
        <w:spacing w:before="480"/>
        <w:outlineLvl w:val="0"/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lang w:eastAsia="en-US"/>
        </w:rPr>
      </w:pPr>
      <w:bookmarkStart w:id="9" w:name="_Toc942768"/>
      <w:bookmarkStart w:id="10" w:name="_Toc97809877"/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 xml:space="preserve">Article </w:t>
      </w:r>
      <w:r w:rsidR="003159F3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4</w:t>
      </w:r>
      <w:r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 xml:space="preserve"> : VERSEMENT D’UNE </w:t>
      </w:r>
      <w:bookmarkEnd w:id="9"/>
      <w:bookmarkEnd w:id="10"/>
      <w:r w:rsidR="003159F3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PRIME DE PARTAGE DE LA VALEUR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b/>
          <w:sz w:val="24"/>
          <w:u w:val="single"/>
        </w:rPr>
      </w:pPr>
    </w:p>
    <w:p w:rsidP="003159F3" w:rsidR="00CF7836" w:rsidRDefault="003159F3" w:rsidRPr="00F1150F">
      <w:pPr>
        <w:ind w:right="56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L’entreprise s’engage à verser au 31 décembre 2023, une prime de partage de la valeur</w:t>
      </w:r>
      <w:r w:rsidR="007F06D0">
        <w:rPr>
          <w:rFonts w:ascii="Arial" w:hAnsi="Arial"/>
          <w:sz w:val="24"/>
        </w:rPr>
        <w:t xml:space="preserve"> d’un montant minimum de 500€.</w:t>
      </w:r>
      <w:r>
        <w:rPr>
          <w:rFonts w:ascii="Arial" w:hAnsi="Arial"/>
          <w:sz w:val="24"/>
        </w:rPr>
        <w:t xml:space="preserve"> </w:t>
      </w:r>
      <w:r w:rsidR="007F06D0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e montant </w:t>
      </w:r>
      <w:r w:rsidR="00551AFF">
        <w:rPr>
          <w:rFonts w:ascii="Arial" w:hAnsi="Arial"/>
          <w:sz w:val="24"/>
        </w:rPr>
        <w:t>définitif</w:t>
      </w:r>
      <w:r w:rsidR="007F06D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sera </w:t>
      </w:r>
      <w:r w:rsidR="00551AFF">
        <w:rPr>
          <w:rFonts w:ascii="Arial" w:hAnsi="Arial"/>
          <w:sz w:val="24"/>
        </w:rPr>
        <w:t>annoncé</w:t>
      </w:r>
      <w:r>
        <w:rPr>
          <w:rFonts w:ascii="Arial" w:hAnsi="Arial"/>
          <w:sz w:val="24"/>
        </w:rPr>
        <w:t xml:space="preserve"> fin d’année 2023.</w:t>
      </w:r>
    </w:p>
    <w:p w:rsidP="00F1150F" w:rsidR="00F1150F" w:rsidRDefault="004D71AC" w:rsidRPr="00F1150F">
      <w:pPr>
        <w:keepNext/>
        <w:keepLines/>
        <w:spacing w:before="480"/>
        <w:outlineLvl w:val="0"/>
        <w:rPr>
          <w:rFonts w:ascii="Arial" w:cstheme="majorBidi" w:eastAsiaTheme="majorEastAsia" w:hAnsi="Arial"/>
          <w:bCs/>
          <w:color w:themeColor="accent1" w:themeShade="BF" w:val="2E74B5"/>
          <w:sz w:val="24"/>
          <w:szCs w:val="28"/>
          <w:u w:val="single"/>
          <w:lang w:eastAsia="en-US"/>
        </w:rPr>
      </w:pPr>
      <w:bookmarkStart w:id="11" w:name="_Toc942770"/>
      <w:bookmarkStart w:id="12" w:name="_Toc97809878"/>
      <w:r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Article </w:t>
      </w:r>
      <w:r w:rsidR="003159F3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>5</w:t>
      </w:r>
      <w:r w:rsidR="00F1150F" w:rsidRPr="00F1150F">
        <w:rPr>
          <w:rFonts w:ascii="Arial" w:cstheme="majorBidi" w:eastAsiaTheme="majorEastAsia" w:hAnsi="Arial"/>
          <w:b/>
          <w:bCs/>
          <w:color w:themeColor="accent1" w:themeShade="BF" w:val="2E74B5"/>
          <w:sz w:val="24"/>
          <w:szCs w:val="28"/>
          <w:u w:val="single"/>
          <w:lang w:eastAsia="en-US"/>
        </w:rPr>
        <w:t xml:space="preserve"> : DEPOT</w:t>
      </w:r>
      <w:bookmarkEnd w:id="11"/>
      <w:bookmarkEnd w:id="12"/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Le présent </w:t>
      </w:r>
      <w:r w:rsidR="006E41FD">
        <w:rPr>
          <w:rFonts w:ascii="Arial" w:hAnsi="Arial"/>
          <w:sz w:val="24"/>
        </w:rPr>
        <w:t>accord</w:t>
      </w:r>
      <w:r w:rsidRPr="00F1150F">
        <w:rPr>
          <w:rFonts w:ascii="Arial" w:hAnsi="Arial"/>
          <w:sz w:val="24"/>
        </w:rPr>
        <w:t xml:space="preserve"> a été établi en nombre suffisant d’exemplaires pour notification à chacune des organisations représentatives dans les conditions prévues à l’article L. 2231-1 et suivants du Code du travail.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  <w:r w:rsidRPr="00F1150F">
        <w:rPr>
          <w:rFonts w:ascii="Arial" w:hAnsi="Arial"/>
          <w:sz w:val="24"/>
        </w:rPr>
        <w:t xml:space="preserve">Le présent </w:t>
      </w:r>
      <w:r w:rsidR="006E41FD">
        <w:rPr>
          <w:rFonts w:ascii="Arial" w:hAnsi="Arial"/>
          <w:sz w:val="24"/>
        </w:rPr>
        <w:t xml:space="preserve">accord </w:t>
      </w:r>
      <w:r w:rsidRPr="00F1150F">
        <w:rPr>
          <w:rFonts w:ascii="Arial" w:hAnsi="Arial"/>
          <w:sz w:val="24"/>
        </w:rPr>
        <w:t xml:space="preserve">sera déposé </w:t>
      </w:r>
      <w:r w:rsidR="00080C63">
        <w:rPr>
          <w:rFonts w:ascii="Arial" w:hAnsi="Arial"/>
          <w:sz w:val="24"/>
        </w:rPr>
        <w:t xml:space="preserve">sur la </w:t>
      </w:r>
      <w:r w:rsidR="00080C63" w:rsidRPr="00080C63">
        <w:rPr>
          <w:rFonts w:ascii="Arial" w:hAnsi="Arial"/>
          <w:sz w:val="24"/>
        </w:rPr>
        <w:t>plateforme de téléprocédure du ministère du Travail</w:t>
      </w:r>
      <w:r w:rsidR="00080C63">
        <w:rPr>
          <w:rFonts w:ascii="Arial" w:hAnsi="Arial"/>
          <w:sz w:val="24"/>
        </w:rPr>
        <w:t xml:space="preserve"> </w:t>
      </w:r>
      <w:r w:rsidRPr="00F1150F">
        <w:rPr>
          <w:rFonts w:ascii="Arial" w:hAnsi="Arial"/>
          <w:sz w:val="24"/>
        </w:rPr>
        <w:t>et au secrétariat du greffe du Conseil de Prud'hommes, dans les conditions légales et réglementaires en vigueur.</w:t>
      </w:r>
    </w:p>
    <w:p w:rsidP="00F1150F" w:rsidR="00F1150F" w:rsidRDefault="00F1150F" w:rsidRPr="00F1150F">
      <w:pPr>
        <w:ind w:right="565"/>
        <w:jc w:val="both"/>
        <w:rPr>
          <w:rFonts w:ascii="Arial" w:hAnsi="Arial"/>
          <w:sz w:val="24"/>
        </w:rPr>
      </w:pPr>
    </w:p>
    <w:p w:rsidR="00D27F55" w:rsidRDefault="00D27F55">
      <w:pPr>
        <w:spacing w:after="1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br w:type="page"/>
      </w:r>
    </w:p>
    <w:p w:rsidP="00F1150F" w:rsidR="00CF7836" w:rsidRDefault="00CF7836">
      <w:pPr>
        <w:ind w:right="565"/>
        <w:jc w:val="both"/>
        <w:rPr>
          <w:rFonts w:ascii="Arial" w:cs="Arial" w:hAnsi="Arial"/>
          <w:sz w:val="24"/>
          <w:szCs w:val="24"/>
        </w:rPr>
      </w:pPr>
    </w:p>
    <w:p w:rsidP="00F1150F" w:rsidR="00F1150F" w:rsidRDefault="00F1150F" w:rsidRPr="00F1150F">
      <w:pPr>
        <w:ind w:right="565"/>
        <w:jc w:val="both"/>
        <w:rPr>
          <w:rFonts w:ascii="Arial" w:cs="Arial" w:hAnsi="Arial"/>
          <w:sz w:val="24"/>
          <w:szCs w:val="24"/>
        </w:rPr>
      </w:pPr>
      <w:r w:rsidRPr="00F1150F">
        <w:rPr>
          <w:rFonts w:ascii="Arial" w:cs="Arial" w:hAnsi="Arial"/>
          <w:sz w:val="24"/>
          <w:szCs w:val="24"/>
        </w:rPr>
        <w:t xml:space="preserve">En vertu de l’article L. 2231-5-1 du Code du travail, cet accord </w:t>
      </w:r>
      <w:r w:rsidRPr="00F1150F">
        <w:rPr>
          <w:rFonts w:ascii="Arial" w:hAnsi="Arial"/>
          <w:sz w:val="24"/>
        </w:rPr>
        <w:t>sera</w:t>
      </w:r>
      <w:r w:rsidRPr="00F1150F">
        <w:rPr>
          <w:rFonts w:ascii="Arial" w:cs="Arial" w:hAnsi="Arial"/>
          <w:sz w:val="24"/>
          <w:szCs w:val="24"/>
        </w:rPr>
        <w:t xml:space="preserve"> rendu public et versé dans une base de données nationale, dont le contenu est publié en ligne.</w:t>
      </w:r>
    </w:p>
    <w:p w:rsidP="003E484D" w:rsidR="00A76D2F" w:rsidRDefault="00A76D2F">
      <w:pPr>
        <w:tabs>
          <w:tab w:pos="6379" w:val="left"/>
        </w:tabs>
        <w:ind w:right="565"/>
        <w:rPr>
          <w:rFonts w:ascii="Arial" w:hAnsi="Arial"/>
          <w:sz w:val="24"/>
        </w:rPr>
      </w:pPr>
    </w:p>
    <w:p w:rsidP="003E484D" w:rsidR="005F1B6C" w:rsidRDefault="005F1B6C">
      <w:pPr>
        <w:tabs>
          <w:tab w:pos="6379" w:val="left"/>
        </w:tabs>
        <w:ind w:right="565"/>
        <w:rPr>
          <w:rFonts w:ascii="Arial" w:hAnsi="Arial"/>
          <w:sz w:val="24"/>
        </w:rPr>
      </w:pPr>
    </w:p>
    <w:p w:rsidP="005F1B6C" w:rsidR="005F1B6C" w:rsidRDefault="005F1B6C">
      <w:pPr>
        <w:tabs>
          <w:tab w:pos="6379" w:val="left"/>
        </w:tabs>
        <w:ind w:right="565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Fait à Strasbourg, le </w:t>
      </w:r>
      <w:r w:rsidR="00CF7836">
        <w:rPr>
          <w:rFonts w:ascii="Arial" w:hAnsi="Arial"/>
          <w:sz w:val="24"/>
        </w:rPr>
        <w:t>17</w:t>
      </w:r>
      <w:r>
        <w:rPr>
          <w:rFonts w:ascii="Arial" w:hAnsi="Arial"/>
          <w:sz w:val="24"/>
        </w:rPr>
        <w:t xml:space="preserve"> mars 202</w:t>
      </w:r>
      <w:r w:rsidR="003159F3">
        <w:rPr>
          <w:rFonts w:ascii="Arial" w:hAnsi="Arial"/>
          <w:sz w:val="24"/>
        </w:rPr>
        <w:t>3</w:t>
      </w:r>
    </w:p>
    <w:p w:rsidP="005F1B6C" w:rsidR="00CF7836" w:rsidRDefault="00CF7836">
      <w:pPr>
        <w:tabs>
          <w:tab w:pos="6379" w:val="left"/>
        </w:tabs>
        <w:ind w:right="565"/>
        <w:rPr>
          <w:rFonts w:ascii="Arial" w:hAnsi="Arial"/>
          <w:sz w:val="24"/>
        </w:rPr>
      </w:pPr>
    </w:p>
    <w:p w:rsidP="005F1B6C" w:rsidR="00CF7836" w:rsidRDefault="00CF7836">
      <w:pPr>
        <w:tabs>
          <w:tab w:pos="6379" w:val="left"/>
        </w:tabs>
        <w:ind w:right="565"/>
        <w:rPr>
          <w:rFonts w:ascii="Arial" w:hAnsi="Arial"/>
          <w:sz w:val="24"/>
        </w:rPr>
      </w:pPr>
    </w:p>
    <w:p w:rsidP="003E484D" w:rsidR="005F1B6C" w:rsidRDefault="005F1B6C">
      <w:pPr>
        <w:tabs>
          <w:tab w:pos="6379" w:val="left"/>
        </w:tabs>
        <w:ind w:right="565"/>
        <w:rPr>
          <w:rFonts w:ascii="Arial" w:hAnsi="Arial"/>
          <w:sz w:val="24"/>
        </w:rPr>
      </w:pPr>
    </w:p>
    <w:p w:rsidP="00FD48DA" w:rsidR="00FD48DA" w:rsidRDefault="00FD48DA" w:rsidRPr="00616E76">
      <w:pPr>
        <w:spacing w:before="170"/>
        <w:jc w:val="both"/>
        <w:rPr>
          <w:rFonts w:ascii="Arial" w:cs="Arial" w:eastAsia="Calibri" w:hAnsi="Arial"/>
          <w:b/>
          <w:sz w:val="24"/>
          <w:szCs w:val="24"/>
          <w:lang w:eastAsia="en-US"/>
        </w:rPr>
      </w:pPr>
      <w:r w:rsidRPr="00616E76">
        <w:rPr>
          <w:rFonts w:ascii="Arial" w:cs="Arial" w:eastAsia="Calibri" w:hAnsi="Arial"/>
          <w:b/>
          <w:sz w:val="24"/>
          <w:szCs w:val="24"/>
          <w:lang w:eastAsia="en-US"/>
        </w:rPr>
        <w:t xml:space="preserve">Signatures : </w:t>
      </w:r>
    </w:p>
    <w:p w:rsidP="00FD48DA" w:rsidR="00FD48DA" w:rsidRDefault="00FD48DA" w:rsidRPr="00616E76">
      <w:pPr>
        <w:spacing w:before="170"/>
        <w:jc w:val="both"/>
        <w:rPr>
          <w:rFonts w:ascii="Arial" w:cs="Arial" w:eastAsia="Calibri" w:hAnsi="Arial"/>
          <w:sz w:val="22"/>
          <w:szCs w:val="22"/>
          <w:lang w:eastAsia="en-US"/>
        </w:rPr>
      </w:pPr>
      <w:r w:rsidRPr="00616E76">
        <w:rPr>
          <w:rFonts w:ascii="Arial" w:cs="Arial" w:eastAsia="Calibri" w:hAnsi="Arial"/>
          <w:sz w:val="22"/>
          <w:szCs w:val="22"/>
          <w:u w:val="single"/>
          <w:lang w:eastAsia="en-US"/>
        </w:rPr>
        <w:t>Pour la Direction</w:t>
      </w:r>
      <w:r w:rsidRPr="00616E76">
        <w:rPr>
          <w:rFonts w:ascii="Arial" w:cs="Arial" w:eastAsia="Calibri" w:hAnsi="Arial"/>
          <w:sz w:val="22"/>
          <w:szCs w:val="22"/>
          <w:lang w:eastAsia="en-US"/>
        </w:rPr>
        <w:t xml:space="preserve">       </w:t>
      </w:r>
      <w:r w:rsidRPr="00616E76">
        <w:rPr>
          <w:rFonts w:ascii="Arial" w:cs="Arial" w:eastAsia="Calibri" w:hAnsi="Arial"/>
          <w:sz w:val="22"/>
          <w:szCs w:val="22"/>
          <w:lang w:eastAsia="en-US"/>
        </w:rPr>
        <w:tab/>
        <w:t xml:space="preserve">                   </w:t>
      </w:r>
      <w:r w:rsidRPr="00616E76">
        <w:rPr>
          <w:rFonts w:ascii="Arial" w:cs="Arial" w:eastAsia="Calibri" w:hAnsi="Arial"/>
          <w:sz w:val="22"/>
          <w:szCs w:val="22"/>
          <w:u w:val="single"/>
          <w:lang w:eastAsia="en-US"/>
        </w:rPr>
        <w:t>Pour la C.F.D.T</w:t>
      </w:r>
      <w:r w:rsidRPr="00616E76">
        <w:rPr>
          <w:rFonts w:ascii="Arial" w:cs="Arial" w:eastAsia="Calibri" w:hAnsi="Arial"/>
          <w:sz w:val="22"/>
          <w:szCs w:val="22"/>
          <w:lang w:eastAsia="en-US"/>
        </w:rPr>
        <w:t>.</w:t>
      </w:r>
      <w:r w:rsidRPr="00616E76">
        <w:rPr>
          <w:rFonts w:ascii="Arial" w:cs="Arial" w:eastAsia="Calibri" w:hAnsi="Arial"/>
          <w:sz w:val="22"/>
          <w:szCs w:val="22"/>
          <w:lang w:eastAsia="en-US"/>
        </w:rPr>
        <w:tab/>
      </w:r>
      <w:r w:rsidRPr="00616E76">
        <w:rPr>
          <w:rFonts w:ascii="Arial" w:cs="Arial" w:eastAsia="Calibri" w:hAnsi="Arial"/>
          <w:sz w:val="22"/>
          <w:szCs w:val="22"/>
          <w:lang w:eastAsia="en-US"/>
        </w:rPr>
        <w:tab/>
      </w:r>
      <w:r w:rsidR="00683A31">
        <w:rPr>
          <w:rFonts w:ascii="Arial" w:cs="Arial" w:eastAsia="Calibri" w:hAnsi="Arial"/>
          <w:sz w:val="22"/>
          <w:szCs w:val="22"/>
          <w:lang w:eastAsia="en-US"/>
        </w:rPr>
        <w:tab/>
      </w:r>
      <w:r w:rsidRPr="00616E76">
        <w:rPr>
          <w:rFonts w:ascii="Arial" w:cs="Arial" w:eastAsia="Calibri" w:hAnsi="Arial"/>
          <w:sz w:val="22"/>
          <w:szCs w:val="22"/>
          <w:u w:val="single"/>
          <w:lang w:eastAsia="en-US"/>
        </w:rPr>
        <w:t>Pour la C.G.T</w:t>
      </w:r>
    </w:p>
    <w:p w:rsidP="00FD48DA" w:rsidR="00FD48DA" w:rsidRDefault="00FD48DA">
      <w:pPr>
        <w:spacing w:before="170"/>
        <w:jc w:val="both"/>
        <w:rPr>
          <w:rFonts w:ascii="Arial" w:cs="Arial" w:eastAsia="Calibri" w:hAnsi="Arial"/>
          <w:sz w:val="24"/>
          <w:szCs w:val="24"/>
          <w:lang w:eastAsia="en-US"/>
        </w:rPr>
      </w:pPr>
    </w:p>
    <w:p w:rsidP="00FD48DA" w:rsidR="003159F3" w:rsidRDefault="003159F3">
      <w:pPr>
        <w:spacing w:before="170"/>
        <w:jc w:val="both"/>
        <w:rPr>
          <w:rFonts w:ascii="Arial" w:cs="Arial" w:eastAsia="Calibri" w:hAnsi="Arial"/>
          <w:sz w:val="24"/>
          <w:szCs w:val="24"/>
          <w:lang w:eastAsia="en-US"/>
        </w:rPr>
      </w:pPr>
    </w:p>
    <w:p w:rsidP="00FD48DA" w:rsidR="003159F3" w:rsidRDefault="003159F3" w:rsidRPr="00616E76">
      <w:pPr>
        <w:spacing w:before="170"/>
        <w:jc w:val="both"/>
        <w:rPr>
          <w:rFonts w:ascii="Arial" w:cs="Arial" w:eastAsia="Calibri" w:hAnsi="Arial"/>
          <w:sz w:val="24"/>
          <w:szCs w:val="24"/>
          <w:lang w:eastAsia="en-US"/>
        </w:rPr>
      </w:pPr>
    </w:p>
    <w:p w:rsidP="00A76D2F" w:rsidR="00A76D2F" w:rsidRDefault="00A76D2F">
      <w:pPr>
        <w:spacing w:before="170"/>
        <w:jc w:val="both"/>
        <w:rPr>
          <w:rFonts w:ascii="Arial" w:eastAsia="Calibri" w:hAnsi="Arial"/>
          <w:sz w:val="22"/>
          <w:szCs w:val="22"/>
          <w:lang w:eastAsia="en-US"/>
        </w:rPr>
      </w:pPr>
    </w:p>
    <w:p w:rsidP="00A76D2F" w:rsidR="003159F3" w:rsidRDefault="003159F3">
      <w:pPr>
        <w:spacing w:before="170"/>
        <w:jc w:val="both"/>
        <w:rPr>
          <w:rFonts w:ascii="Arial" w:eastAsia="Calibri" w:hAnsi="Arial"/>
          <w:sz w:val="22"/>
          <w:szCs w:val="22"/>
          <w:lang w:eastAsia="en-US"/>
        </w:rPr>
      </w:pPr>
    </w:p>
    <w:p w:rsidP="00A76D2F" w:rsidR="00CF7836" w:rsidRDefault="00CF7836">
      <w:pPr>
        <w:spacing w:before="170"/>
        <w:jc w:val="both"/>
        <w:rPr>
          <w:rFonts w:ascii="Arial" w:eastAsia="Calibri" w:hAnsi="Arial"/>
          <w:sz w:val="22"/>
          <w:szCs w:val="22"/>
          <w:lang w:eastAsia="en-US"/>
        </w:rPr>
      </w:pPr>
    </w:p>
    <w:p w:rsidP="00A76D2F" w:rsidR="00A76D2F" w:rsidRDefault="00A76D2F">
      <w:pPr>
        <w:tabs>
          <w:tab w:pos="3419" w:val="left"/>
          <w:tab w:leader="dot" w:pos="4536" w:val="left"/>
        </w:tabs>
        <w:spacing w:before="170"/>
        <w:ind w:left="3240"/>
        <w:jc w:val="both"/>
        <w:rPr>
          <w:rFonts w:ascii="Arial" w:eastAsia="Calibri" w:hAnsi="Arial"/>
          <w:sz w:val="22"/>
          <w:szCs w:val="22"/>
          <w:lang w:eastAsia="en-US"/>
        </w:rPr>
      </w:pPr>
    </w:p>
    <w:p w:rsidP="00A76D2F" w:rsidR="00A76D2F" w:rsidRDefault="00A76D2F">
      <w:pPr>
        <w:tabs>
          <w:tab w:pos="3419" w:val="left"/>
          <w:tab w:leader="dot" w:pos="4536" w:val="left"/>
        </w:tabs>
        <w:spacing w:before="170"/>
        <w:ind w:left="3240"/>
        <w:jc w:val="both"/>
        <w:rPr>
          <w:rFonts w:ascii="Arial" w:eastAsia="Calibri" w:hAnsi="Arial"/>
          <w:sz w:val="22"/>
          <w:szCs w:val="22"/>
          <w:lang w:eastAsia="en-US"/>
        </w:rPr>
      </w:pPr>
    </w:p>
    <w:p w:rsidP="00A76D2F" w:rsidR="009F6006" w:rsidRDefault="009F6006" w:rsidRPr="003E484D">
      <w:pPr>
        <w:tabs>
          <w:tab w:pos="4703" w:val="center"/>
          <w:tab w:pos="9406" w:val="right"/>
        </w:tabs>
        <w:jc w:val="both"/>
        <w:rPr>
          <w:rFonts w:ascii="Arial" w:hAnsi="Arial"/>
          <w:sz w:val="24"/>
        </w:rPr>
      </w:pPr>
    </w:p>
    <w:sectPr w:rsidR="009F6006" w:rsidRPr="003E484D" w:rsidSect="00E12B50">
      <w:footerReference r:id="rId11" w:type="even"/>
      <w:footerReference r:id="rId12" w:type="default"/>
      <w:pgSz w:code="9" w:h="16838" w:w="11906"/>
      <w:pgMar w:bottom="0" w:footer="720" w:gutter="0" w:header="720" w:left="1701" w:right="851" w:top="9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8B5" w:rsidRDefault="00E258B5" w:rsidP="00896FF5">
      <w:r>
        <w:separator/>
      </w:r>
    </w:p>
  </w:endnote>
  <w:endnote w:type="continuationSeparator" w:id="0">
    <w:p w:rsidR="00E258B5" w:rsidRDefault="00E258B5" w:rsidP="0089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F01E7A" w:rsidRDefault="009E3188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:rsidR="00F01E7A" w:rsidRDefault="003E6ACE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-551230577"/>
      <w:docPartObj>
        <w:docPartGallery w:val="Page Numbers (Bottom of Page)"/>
        <w:docPartUnique/>
      </w:docPartObj>
    </w:sdtPr>
    <w:sdtEndPr/>
    <w:sdtContent>
      <w:p w:rsidR="00E02CA2" w:rsidRDefault="003E6ACE">
        <w:pPr>
          <w:pStyle w:val="Pieddepage"/>
          <w:jc w:val="right"/>
        </w:pPr>
      </w:p>
      <w:p w:rsidR="00547D62" w:rsidRDefault="009E31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E9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896FF5" w:rsidR="00E258B5" w:rsidRDefault="00E258B5">
      <w:r>
        <w:separator/>
      </w:r>
    </w:p>
  </w:footnote>
  <w:footnote w:id="0" w:type="continuationSeparator">
    <w:p w:rsidP="00896FF5" w:rsidR="00E258B5" w:rsidRDefault="00E258B5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6047D3E"/>
    <w:multiLevelType w:val="hybridMultilevel"/>
    <w:tmpl w:val="0BBA52FE"/>
    <w:lvl w:ilvl="0" w:tplc="47E0D3A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5ABEC66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118444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0501E66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9C4A356A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6F0CA68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19255FC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0532CF7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5343E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93D0EF3"/>
    <w:multiLevelType w:val="hybridMultilevel"/>
    <w:tmpl w:val="47DC2FDA"/>
    <w:lvl w:ilvl="0" w:tplc="234EC55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45CC35D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BF7A65B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9D62401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386A846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A0B020D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F328016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950A213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514A170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">
    <w:nsid w:val="0BC536E6"/>
    <w:multiLevelType w:val="hybridMultilevel"/>
    <w:tmpl w:val="87EE500A"/>
    <w:lvl w:ilvl="0" w:tplc="E7DA1E5A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9B4E92E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1854CE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662882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DC4951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099290C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38A45574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9D08DC6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C94100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1D67194"/>
    <w:multiLevelType w:val="hybridMultilevel"/>
    <w:tmpl w:val="FA16E4E2"/>
    <w:lvl w:ilvl="0" w:tplc="67A0F19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C5ACF99E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ABCACE5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E28B4C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B518E48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649E876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B7C75E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F16B87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D447BC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210086"/>
    <w:multiLevelType w:val="hybridMultilevel"/>
    <w:tmpl w:val="8514B928"/>
    <w:lvl w:ilvl="0" w:tplc="DEDEA4D2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F7A4ECC"/>
    <w:multiLevelType w:val="hybridMultilevel"/>
    <w:tmpl w:val="6EBC7A08"/>
    <w:lvl w:ilvl="0" w:tplc="3878B84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6D331FA"/>
    <w:multiLevelType w:val="hybridMultilevel"/>
    <w:tmpl w:val="4B9884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B603F54"/>
    <w:multiLevelType w:val="hybridMultilevel"/>
    <w:tmpl w:val="98BE517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D1527B0"/>
    <w:multiLevelType w:val="hybridMultilevel"/>
    <w:tmpl w:val="E7149238"/>
    <w:lvl w:ilvl="0" w:tplc="00783A62">
      <w:start w:val="1"/>
      <w:numFmt w:val="decimal"/>
      <w:lvlText w:val="%1)"/>
      <w:lvlJc w:val="left"/>
      <w:pPr>
        <w:ind w:hanging="360" w:left="1065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785"/>
      </w:pPr>
    </w:lvl>
    <w:lvl w:ilvl="2" w:tentative="1" w:tplc="040C001B">
      <w:start w:val="1"/>
      <w:numFmt w:val="lowerRoman"/>
      <w:lvlText w:val="%3."/>
      <w:lvlJc w:val="right"/>
      <w:pPr>
        <w:ind w:hanging="180" w:left="2505"/>
      </w:pPr>
    </w:lvl>
    <w:lvl w:ilvl="3" w:tentative="1" w:tplc="040C000F">
      <w:start w:val="1"/>
      <w:numFmt w:val="decimal"/>
      <w:lvlText w:val="%4."/>
      <w:lvlJc w:val="left"/>
      <w:pPr>
        <w:ind w:hanging="360" w:left="3225"/>
      </w:pPr>
    </w:lvl>
    <w:lvl w:ilvl="4" w:tentative="1" w:tplc="040C0019">
      <w:start w:val="1"/>
      <w:numFmt w:val="lowerLetter"/>
      <w:lvlText w:val="%5."/>
      <w:lvlJc w:val="left"/>
      <w:pPr>
        <w:ind w:hanging="360" w:left="3945"/>
      </w:pPr>
    </w:lvl>
    <w:lvl w:ilvl="5" w:tentative="1" w:tplc="040C001B">
      <w:start w:val="1"/>
      <w:numFmt w:val="lowerRoman"/>
      <w:lvlText w:val="%6."/>
      <w:lvlJc w:val="right"/>
      <w:pPr>
        <w:ind w:hanging="180" w:left="4665"/>
      </w:pPr>
    </w:lvl>
    <w:lvl w:ilvl="6" w:tentative="1" w:tplc="040C000F">
      <w:start w:val="1"/>
      <w:numFmt w:val="decimal"/>
      <w:lvlText w:val="%7."/>
      <w:lvlJc w:val="left"/>
      <w:pPr>
        <w:ind w:hanging="360" w:left="5385"/>
      </w:pPr>
    </w:lvl>
    <w:lvl w:ilvl="7" w:tentative="1" w:tplc="040C0019">
      <w:start w:val="1"/>
      <w:numFmt w:val="lowerLetter"/>
      <w:lvlText w:val="%8."/>
      <w:lvlJc w:val="left"/>
      <w:pPr>
        <w:ind w:hanging="360" w:left="6105"/>
      </w:pPr>
    </w:lvl>
    <w:lvl w:ilvl="8" w:tentative="1" w:tplc="040C001B">
      <w:start w:val="1"/>
      <w:numFmt w:val="lowerRoman"/>
      <w:lvlText w:val="%9."/>
      <w:lvlJc w:val="right"/>
      <w:pPr>
        <w:ind w:hanging="180" w:left="6825"/>
      </w:pPr>
    </w:lvl>
  </w:abstractNum>
  <w:abstractNum w15:restartNumberingAfterBreak="0" w:abstractNumId="9">
    <w:nsid w:val="381D7961"/>
    <w:multiLevelType w:val="hybridMultilevel"/>
    <w:tmpl w:val="A0E02D90"/>
    <w:lvl w:ilvl="0" w:tplc="319461F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426A608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353A63B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F23805D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9618A20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8C08A48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8EF2539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30C2EF6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CAAE3C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0">
    <w:nsid w:val="4A2704CB"/>
    <w:multiLevelType w:val="hybridMultilevel"/>
    <w:tmpl w:val="45C4CBD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1D8E43B6">
      <w:start w:val="20"/>
      <w:numFmt w:val="bullet"/>
      <w:lvlText w:val=""/>
      <w:lvlJc w:val="left"/>
      <w:pPr>
        <w:ind w:hanging="360" w:left="2160"/>
      </w:pPr>
      <w:rPr>
        <w:rFonts w:ascii="Wingdings" w:cs="Times New Roman" w:eastAsia="Times New Roman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1">
    <w:nsid w:val="4B2F155B"/>
    <w:multiLevelType w:val="hybridMultilevel"/>
    <w:tmpl w:val="D23E4164"/>
    <w:lvl w:ilvl="0" w:tplc="9FAADA82">
      <w:start w:val="2"/>
      <w:numFmt w:val="bullet"/>
      <w:lvlText w:val="-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84D5A84"/>
    <w:multiLevelType w:val="hybridMultilevel"/>
    <w:tmpl w:val="E1702828"/>
    <w:lvl w:ilvl="0" w:tplc="0A94171C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0723B40"/>
    <w:multiLevelType w:val="hybridMultilevel"/>
    <w:tmpl w:val="9EBE665C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7A61417"/>
    <w:multiLevelType w:val="hybridMultilevel"/>
    <w:tmpl w:val="E8DE099A"/>
    <w:lvl w:ilvl="0" w:tplc="DD36045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AC18B38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07A377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3434F52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04347F1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0294460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1676063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81CE4D3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3F9A665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5">
    <w:nsid w:val="709D0D29"/>
    <w:multiLevelType w:val="hybridMultilevel"/>
    <w:tmpl w:val="16008010"/>
    <w:lvl w:ilvl="0" w:tplc="6FFECA36">
      <w:start w:val="3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  <w:num w:numId="15">
    <w:abstractNumId w:val="10"/>
  </w:num>
  <w:num w:numId="16">
    <w:abstractNumId w:val="1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9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DA"/>
    <w:rsid w:val="00004545"/>
    <w:rsid w:val="0001510C"/>
    <w:rsid w:val="000173B7"/>
    <w:rsid w:val="00053CBC"/>
    <w:rsid w:val="00057CC0"/>
    <w:rsid w:val="00062DE6"/>
    <w:rsid w:val="00070D9E"/>
    <w:rsid w:val="00080C63"/>
    <w:rsid w:val="00085DF2"/>
    <w:rsid w:val="000F45BE"/>
    <w:rsid w:val="00144988"/>
    <w:rsid w:val="00160A2E"/>
    <w:rsid w:val="00173612"/>
    <w:rsid w:val="001A5BA0"/>
    <w:rsid w:val="001C49F4"/>
    <w:rsid w:val="002005AD"/>
    <w:rsid w:val="00211B04"/>
    <w:rsid w:val="002A7D01"/>
    <w:rsid w:val="002C1BD8"/>
    <w:rsid w:val="002C41AD"/>
    <w:rsid w:val="002D647B"/>
    <w:rsid w:val="003159F3"/>
    <w:rsid w:val="003633EE"/>
    <w:rsid w:val="003A3B81"/>
    <w:rsid w:val="003A7380"/>
    <w:rsid w:val="003C151B"/>
    <w:rsid w:val="003E35D3"/>
    <w:rsid w:val="003E484D"/>
    <w:rsid w:val="003E6ACE"/>
    <w:rsid w:val="004545E8"/>
    <w:rsid w:val="004D1D3E"/>
    <w:rsid w:val="004D53F9"/>
    <w:rsid w:val="004D71AC"/>
    <w:rsid w:val="00506C54"/>
    <w:rsid w:val="00510AAE"/>
    <w:rsid w:val="00520713"/>
    <w:rsid w:val="00520BDA"/>
    <w:rsid w:val="00551AFF"/>
    <w:rsid w:val="00561212"/>
    <w:rsid w:val="00583C3F"/>
    <w:rsid w:val="005B36CE"/>
    <w:rsid w:val="005E0634"/>
    <w:rsid w:val="005E34A8"/>
    <w:rsid w:val="005F1B6C"/>
    <w:rsid w:val="00611DD5"/>
    <w:rsid w:val="00630389"/>
    <w:rsid w:val="0065451F"/>
    <w:rsid w:val="00683A31"/>
    <w:rsid w:val="006A0E28"/>
    <w:rsid w:val="006B29EE"/>
    <w:rsid w:val="006E41FD"/>
    <w:rsid w:val="006F5FC0"/>
    <w:rsid w:val="0070770F"/>
    <w:rsid w:val="0070771C"/>
    <w:rsid w:val="00727110"/>
    <w:rsid w:val="00746037"/>
    <w:rsid w:val="0079504E"/>
    <w:rsid w:val="007B22B3"/>
    <w:rsid w:val="007F06D0"/>
    <w:rsid w:val="007F1666"/>
    <w:rsid w:val="007F7340"/>
    <w:rsid w:val="007F73E6"/>
    <w:rsid w:val="008225ED"/>
    <w:rsid w:val="008311CC"/>
    <w:rsid w:val="00837F76"/>
    <w:rsid w:val="008945F2"/>
    <w:rsid w:val="00896E17"/>
    <w:rsid w:val="00896FF5"/>
    <w:rsid w:val="008B25C8"/>
    <w:rsid w:val="008C4E40"/>
    <w:rsid w:val="008C5D1E"/>
    <w:rsid w:val="008E6003"/>
    <w:rsid w:val="008F0B6D"/>
    <w:rsid w:val="008F2D47"/>
    <w:rsid w:val="009016F9"/>
    <w:rsid w:val="00910D67"/>
    <w:rsid w:val="00953272"/>
    <w:rsid w:val="00965678"/>
    <w:rsid w:val="00972A39"/>
    <w:rsid w:val="00984F00"/>
    <w:rsid w:val="00993CBA"/>
    <w:rsid w:val="009E3188"/>
    <w:rsid w:val="009F6006"/>
    <w:rsid w:val="00A03FB3"/>
    <w:rsid w:val="00A24AEE"/>
    <w:rsid w:val="00A2682B"/>
    <w:rsid w:val="00A42959"/>
    <w:rsid w:val="00A432BA"/>
    <w:rsid w:val="00A60C6D"/>
    <w:rsid w:val="00A76D2F"/>
    <w:rsid w:val="00A858CF"/>
    <w:rsid w:val="00A87495"/>
    <w:rsid w:val="00A94405"/>
    <w:rsid w:val="00AE7954"/>
    <w:rsid w:val="00AF79C9"/>
    <w:rsid w:val="00B6612B"/>
    <w:rsid w:val="00B74498"/>
    <w:rsid w:val="00BA0914"/>
    <w:rsid w:val="00BB097C"/>
    <w:rsid w:val="00BD171D"/>
    <w:rsid w:val="00BD28DE"/>
    <w:rsid w:val="00BF417A"/>
    <w:rsid w:val="00BF54B4"/>
    <w:rsid w:val="00BF6647"/>
    <w:rsid w:val="00C13276"/>
    <w:rsid w:val="00C14C73"/>
    <w:rsid w:val="00C2581A"/>
    <w:rsid w:val="00C3293B"/>
    <w:rsid w:val="00C508C3"/>
    <w:rsid w:val="00C61CB2"/>
    <w:rsid w:val="00C84216"/>
    <w:rsid w:val="00C8788E"/>
    <w:rsid w:val="00CC1410"/>
    <w:rsid w:val="00CC4F32"/>
    <w:rsid w:val="00CE13D0"/>
    <w:rsid w:val="00CF7600"/>
    <w:rsid w:val="00CF7836"/>
    <w:rsid w:val="00D177BC"/>
    <w:rsid w:val="00D22649"/>
    <w:rsid w:val="00D27F55"/>
    <w:rsid w:val="00D66FA6"/>
    <w:rsid w:val="00D82672"/>
    <w:rsid w:val="00DB5D67"/>
    <w:rsid w:val="00DD01C0"/>
    <w:rsid w:val="00E04141"/>
    <w:rsid w:val="00E12B50"/>
    <w:rsid w:val="00E17085"/>
    <w:rsid w:val="00E258B5"/>
    <w:rsid w:val="00E27205"/>
    <w:rsid w:val="00E340CC"/>
    <w:rsid w:val="00E54345"/>
    <w:rsid w:val="00E67E6C"/>
    <w:rsid w:val="00E81A54"/>
    <w:rsid w:val="00E953CE"/>
    <w:rsid w:val="00EB685D"/>
    <w:rsid w:val="00EC2EF1"/>
    <w:rsid w:val="00EE3E9C"/>
    <w:rsid w:val="00EF1AD4"/>
    <w:rsid w:val="00F07393"/>
    <w:rsid w:val="00F1150F"/>
    <w:rsid w:val="00F2017B"/>
    <w:rsid w:val="00F25B05"/>
    <w:rsid w:val="00FD48DA"/>
    <w:rsid w:val="00FE180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39568652"/>
  <w15:chartTrackingRefBased/>
  <w15:docId w15:val="{4B60A5D7-41FA-4278-9A7E-5E78A934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/>
        <w:jc w:val="both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D48DA"/>
    <w:pPr>
      <w:spacing w:after="0"/>
      <w:jc w:val="left"/>
    </w:pPr>
    <w:rPr>
      <w:rFonts w:ascii="Times New Roman" w:cs="Times New Roman" w:eastAsia="Times New Roman" w:hAnsi="Times New Roman"/>
      <w:sz w:val="20"/>
      <w:szCs w:val="20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D177BC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link w:val="TitreCar"/>
    <w:qFormat/>
    <w:rsid w:val="00FD48DA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center"/>
    </w:pPr>
    <w:rPr>
      <w:rFonts w:ascii="Arial" w:cs="Arial" w:hAnsi="Arial"/>
      <w:b/>
      <w:bCs/>
      <w:sz w:val="36"/>
      <w:szCs w:val="36"/>
    </w:rPr>
  </w:style>
  <w:style w:customStyle="1" w:styleId="TitreCar" w:type="character">
    <w:name w:val="Titre Car"/>
    <w:basedOn w:val="Policepardfaut"/>
    <w:link w:val="Titre"/>
    <w:rsid w:val="00FD48DA"/>
    <w:rPr>
      <w:rFonts w:ascii="Arial" w:cs="Arial" w:eastAsia="Times New Roman" w:hAnsi="Arial"/>
      <w:b/>
      <w:bCs/>
      <w:sz w:val="36"/>
      <w:szCs w:val="36"/>
      <w:lang w:eastAsia="fr-FR"/>
    </w:rPr>
  </w:style>
  <w:style w:styleId="Pieddepage" w:type="paragraph">
    <w:name w:val="footer"/>
    <w:basedOn w:val="Normal"/>
    <w:link w:val="PieddepageCar"/>
    <w:uiPriority w:val="99"/>
    <w:rsid w:val="00FD48DA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D48DA"/>
    <w:rPr>
      <w:rFonts w:ascii="Times New Roman" w:cs="Times New Roman" w:eastAsia="Times New Roman" w:hAnsi="Times New Roman"/>
      <w:sz w:val="20"/>
      <w:szCs w:val="20"/>
      <w:lang w:eastAsia="fr-FR"/>
    </w:rPr>
  </w:style>
  <w:style w:styleId="Numrodepage" w:type="character">
    <w:name w:val="page number"/>
    <w:basedOn w:val="Policepardfaut"/>
    <w:rsid w:val="00FD48DA"/>
  </w:style>
  <w:style w:styleId="Paragraphedeliste" w:type="paragraph">
    <w:name w:val="List Paragraph"/>
    <w:basedOn w:val="Normal"/>
    <w:uiPriority w:val="34"/>
    <w:qFormat/>
    <w:rsid w:val="00FD48DA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896FF5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896FF5"/>
    <w:rPr>
      <w:rFonts w:ascii="Times New Roman" w:cs="Times New Roman" w:eastAsia="Times New Roman" w:hAnsi="Times New Roman"/>
      <w:sz w:val="20"/>
      <w:szCs w:val="20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8F2D47"/>
    <w:pPr>
      <w:spacing w:after="100" w:afterAutospacing="1" w:before="100" w:beforeAutospacing="1"/>
    </w:pPr>
    <w:rPr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005AD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005AD"/>
    <w:rPr>
      <w:rFonts w:ascii="Segoe UI" w:cs="Segoe UI" w:eastAsia="Times New Roman" w:hAnsi="Segoe UI"/>
      <w:sz w:val="18"/>
      <w:szCs w:val="18"/>
      <w:lang w:eastAsia="fr-FR"/>
    </w:rPr>
  </w:style>
  <w:style w:styleId="Lienhypertexte" w:type="character">
    <w:name w:val="Hyperlink"/>
    <w:basedOn w:val="Policepardfaut"/>
    <w:uiPriority w:val="99"/>
    <w:unhideWhenUsed/>
    <w:rsid w:val="00C8788E"/>
    <w:rPr>
      <w:color w:themeColor="hyperlink" w:val="0563C1"/>
      <w:u w:val="single"/>
    </w:rPr>
  </w:style>
  <w:style w:customStyle="1" w:styleId="Style1" w:type="paragraph">
    <w:name w:val="Style1"/>
    <w:basedOn w:val="Normal"/>
    <w:link w:val="Style1Car"/>
    <w:qFormat/>
    <w:rsid w:val="00D177BC"/>
    <w:pPr>
      <w:ind w:right="565"/>
      <w:jc w:val="both"/>
    </w:pPr>
    <w:rPr>
      <w:rFonts w:ascii="Arial" w:hAnsi="Arial"/>
      <w:b/>
      <w:sz w:val="24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D177BC"/>
    <w:rPr>
      <w:rFonts w:asciiTheme="majorHAnsi" w:cstheme="majorBidi" w:eastAsiaTheme="majorEastAsia" w:hAnsiTheme="majorHAnsi"/>
      <w:color w:themeColor="accent1" w:themeShade="BF" w:val="2E74B5"/>
      <w:sz w:val="32"/>
      <w:szCs w:val="32"/>
      <w:lang w:eastAsia="fr-FR"/>
    </w:rPr>
  </w:style>
  <w:style w:customStyle="1" w:styleId="Style1Car" w:type="character">
    <w:name w:val="Style1 Car"/>
    <w:basedOn w:val="Policepardfaut"/>
    <w:link w:val="Style1"/>
    <w:rsid w:val="00D177BC"/>
    <w:rPr>
      <w:rFonts w:ascii="Arial" w:cs="Times New Roman" w:eastAsia="Times New Roman" w:hAnsi="Arial"/>
      <w:b/>
      <w:sz w:val="24"/>
      <w:szCs w:val="20"/>
      <w:u w:val="single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D177BC"/>
    <w:pPr>
      <w:spacing w:line="259" w:lineRule="auto"/>
      <w:outlineLvl w:val="9"/>
    </w:pPr>
  </w:style>
  <w:style w:styleId="TM1" w:type="paragraph">
    <w:name w:val="toc 1"/>
    <w:basedOn w:val="Normal"/>
    <w:next w:val="Normal"/>
    <w:autoRedefine/>
    <w:uiPriority w:val="39"/>
    <w:unhideWhenUsed/>
    <w:rsid w:val="002D647B"/>
    <w:pPr>
      <w:tabs>
        <w:tab w:leader="dot" w:pos="9344" w:val="right"/>
      </w:tabs>
      <w:spacing w:after="100" w:line="72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666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9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21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53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7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6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08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8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110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837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09788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1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4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356">
          <w:marLeft w:val="547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475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457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532">
          <w:marLeft w:val="547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9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598">
          <w:marLeft w:val="1166"/>
          <w:marRight w:val="5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s://www.legifrance.gouv.fr/affichCodeArticle.do?cidTexte=LEGITEXT000006072050&amp;idArticle=LEGIARTI000035627871&amp;dateTexte=&amp;categorieLien=id" TargetMode="External" Type="http://schemas.openxmlformats.org/officeDocument/2006/relationships/hyperlink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ttps://www.legifrance.gouv.fr/affichCodeArticle.do?cidTexte=LEGITEXT000006072050&amp;idArticle=LEGIARTI000035627821&amp;dateTexte=&amp;categorieLien=i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F62AA-816B-4B98-81EC-9CE91FD5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903</Words>
  <Characters>4971</Characters>
  <Application>Microsoft Office Word</Application>
  <DocSecurity>0</DocSecurity>
  <Lines>41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Punch Powerglide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2023-03-15T09:14:00Z</dcterms:created>
  <cp:lastPrinted>2023-03-15T09:52:00Z</cp:lastPrinted>
  <dcterms:modified xsi:type="dcterms:W3CDTF">2023-04-12T11:23:00Z</dcterms:modified>
  <cp:revision>25</cp:revision>
</cp:coreProperties>
</file>