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2"/>
        <w:rPr>
          <w:rFonts w:ascii="Calibri" w:hAnsi="Calibri" w:cs="Calibri"/>
        </w:rPr>
      </w:pPr>
      <w:r>
        <w:rPr>
          <w:rFonts w:cs="Calibri" w:ascii="Calibri" w:hAnsi="Calibri"/>
        </w:rPr>
      </w:r>
    </w:p>
    <w:p>
      <w:pPr>
        <w:pStyle w:val="Corpsdetexte2"/>
        <w:rPr>
          <w:rFonts w:ascii="Calibri" w:hAnsi="Calibri" w:cs="Calibri"/>
          <w:b w:val="false"/>
          <w:b w:val="false"/>
        </w:rPr>
      </w:pPr>
      <w:r>
        <w:rPr>
          <w:rFonts w:cs="Calibri" w:ascii="Calibri" w:hAnsi="Calibri"/>
          <w:b w:val="false"/>
        </w:rPr>
        <w:t>NEGOCIATION ANNUELLE OBLIGATOIRE</w:t>
      </w:r>
    </w:p>
    <w:p>
      <w:pPr>
        <w:pStyle w:val="Corpsdetexte2"/>
        <w:rPr>
          <w:rFonts w:ascii="Calibri" w:hAnsi="Calibri" w:cs="Calibri"/>
          <w:b w:val="false"/>
          <w:b w:val="false"/>
        </w:rPr>
      </w:pPr>
      <w:r>
        <w:rPr>
          <w:rFonts w:cs="Calibri" w:ascii="Calibri" w:hAnsi="Calibri"/>
          <w:b w:val="false"/>
        </w:rPr>
        <w:t xml:space="preserve">ACCORD DU 24 janvier 2022 SUR </w:t>
      </w:r>
    </w:p>
    <w:p>
      <w:pPr>
        <w:pStyle w:val="Corpsdetexte2"/>
        <w:rPr>
          <w:rFonts w:ascii="Calibri" w:hAnsi="Calibri" w:cs="Calibri"/>
          <w:b w:val="false"/>
          <w:b w:val="false"/>
        </w:rPr>
      </w:pPr>
      <w:r>
        <w:rPr>
          <w:rFonts w:cs="Calibri" w:ascii="Calibri" w:hAnsi="Calibri"/>
          <w:b w:val="false"/>
        </w:rPr>
        <w:t>LA REMUNERATION, LA VALEUR AJOUTEE, LE TEMPS DE TRAVAIL</w:t>
      </w:r>
    </w:p>
    <w:p>
      <w:pPr>
        <w:pStyle w:val="Corpsdetexte2"/>
        <w:rPr>
          <w:rFonts w:ascii="Calibri" w:hAnsi="Calibri" w:cs="Calibri"/>
          <w:b w:val="false"/>
          <w:b w:val="false"/>
        </w:rPr>
      </w:pPr>
      <w:r>
        <w:rPr>
          <w:rFonts w:cs="Calibri" w:ascii="Calibri" w:hAnsi="Calibri"/>
          <w:b w:val="false"/>
        </w:rPr>
        <w:t>L’EGALITE PROFESSIONNELLE ET LA QUALITE DE VIE AU TRAVAIL</w:t>
      </w:r>
    </w:p>
    <w:p>
      <w:pPr>
        <w:pStyle w:val="Corpsdetexte2"/>
        <w:rPr>
          <w:rFonts w:ascii="Calibri" w:hAnsi="Calibri" w:cs="Calibri"/>
          <w:b w:val="false"/>
          <w:b w:val="false"/>
        </w:rPr>
      </w:pPr>
      <w:r>
        <w:rPr>
          <w:rFonts w:cs="Calibri" w:ascii="Calibri" w:hAnsi="Calibri"/>
          <w:b w:val="false"/>
        </w:rPr>
      </w:r>
    </w:p>
    <w:p>
      <w:pPr>
        <w:pStyle w:val="Normal"/>
        <w:rPr>
          <w:rFonts w:ascii="Calibri" w:hAnsi="Calibri" w:cs="Calibri"/>
          <w:b/>
          <w:b/>
          <w:bCs/>
          <w:color w:val="000000"/>
          <w:szCs w:val="24"/>
        </w:rPr>
      </w:pPr>
      <w:r>
        <w:rPr>
          <w:rFonts w:cs="Calibri" w:ascii="Calibri" w:hAnsi="Calibri"/>
          <w:b/>
          <w:bCs/>
          <w:color w:val="000000"/>
          <w:szCs w:val="24"/>
        </w:rPr>
      </w:r>
    </w:p>
    <w:p>
      <w:pPr>
        <w:pStyle w:val="Normal"/>
        <w:rPr>
          <w:rFonts w:ascii="Calibri" w:hAnsi="Calibri" w:cs="Calibri"/>
          <w:b/>
          <w:b/>
          <w:bCs/>
          <w:color w:val="000000"/>
          <w:szCs w:val="24"/>
        </w:rPr>
      </w:pPr>
      <w:r>
        <w:rPr>
          <w:rFonts w:cs="Calibri" w:ascii="Calibri" w:hAnsi="Calibri"/>
          <w:b/>
          <w:bCs/>
          <w:color w:val="000000"/>
          <w:szCs w:val="24"/>
        </w:rPr>
      </w:r>
    </w:p>
    <w:p>
      <w:pPr>
        <w:pStyle w:val="Normal"/>
        <w:rPr>
          <w:rFonts w:ascii="Calibri" w:hAnsi="Calibri" w:cs="Calibri"/>
          <w:b/>
          <w:b/>
          <w:bCs/>
          <w:color w:val="000000"/>
          <w:sz w:val="22"/>
          <w:szCs w:val="24"/>
        </w:rPr>
      </w:pPr>
      <w:r>
        <w:rPr>
          <w:rFonts w:cs="Calibri" w:ascii="Calibri" w:hAnsi="Calibri"/>
          <w:b/>
          <w:bCs/>
          <w:color w:val="000000"/>
          <w:sz w:val="22"/>
          <w:szCs w:val="24"/>
        </w:rPr>
      </w:r>
    </w:p>
    <w:p>
      <w:pPr>
        <w:pStyle w:val="Normal"/>
        <w:rPr/>
      </w:pPr>
      <w:r>
        <w:rPr>
          <w:rFonts w:cs="Calibri" w:ascii="Calibri" w:hAnsi="Calibri"/>
          <w:bCs/>
          <w:color w:val="000000"/>
          <w:sz w:val="22"/>
        </w:rPr>
        <w:t>Entre les soussignées :</w:t>
      </w:r>
    </w:p>
    <w:p>
      <w:pPr>
        <w:pStyle w:val="Normal"/>
        <w:rPr>
          <w:rFonts w:ascii="Calibri" w:hAnsi="Calibri" w:cs="Calibri"/>
          <w:bCs/>
          <w:color w:val="000000"/>
          <w:sz w:val="22"/>
        </w:rPr>
      </w:pPr>
      <w:r>
        <w:rPr>
          <w:rFonts w:cs="Calibri" w:ascii="Calibri" w:hAnsi="Calibri"/>
          <w:bCs/>
          <w:color w:val="000000"/>
          <w:sz w:val="22"/>
        </w:rPr>
      </w:r>
    </w:p>
    <w:p>
      <w:pPr>
        <w:pStyle w:val="Normal"/>
        <w:rPr>
          <w:rFonts w:ascii="Calibri" w:hAnsi="Calibri" w:cs="Calibri"/>
          <w:color w:val="000000"/>
          <w:sz w:val="22"/>
        </w:rPr>
      </w:pPr>
      <w:r>
        <w:rPr>
          <w:rFonts w:cs="Calibri" w:ascii="Calibri" w:hAnsi="Calibri"/>
          <w:color w:val="000000"/>
          <w:sz w:val="22"/>
        </w:rPr>
      </w:r>
    </w:p>
    <w:p>
      <w:pPr>
        <w:pStyle w:val="Normal"/>
        <w:rPr>
          <w:rFonts w:ascii="Calibri" w:hAnsi="Calibri" w:cs="Calibri"/>
          <w:color w:val="000000"/>
          <w:sz w:val="22"/>
        </w:rPr>
      </w:pPr>
      <w:r>
        <w:rPr>
          <w:rFonts w:cs="Calibri" w:ascii="Calibri" w:hAnsi="Calibri"/>
          <w:color w:val="000000"/>
          <w:sz w:val="22"/>
        </w:rPr>
      </w:r>
    </w:p>
    <w:p>
      <w:pPr>
        <w:pStyle w:val="Normal"/>
        <w:rPr/>
      </w:pPr>
      <w:r>
        <w:rPr>
          <w:rFonts w:cs="Calibri" w:ascii="Calibri" w:hAnsi="Calibri"/>
          <w:b/>
          <w:color w:val="000000"/>
          <w:sz w:val="22"/>
        </w:rPr>
        <w:t>La société</w:t>
      </w:r>
      <w:r>
        <w:rPr>
          <w:rFonts w:cs="Calibri" w:ascii="Calibri" w:hAnsi="Calibri"/>
          <w:b/>
          <w:bCs/>
          <w:color w:val="000000"/>
          <w:sz w:val="22"/>
        </w:rPr>
        <w:t xml:space="preserve"> </w:t>
      </w:r>
      <w:r>
        <w:rPr>
          <w:rFonts w:cs="Calibri" w:ascii="Calibri" w:hAnsi="Calibri"/>
          <w:b/>
          <w:iCs/>
          <w:color w:val="000000"/>
          <w:sz w:val="22"/>
        </w:rPr>
        <w:t>EURO-INFORMATION SERVICES</w:t>
      </w:r>
      <w:r>
        <w:rPr>
          <w:rFonts w:cs="Calibri" w:ascii="Calibri" w:hAnsi="Calibri"/>
          <w:color w:val="000000"/>
          <w:sz w:val="22"/>
        </w:rPr>
        <w:t xml:space="preserve">, SAS au capital de 644 704 Euros, inscrite au Registre du Commerce et des Sociétés de Mulhouse sous le numéro B384454690, dont le siège social est situé 35, rue Eugène Ducretet à 68200 MULHOUSE. </w:t>
      </w:r>
    </w:p>
    <w:p>
      <w:pPr>
        <w:pStyle w:val="Normal"/>
        <w:rPr>
          <w:rFonts w:ascii="Calibri" w:hAnsi="Calibri" w:cs="Calibri"/>
          <w:color w:val="000000"/>
          <w:sz w:val="22"/>
        </w:rPr>
      </w:pPr>
      <w:r>
        <w:rPr>
          <w:rFonts w:cs="Calibri" w:ascii="Calibri" w:hAnsi="Calibri"/>
          <w:color w:val="000000"/>
          <w:sz w:val="22"/>
        </w:rPr>
      </w:r>
    </w:p>
    <w:p>
      <w:pPr>
        <w:pStyle w:val="Normal"/>
        <w:rPr>
          <w:rFonts w:ascii="Calibri" w:hAnsi="Calibri" w:cs="Calibri"/>
          <w:color w:val="000000"/>
          <w:sz w:val="22"/>
        </w:rPr>
      </w:pPr>
      <w:r>
        <w:rPr>
          <w:rFonts w:cs="Calibri" w:ascii="Calibri" w:hAnsi="Calibri"/>
          <w:color w:val="000000"/>
          <w:sz w:val="22"/>
        </w:rPr>
        <w:t xml:space="preserve">Ladite Société est représentée par agissant en sa qualité de </w:t>
      </w:r>
      <w:r>
        <w:rPr>
          <w:rFonts w:cs="Calibri" w:ascii="Calibri" w:hAnsi="Calibri"/>
          <w:iCs/>
          <w:color w:val="000000"/>
          <w:sz w:val="22"/>
        </w:rPr>
        <w:t xml:space="preserve">Président </w:t>
      </w:r>
    </w:p>
    <w:p>
      <w:pPr>
        <w:pStyle w:val="Normal"/>
        <w:tabs>
          <w:tab w:val="left" w:pos="4965" w:leader="none"/>
        </w:tabs>
        <w:rPr>
          <w:rFonts w:ascii="Calibri" w:hAnsi="Calibri" w:cs="Calibri"/>
          <w:color w:val="000000"/>
          <w:sz w:val="22"/>
        </w:rPr>
      </w:pPr>
      <w:r>
        <w:rPr>
          <w:rFonts w:cs="Calibri" w:ascii="Calibri" w:hAnsi="Calibri"/>
          <w:color w:val="000000"/>
          <w:sz w:val="22"/>
        </w:rPr>
        <w:tab/>
      </w:r>
    </w:p>
    <w:p>
      <w:pPr>
        <w:pStyle w:val="Normal"/>
        <w:ind w:left="6381" w:hanging="0"/>
        <w:jc w:val="right"/>
        <w:rPr>
          <w:rFonts w:ascii="Calibri" w:hAnsi="Calibri" w:cs="Calibri"/>
          <w:bCs/>
          <w:color w:val="000000"/>
          <w:sz w:val="22"/>
        </w:rPr>
      </w:pPr>
      <w:r>
        <w:rPr>
          <w:rFonts w:cs="Calibri" w:ascii="Calibri" w:hAnsi="Calibri"/>
          <w:bCs/>
          <w:color w:val="000000"/>
          <w:sz w:val="22"/>
        </w:rPr>
        <w:t>d'une part,</w:t>
      </w:r>
    </w:p>
    <w:p>
      <w:pPr>
        <w:pStyle w:val="Normal"/>
        <w:ind w:left="6381" w:hanging="0"/>
        <w:jc w:val="right"/>
        <w:rPr>
          <w:rFonts w:ascii="Calibri" w:hAnsi="Calibri" w:cs="Calibri"/>
          <w:b/>
          <w:b/>
          <w:bCs/>
          <w:color w:val="000000"/>
          <w:sz w:val="22"/>
        </w:rPr>
      </w:pPr>
      <w:r>
        <w:rPr>
          <w:rFonts w:cs="Calibri" w:ascii="Calibri" w:hAnsi="Calibri"/>
          <w:b/>
          <w:bCs/>
          <w:color w:val="000000"/>
          <w:sz w:val="22"/>
        </w:rPr>
      </w:r>
    </w:p>
    <w:p>
      <w:pPr>
        <w:pStyle w:val="Normal"/>
        <w:ind w:left="6381" w:hanging="0"/>
        <w:rPr>
          <w:rFonts w:ascii="Calibri" w:hAnsi="Calibri" w:cs="Calibri"/>
          <w:b/>
          <w:b/>
          <w:bCs/>
          <w:color w:val="000000"/>
          <w:sz w:val="22"/>
        </w:rPr>
      </w:pPr>
      <w:r>
        <w:rPr>
          <w:rFonts w:cs="Calibri" w:ascii="Calibri" w:hAnsi="Calibri"/>
          <w:b/>
          <w:bCs/>
          <w:color w:val="000000"/>
          <w:sz w:val="22"/>
        </w:rPr>
      </w:r>
    </w:p>
    <w:p>
      <w:pPr>
        <w:pStyle w:val="Normal"/>
        <w:rPr>
          <w:rFonts w:ascii="Calibri" w:hAnsi="Calibri" w:cs="Calibri"/>
          <w:b/>
          <w:b/>
          <w:bCs/>
          <w:color w:val="000000"/>
          <w:sz w:val="22"/>
        </w:rPr>
      </w:pPr>
      <w:r>
        <w:rPr>
          <w:rFonts w:cs="Calibri" w:ascii="Calibri" w:hAnsi="Calibri"/>
          <w:b/>
          <w:bCs/>
          <w:color w:val="000000"/>
          <w:sz w:val="22"/>
        </w:rPr>
        <w:t>Et les Organisations Syndicales représentatives dans l’entreprise invitées à la négociation :</w:t>
      </w:r>
    </w:p>
    <w:p>
      <w:pPr>
        <w:pStyle w:val="Normal"/>
        <w:rPr>
          <w:rFonts w:ascii="Calibri" w:hAnsi="Calibri" w:cs="Calibri"/>
          <w:b/>
          <w:b/>
          <w:bCs/>
          <w:color w:val="000000"/>
          <w:sz w:val="22"/>
        </w:rPr>
      </w:pPr>
      <w:r>
        <w:rPr>
          <w:rFonts w:cs="Calibri" w:ascii="Calibri" w:hAnsi="Calibri"/>
          <w:b/>
          <w:bCs/>
          <w:color w:val="000000"/>
          <w:sz w:val="22"/>
        </w:rPr>
      </w:r>
    </w:p>
    <w:p>
      <w:pPr>
        <w:pStyle w:val="Normal"/>
        <w:numPr>
          <w:ilvl w:val="0"/>
          <w:numId w:val="3"/>
        </w:numPr>
        <w:rPr/>
      </w:pPr>
      <w:r>
        <w:rPr>
          <w:rFonts w:cs="Calibri" w:ascii="Calibri" w:hAnsi="Calibri"/>
          <w:color w:val="000000"/>
          <w:sz w:val="22"/>
        </w:rPr>
        <w:t>L’organisation syndicale CFDT représentée par son Délégué Syndical</w:t>
      </w:r>
    </w:p>
    <w:p>
      <w:pPr>
        <w:pStyle w:val="Normal"/>
        <w:ind w:left="360" w:hanging="0"/>
        <w:rPr>
          <w:rFonts w:ascii="Calibri" w:hAnsi="Calibri" w:cs="Calibri"/>
          <w:color w:val="000000"/>
          <w:sz w:val="22"/>
        </w:rPr>
      </w:pPr>
      <w:r>
        <w:rPr>
          <w:rFonts w:cs="Calibri" w:ascii="Calibri" w:hAnsi="Calibri"/>
          <w:color w:val="000000"/>
          <w:sz w:val="22"/>
        </w:rPr>
      </w:r>
    </w:p>
    <w:p>
      <w:pPr>
        <w:pStyle w:val="Normal"/>
        <w:numPr>
          <w:ilvl w:val="0"/>
          <w:numId w:val="3"/>
        </w:numPr>
        <w:rPr>
          <w:rFonts w:ascii="Calibri" w:hAnsi="Calibri" w:cs="Calibri"/>
          <w:color w:val="000000"/>
          <w:sz w:val="22"/>
        </w:rPr>
      </w:pPr>
      <w:r>
        <w:rPr>
          <w:rFonts w:cs="Calibri" w:ascii="Calibri" w:hAnsi="Calibri"/>
          <w:color w:val="000000"/>
          <w:sz w:val="22"/>
        </w:rPr>
        <w:t>L’organisation syndicale CFTC représentée par son Délégué Syndical</w:t>
      </w:r>
    </w:p>
    <w:p>
      <w:pPr>
        <w:pStyle w:val="Normal"/>
        <w:ind w:left="360" w:hanging="0"/>
        <w:rPr>
          <w:rFonts w:ascii="Calibri" w:hAnsi="Calibri" w:cs="Calibri"/>
          <w:color w:val="000000"/>
          <w:sz w:val="22"/>
        </w:rPr>
      </w:pPr>
      <w:r>
        <w:rPr>
          <w:rFonts w:cs="Calibri" w:ascii="Calibri" w:hAnsi="Calibri"/>
          <w:color w:val="000000"/>
          <w:sz w:val="22"/>
        </w:rPr>
      </w:r>
    </w:p>
    <w:p>
      <w:pPr>
        <w:pStyle w:val="Normal"/>
        <w:numPr>
          <w:ilvl w:val="0"/>
          <w:numId w:val="3"/>
        </w:numPr>
        <w:rPr>
          <w:rFonts w:ascii="Calibri" w:hAnsi="Calibri" w:cs="Calibri"/>
          <w:color w:val="000000"/>
          <w:sz w:val="22"/>
        </w:rPr>
      </w:pPr>
      <w:r>
        <w:rPr>
          <w:rFonts w:cs="Calibri" w:ascii="Calibri" w:hAnsi="Calibri"/>
          <w:color w:val="000000"/>
          <w:sz w:val="22"/>
        </w:rPr>
        <w:t>L’organisation syndicale CGT représentée par son Délégué Syndical</w:t>
      </w:r>
    </w:p>
    <w:p>
      <w:pPr>
        <w:pStyle w:val="Normal"/>
        <w:ind w:left="360" w:hanging="0"/>
        <w:rPr>
          <w:rFonts w:ascii="Calibri" w:hAnsi="Calibri" w:cs="Calibri"/>
          <w:color w:val="000000"/>
          <w:sz w:val="22"/>
        </w:rPr>
      </w:pPr>
      <w:r>
        <w:rPr>
          <w:rFonts w:cs="Calibri" w:ascii="Calibri" w:hAnsi="Calibri"/>
          <w:color w:val="000000"/>
          <w:sz w:val="22"/>
        </w:rPr>
      </w:r>
    </w:p>
    <w:p>
      <w:pPr>
        <w:pStyle w:val="Normal"/>
        <w:numPr>
          <w:ilvl w:val="0"/>
          <w:numId w:val="3"/>
        </w:numPr>
        <w:rPr>
          <w:rFonts w:ascii="Calibri" w:hAnsi="Calibri" w:cs="Calibri"/>
          <w:color w:val="000000"/>
          <w:sz w:val="22"/>
        </w:rPr>
      </w:pPr>
      <w:r>
        <w:rPr>
          <w:rFonts w:cs="Calibri" w:ascii="Calibri" w:hAnsi="Calibri"/>
          <w:color w:val="000000"/>
          <w:sz w:val="22"/>
        </w:rPr>
        <w:t>L’organisation syndicale FO représentée par ses Délégués Syndicaux</w:t>
      </w:r>
    </w:p>
    <w:p>
      <w:pPr>
        <w:pStyle w:val="Normal"/>
        <w:ind w:left="360" w:hanging="0"/>
        <w:rPr>
          <w:rFonts w:ascii="Calibri" w:hAnsi="Calibri" w:cs="Calibri"/>
          <w:color w:val="000000"/>
          <w:sz w:val="22"/>
        </w:rPr>
      </w:pPr>
      <w:r>
        <w:rPr>
          <w:rFonts w:cs="Calibri" w:ascii="Calibri" w:hAnsi="Calibri"/>
          <w:color w:val="000000"/>
          <w:sz w:val="22"/>
        </w:rPr>
      </w:r>
    </w:p>
    <w:p>
      <w:pPr>
        <w:pStyle w:val="Normal"/>
        <w:numPr>
          <w:ilvl w:val="0"/>
          <w:numId w:val="3"/>
        </w:numPr>
        <w:rPr>
          <w:rFonts w:ascii="Calibri" w:hAnsi="Calibri" w:cs="Calibri"/>
          <w:color w:val="000000"/>
          <w:sz w:val="22"/>
        </w:rPr>
      </w:pPr>
      <w:r>
        <w:rPr>
          <w:rFonts w:cs="Calibri" w:ascii="Calibri" w:hAnsi="Calibri"/>
          <w:color w:val="000000"/>
          <w:sz w:val="22"/>
        </w:rPr>
        <w:t>L’organisation syndicale UNSA représentée par sa Déléguée Syndicale</w:t>
      </w:r>
    </w:p>
    <w:p>
      <w:pPr>
        <w:pStyle w:val="Normal"/>
        <w:tabs>
          <w:tab w:val="right" w:pos="8499" w:leader="none"/>
        </w:tabs>
        <w:ind w:left="360" w:hanging="0"/>
        <w:rPr>
          <w:rFonts w:ascii="Calibri" w:hAnsi="Calibri" w:cs="Calibri"/>
          <w:color w:val="000000"/>
          <w:sz w:val="22"/>
        </w:rPr>
      </w:pPr>
      <w:r>
        <w:rPr>
          <w:rFonts w:cs="Calibri" w:ascii="Calibri" w:hAnsi="Calibri"/>
          <w:color w:val="000000"/>
          <w:sz w:val="22"/>
        </w:rPr>
        <w:tab/>
      </w:r>
    </w:p>
    <w:p>
      <w:pPr>
        <w:pStyle w:val="Normal"/>
        <w:ind w:left="360" w:hanging="0"/>
        <w:rPr>
          <w:rFonts w:ascii="Calibri" w:hAnsi="Calibri" w:cs="Calibri"/>
          <w:color w:val="000000"/>
          <w:sz w:val="22"/>
        </w:rPr>
      </w:pPr>
      <w:r>
        <w:rPr>
          <w:rFonts w:cs="Calibri" w:ascii="Calibri" w:hAnsi="Calibri"/>
          <w:color w:val="000000"/>
          <w:sz w:val="22"/>
        </w:rPr>
      </w:r>
    </w:p>
    <w:p>
      <w:pPr>
        <w:pStyle w:val="Normal"/>
        <w:rPr>
          <w:rFonts w:ascii="Calibri" w:hAnsi="Calibri" w:cs="Calibri"/>
          <w:color w:val="000000"/>
          <w:sz w:val="22"/>
        </w:rPr>
      </w:pPr>
      <w:r>
        <w:rPr>
          <w:rFonts w:cs="Calibri" w:ascii="Calibri" w:hAnsi="Calibri"/>
          <w:color w:val="000000"/>
          <w:sz w:val="22"/>
        </w:rPr>
      </w:r>
    </w:p>
    <w:p>
      <w:pPr>
        <w:sectPr>
          <w:footerReference w:type="default" r:id="rId2"/>
          <w:type w:val="nextPage"/>
          <w:pgSz w:w="11906" w:h="16838"/>
          <w:pgMar w:left="1985" w:right="1418" w:header="0" w:top="2381" w:footer="844" w:bottom="1418" w:gutter="0"/>
          <w:pgNumType w:fmt="decimal"/>
          <w:formProt w:val="false"/>
          <w:textDirection w:val="lrTb"/>
          <w:docGrid w:type="default" w:linePitch="326" w:charSpace="0"/>
        </w:sectPr>
        <w:pStyle w:val="Normal"/>
        <w:ind w:left="6381" w:firstLine="709"/>
        <w:rPr>
          <w:rFonts w:ascii="Calibri" w:hAnsi="Calibri" w:cs="Calibri"/>
          <w:color w:val="000000"/>
          <w:sz w:val="22"/>
        </w:rPr>
      </w:pPr>
      <w:r>
        <w:rPr>
          <w:rFonts w:cs="Calibri" w:ascii="Calibri" w:hAnsi="Calibri"/>
          <w:bCs/>
          <w:color w:val="000000"/>
          <w:sz w:val="22"/>
        </w:rPr>
        <w:t>d'autre part.</w:t>
      </w:r>
    </w:p>
    <w:p>
      <w:pPr>
        <w:pStyle w:val="Normal"/>
        <w:rPr>
          <w:rFonts w:ascii="Calibri" w:hAnsi="Calibri" w:cs="Calibri"/>
          <w:color w:val="000000"/>
          <w:sz w:val="22"/>
        </w:rPr>
      </w:pPr>
      <w:r>
        <w:rPr>
          <w:rFonts w:cs="Calibri" w:ascii="Calibri" w:hAnsi="Calibri"/>
          <w:color w:val="000000"/>
          <w:sz w:val="22"/>
        </w:rPr>
      </w:r>
    </w:p>
    <w:p>
      <w:pPr>
        <w:pStyle w:val="Style31"/>
        <w:jc w:val="left"/>
        <w:rPr/>
      </w:pPr>
      <w:bookmarkStart w:id="0" w:name="__RefHeading___Toc93935473"/>
      <w:bookmarkEnd w:id="0"/>
      <w:r>
        <w:rPr/>
        <w:t>Sommaire</w:t>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Normal"/>
        <w:rPr>
          <w:rFonts w:ascii="Calibri" w:hAnsi="Calibri" w:cs="Calibri"/>
          <w:sz w:val="22"/>
        </w:rPr>
      </w:pPr>
      <w:r>
        <w:rPr>
          <w:rFonts w:cs="Calibri" w:ascii="Calibri" w:hAnsi="Calibri"/>
          <w:sz w:val="22"/>
        </w:rPr>
      </w:r>
    </w:p>
    <w:p>
      <w:pPr>
        <w:pStyle w:val="Contents1"/>
        <w:tabs>
          <w:tab w:val="right" w:pos="8493" w:leader="none"/>
        </w:tabs>
        <w:rPr>
          <w:b w:val="false"/>
          <w:b w:val="false"/>
          <w:bCs w:val="false"/>
          <w:caps w:val="false"/>
          <w:smallCaps w:val="false"/>
          <w:u w:val="none"/>
          <w:lang w:val="en-GB" w:eastAsia="en-GB"/>
        </w:rPr>
      </w:pPr>
      <w:r>
        <w:fldChar w:fldCharType="begin"/>
      </w:r>
      <w:r>
        <w:instrText> TOC \o "1-3" \h \z \u </w:instrText>
      </w:r>
      <w:r>
        <w:fldChar w:fldCharType="separate"/>
      </w:r>
      <w:hyperlink w:anchor="__RefHeading___Toc93935473">
        <w:r>
          <w:rPr>
            <w:rStyle w:val="IndexLink"/>
            <w:lang w:val="en-GB" w:eastAsia="en-GB"/>
          </w:rPr>
          <w:t>Sommaire</w:t>
          <w:tab/>
          <w:t>2</w:t>
        </w:r>
      </w:hyperlink>
    </w:p>
    <w:p>
      <w:pPr>
        <w:pStyle w:val="Contents1"/>
        <w:tabs>
          <w:tab w:val="right" w:pos="8493" w:leader="none"/>
        </w:tabs>
        <w:rPr>
          <w:b w:val="false"/>
          <w:b w:val="false"/>
          <w:bCs w:val="false"/>
          <w:caps w:val="false"/>
          <w:smallCaps w:val="false"/>
          <w:u w:val="none"/>
          <w:lang w:val="en-GB" w:eastAsia="en-GB"/>
        </w:rPr>
      </w:pPr>
      <w:hyperlink w:anchor="__RefHeading___Toc93935474">
        <w:r>
          <w:rPr>
            <w:rStyle w:val="IndexLink"/>
            <w:lang w:val="en-GB" w:eastAsia="en-GB"/>
          </w:rPr>
          <w:t>Préambule</w:t>
          <w:tab/>
          <w:t>3</w:t>
        </w:r>
      </w:hyperlink>
    </w:p>
    <w:p>
      <w:pPr>
        <w:pStyle w:val="Contents1"/>
        <w:tabs>
          <w:tab w:val="right" w:pos="8493" w:leader="none"/>
        </w:tabs>
        <w:rPr>
          <w:b w:val="false"/>
          <w:b w:val="false"/>
          <w:bCs w:val="false"/>
          <w:caps w:val="false"/>
          <w:smallCaps w:val="false"/>
          <w:u w:val="none"/>
          <w:lang w:val="en-GB" w:eastAsia="en-GB"/>
        </w:rPr>
      </w:pPr>
      <w:hyperlink w:anchor="__RefHeading___Toc93935475">
        <w:r>
          <w:rPr>
            <w:rStyle w:val="IndexLink"/>
            <w:lang w:val="en-GB" w:eastAsia="en-GB"/>
          </w:rPr>
          <w:t>Partie 1 : Objets</w:t>
          <w:tab/>
          <w:t>3</w:t>
        </w:r>
      </w:hyperlink>
    </w:p>
    <w:p>
      <w:pPr>
        <w:pStyle w:val="Contents2"/>
        <w:tabs>
          <w:tab w:val="right" w:pos="8493" w:leader="none"/>
        </w:tabs>
        <w:rPr>
          <w:b w:val="false"/>
          <w:b w:val="false"/>
          <w:bCs w:val="false"/>
          <w:caps w:val="false"/>
          <w:smallCaps w:val="false"/>
          <w:lang w:val="en-GB" w:eastAsia="en-GB"/>
        </w:rPr>
      </w:pPr>
      <w:hyperlink w:anchor="__RefHeading___Toc93935476">
        <w:r>
          <w:rPr>
            <w:rStyle w:val="IndexLink"/>
            <w:lang w:val="en-GB" w:eastAsia="en-GB"/>
          </w:rPr>
          <w:t>Article 1.- Rémunération</w:t>
          <w:tab/>
          <w:t>3</w:t>
        </w:r>
      </w:hyperlink>
    </w:p>
    <w:p>
      <w:pPr>
        <w:pStyle w:val="Contents3"/>
        <w:tabs>
          <w:tab w:val="right" w:pos="8493" w:leader="none"/>
        </w:tabs>
        <w:rPr>
          <w:caps w:val="false"/>
          <w:smallCaps w:val="false"/>
          <w:lang w:val="en-GB" w:eastAsia="en-GB"/>
        </w:rPr>
      </w:pPr>
      <w:hyperlink w:anchor="__RefHeading___Toc93935477">
        <w:r>
          <w:rPr>
            <w:rStyle w:val="IndexLink"/>
            <w:lang w:val="en-GB" w:eastAsia="en-GB"/>
          </w:rPr>
          <w:t>1.1. Augmentation générale</w:t>
          <w:tab/>
          <w:t>3</w:t>
        </w:r>
      </w:hyperlink>
    </w:p>
    <w:p>
      <w:pPr>
        <w:pStyle w:val="Contents3"/>
        <w:tabs>
          <w:tab w:val="right" w:pos="8493" w:leader="none"/>
        </w:tabs>
        <w:rPr>
          <w:caps w:val="false"/>
          <w:smallCaps w:val="false"/>
          <w:lang w:val="en-GB" w:eastAsia="en-GB"/>
        </w:rPr>
      </w:pPr>
      <w:hyperlink w:anchor="__RefHeading___Toc93935478">
        <w:r>
          <w:rPr>
            <w:rStyle w:val="IndexLink"/>
            <w:lang w:val="en-GB" w:eastAsia="en-GB"/>
          </w:rPr>
          <w:t>1.2. Augmentations individuelles</w:t>
          <w:tab/>
          <w:t>3</w:t>
        </w:r>
      </w:hyperlink>
    </w:p>
    <w:p>
      <w:pPr>
        <w:pStyle w:val="Contents3"/>
        <w:tabs>
          <w:tab w:val="right" w:pos="8493" w:leader="none"/>
        </w:tabs>
        <w:rPr>
          <w:caps w:val="false"/>
          <w:smallCaps w:val="false"/>
          <w:lang w:val="en-GB" w:eastAsia="en-GB"/>
        </w:rPr>
      </w:pPr>
      <w:hyperlink w:anchor="__RefHeading___Toc93935479">
        <w:r>
          <w:rPr>
            <w:rStyle w:val="IndexLink"/>
            <w:shd w:fill="FFFFFF" w:val="clear"/>
            <w:lang w:val="en-GB" w:eastAsia="en-GB"/>
          </w:rPr>
          <w:t>1.2.1 Mesure en faveur de l’égalité salariale</w:t>
        </w:r>
        <w:r>
          <w:rPr>
            <w:rStyle w:val="IndexLink"/>
            <w:lang w:val="en-GB" w:eastAsia="en-GB"/>
          </w:rPr>
          <w:tab/>
          <w:t>3</w:t>
        </w:r>
      </w:hyperlink>
    </w:p>
    <w:p>
      <w:pPr>
        <w:pStyle w:val="Contents3"/>
        <w:tabs>
          <w:tab w:val="right" w:pos="8493" w:leader="none"/>
        </w:tabs>
        <w:rPr>
          <w:caps w:val="false"/>
          <w:smallCaps w:val="false"/>
          <w:lang w:val="en-GB" w:eastAsia="en-GB"/>
        </w:rPr>
      </w:pPr>
      <w:hyperlink w:anchor="__RefHeading___Toc93935480">
        <w:r>
          <w:rPr>
            <w:rStyle w:val="IndexLink"/>
            <w:lang w:val="en-GB" w:eastAsia="en-GB"/>
          </w:rPr>
          <w:t>1.3. Salaire minimum</w:t>
          <w:tab/>
          <w:t>4</w:t>
        </w:r>
      </w:hyperlink>
    </w:p>
    <w:p>
      <w:pPr>
        <w:pStyle w:val="Contents2"/>
        <w:tabs>
          <w:tab w:val="right" w:pos="8493" w:leader="none"/>
        </w:tabs>
        <w:rPr>
          <w:b w:val="false"/>
          <w:b w:val="false"/>
          <w:bCs w:val="false"/>
          <w:caps w:val="false"/>
          <w:smallCaps w:val="false"/>
          <w:lang w:val="en-GB" w:eastAsia="en-GB"/>
        </w:rPr>
      </w:pPr>
      <w:hyperlink w:anchor="__RefHeading___Toc93935481">
        <w:r>
          <w:rPr>
            <w:rStyle w:val="IndexLink"/>
            <w:lang w:val="en-GB" w:eastAsia="en-GB"/>
          </w:rPr>
          <w:t>Article 3.- Partage de la valeur ajoutée</w:t>
          <w:tab/>
          <w:t>4</w:t>
        </w:r>
      </w:hyperlink>
    </w:p>
    <w:p>
      <w:pPr>
        <w:pStyle w:val="Contents3"/>
        <w:tabs>
          <w:tab w:val="right" w:pos="8493" w:leader="none"/>
        </w:tabs>
        <w:rPr>
          <w:caps w:val="false"/>
          <w:smallCaps w:val="false"/>
          <w:lang w:val="en-GB" w:eastAsia="en-GB"/>
        </w:rPr>
      </w:pPr>
      <w:hyperlink w:anchor="__RefHeading___Toc93935482">
        <w:r>
          <w:rPr>
            <w:rStyle w:val="IndexLink"/>
            <w:lang w:val="en-GB" w:eastAsia="en-GB"/>
          </w:rPr>
          <w:t>3.1. PEE : Abondement sur intéressement</w:t>
          <w:tab/>
          <w:t>4</w:t>
        </w:r>
      </w:hyperlink>
    </w:p>
    <w:p>
      <w:pPr>
        <w:pStyle w:val="Contents2"/>
        <w:tabs>
          <w:tab w:val="right" w:pos="8493" w:leader="none"/>
        </w:tabs>
        <w:rPr>
          <w:b w:val="false"/>
          <w:b w:val="false"/>
          <w:bCs w:val="false"/>
          <w:caps w:val="false"/>
          <w:smallCaps w:val="false"/>
          <w:lang w:val="en-GB" w:eastAsia="en-GB"/>
        </w:rPr>
      </w:pPr>
      <w:hyperlink w:anchor="__RefHeading___Toc93935483">
        <w:r>
          <w:rPr>
            <w:rStyle w:val="IndexLink"/>
            <w:lang w:val="en-GB" w:eastAsia="en-GB"/>
          </w:rPr>
          <w:t>Article 5.- Budget du CSE</w:t>
          <w:tab/>
          <w:t>4</w:t>
        </w:r>
      </w:hyperlink>
    </w:p>
    <w:p>
      <w:pPr>
        <w:pStyle w:val="Contents2"/>
        <w:tabs>
          <w:tab w:val="right" w:pos="8493" w:leader="none"/>
        </w:tabs>
        <w:rPr>
          <w:b w:val="false"/>
          <w:b w:val="false"/>
          <w:bCs w:val="false"/>
          <w:caps w:val="false"/>
          <w:smallCaps w:val="false"/>
          <w:lang w:val="en-GB" w:eastAsia="en-GB"/>
        </w:rPr>
      </w:pPr>
      <w:hyperlink w:anchor="__RefHeading___Toc93935484">
        <w:r>
          <w:rPr>
            <w:rStyle w:val="IndexLink"/>
            <w:lang w:val="en-GB" w:eastAsia="en-GB"/>
          </w:rPr>
          <w:t>Article 6.- Qualité de vie au travail</w:t>
          <w:tab/>
          <w:t>4</w:t>
        </w:r>
      </w:hyperlink>
    </w:p>
    <w:p>
      <w:pPr>
        <w:pStyle w:val="Contents3"/>
        <w:tabs>
          <w:tab w:val="right" w:pos="8493" w:leader="none"/>
        </w:tabs>
        <w:rPr>
          <w:caps w:val="false"/>
          <w:smallCaps w:val="false"/>
          <w:lang w:val="en-GB" w:eastAsia="en-GB"/>
        </w:rPr>
      </w:pPr>
      <w:hyperlink w:anchor="__RefHeading___Toc93935485">
        <w:r>
          <w:rPr>
            <w:rStyle w:val="IndexLink"/>
            <w:lang w:val="en-GB" w:eastAsia="en-GB"/>
          </w:rPr>
          <w:t>6.1. Télétravail</w:t>
          <w:tab/>
          <w:t>4</w:t>
        </w:r>
      </w:hyperlink>
    </w:p>
    <w:p>
      <w:pPr>
        <w:pStyle w:val="Contents3"/>
        <w:tabs>
          <w:tab w:val="right" w:pos="8493" w:leader="none"/>
        </w:tabs>
        <w:rPr>
          <w:caps w:val="false"/>
          <w:smallCaps w:val="false"/>
          <w:lang w:val="en-GB" w:eastAsia="en-GB"/>
        </w:rPr>
      </w:pPr>
      <w:hyperlink w:anchor="__RefHeading___Toc93935486">
        <w:r>
          <w:rPr>
            <w:rStyle w:val="IndexLink"/>
            <w:lang w:val="en-GB" w:eastAsia="en-GB"/>
          </w:rPr>
          <w:t>6.2. Mesures en faveur des travailleurs ayant une reconnaissance de travailleurs handicapés</w:t>
          <w:tab/>
          <w:t>4</w:t>
        </w:r>
      </w:hyperlink>
    </w:p>
    <w:p>
      <w:pPr>
        <w:pStyle w:val="Contents1"/>
        <w:tabs>
          <w:tab w:val="right" w:pos="8493" w:leader="none"/>
        </w:tabs>
        <w:rPr>
          <w:b w:val="false"/>
          <w:b w:val="false"/>
          <w:bCs w:val="false"/>
          <w:caps w:val="false"/>
          <w:smallCaps w:val="false"/>
          <w:u w:val="none"/>
          <w:lang w:val="en-GB" w:eastAsia="en-GB"/>
        </w:rPr>
      </w:pPr>
      <w:hyperlink w:anchor="__RefHeading___Toc93935487">
        <w:r>
          <w:rPr>
            <w:rStyle w:val="IndexLink"/>
            <w:lang w:val="en-GB" w:eastAsia="en-GB"/>
          </w:rPr>
          <w:t>Partie 2 : Dispositions générales</w:t>
          <w:tab/>
          <w:t>5</w:t>
        </w:r>
      </w:hyperlink>
    </w:p>
    <w:p>
      <w:pPr>
        <w:pStyle w:val="Contents2"/>
        <w:tabs>
          <w:tab w:val="right" w:pos="8493" w:leader="none"/>
        </w:tabs>
        <w:rPr>
          <w:b w:val="false"/>
          <w:b w:val="false"/>
          <w:bCs w:val="false"/>
          <w:caps w:val="false"/>
          <w:smallCaps w:val="false"/>
          <w:lang w:val="en-GB" w:eastAsia="en-GB"/>
        </w:rPr>
      </w:pPr>
      <w:hyperlink w:anchor="__RefHeading___Toc93935488">
        <w:r>
          <w:rPr>
            <w:rStyle w:val="IndexLink"/>
            <w:lang w:val="en-GB" w:eastAsia="en-GB"/>
          </w:rPr>
          <w:t>Article 1.- Champ d’application</w:t>
          <w:tab/>
          <w:t>5</w:t>
        </w:r>
      </w:hyperlink>
    </w:p>
    <w:p>
      <w:pPr>
        <w:pStyle w:val="Contents2"/>
        <w:tabs>
          <w:tab w:val="right" w:pos="8493" w:leader="none"/>
        </w:tabs>
        <w:rPr>
          <w:b w:val="false"/>
          <w:b w:val="false"/>
          <w:bCs w:val="false"/>
          <w:caps w:val="false"/>
          <w:smallCaps w:val="false"/>
          <w:lang w:val="en-GB" w:eastAsia="en-GB"/>
        </w:rPr>
      </w:pPr>
      <w:hyperlink w:anchor="__RefHeading___Toc93935489">
        <w:r>
          <w:rPr>
            <w:rStyle w:val="IndexLink"/>
            <w:lang w:val="en-GB" w:eastAsia="en-GB"/>
          </w:rPr>
          <w:t>Article 2.- Modalités d’adoption</w:t>
          <w:tab/>
          <w:t>5</w:t>
        </w:r>
      </w:hyperlink>
    </w:p>
    <w:p>
      <w:pPr>
        <w:pStyle w:val="Contents2"/>
        <w:tabs>
          <w:tab w:val="right" w:pos="8493" w:leader="none"/>
        </w:tabs>
        <w:rPr>
          <w:b w:val="false"/>
          <w:b w:val="false"/>
          <w:bCs w:val="false"/>
          <w:caps w:val="false"/>
          <w:smallCaps w:val="false"/>
          <w:lang w:val="en-GB" w:eastAsia="en-GB"/>
        </w:rPr>
      </w:pPr>
      <w:hyperlink w:anchor="__RefHeading___Toc93935490">
        <w:r>
          <w:rPr>
            <w:rStyle w:val="IndexLink"/>
            <w:lang w:val="en-GB" w:eastAsia="en-GB"/>
          </w:rPr>
          <w:t>Article 3.- Entrée en vigueur, durée</w:t>
          <w:tab/>
          <w:t>5</w:t>
        </w:r>
      </w:hyperlink>
    </w:p>
    <w:p>
      <w:pPr>
        <w:pStyle w:val="Contents2"/>
        <w:tabs>
          <w:tab w:val="right" w:pos="8493" w:leader="none"/>
        </w:tabs>
        <w:rPr>
          <w:b w:val="false"/>
          <w:b w:val="false"/>
          <w:bCs w:val="false"/>
          <w:caps w:val="false"/>
          <w:smallCaps w:val="false"/>
          <w:lang w:val="en-GB" w:eastAsia="en-GB"/>
        </w:rPr>
      </w:pPr>
      <w:hyperlink w:anchor="__RefHeading___Toc93935491">
        <w:r>
          <w:rPr>
            <w:rStyle w:val="IndexLink"/>
            <w:lang w:val="en-GB" w:eastAsia="en-GB"/>
          </w:rPr>
          <w:t>Article 4.- Litiges</w:t>
          <w:tab/>
          <w:t>5</w:t>
        </w:r>
      </w:hyperlink>
    </w:p>
    <w:p>
      <w:pPr>
        <w:pStyle w:val="Contents2"/>
        <w:tabs>
          <w:tab w:val="right" w:pos="8493" w:leader="none"/>
        </w:tabs>
        <w:rPr>
          <w:lang w:val="en-GB" w:eastAsia="en-GB"/>
        </w:rPr>
      </w:pPr>
      <w:hyperlink w:anchor="__RefHeading___Toc93935492">
        <w:r>
          <w:rPr>
            <w:rStyle w:val="IndexLink"/>
            <w:b w:val="false"/>
            <w:bCs w:val="false"/>
            <w:caps w:val="false"/>
            <w:smallCaps w:val="false"/>
            <w:lang w:val="en-GB" w:eastAsia="en-GB"/>
          </w:rPr>
          <w:t>Article 5.- Dépôt et publicité</w:t>
          <w:tab/>
          <w:t>5</w:t>
        </w:r>
      </w:hyperlink>
      <w:r>
        <w:fldChar w:fldCharType="end"/>
      </w:r>
    </w:p>
    <w:p>
      <w:pPr>
        <w:pStyle w:val="Normal"/>
        <w:rPr>
          <w:rFonts w:ascii="Calibri" w:hAnsi="Calibri" w:cs="Calibri"/>
          <w:b/>
          <w:b/>
          <w:bCs/>
          <w:caps/>
          <w:sz w:val="22"/>
          <w:szCs w:val="22"/>
          <w:u w:val="single"/>
          <w:lang w:val="en-GB" w:eastAsia="en-GB"/>
        </w:rPr>
      </w:pPr>
      <w:r>
        <w:rPr>
          <w:rFonts w:cs="Calibri" w:ascii="Calibri" w:hAnsi="Calibri"/>
          <w:b/>
          <w:bCs/>
          <w:caps/>
          <w:sz w:val="22"/>
          <w:szCs w:val="22"/>
          <w:u w:val="single"/>
          <w:lang w:val="en-GB" w:eastAsia="en-GB"/>
        </w:rPr>
      </w:r>
    </w:p>
    <w:p>
      <w:pPr>
        <w:pStyle w:val="Normal"/>
        <w:numPr>
          <w:ilvl w:val="0"/>
          <w:numId w:val="0"/>
        </w:numPr>
        <w:spacing w:lineRule="exact" w:line="400"/>
        <w:outlineLvl w:val="0"/>
        <w:rPr>
          <w:rFonts w:ascii="Calibri" w:hAnsi="Calibri" w:cs="Calibri"/>
          <w:sz w:val="32"/>
        </w:rPr>
      </w:pPr>
      <w:r>
        <w:rPr>
          <w:rFonts w:cs="Calibri" w:ascii="Calibri" w:hAnsi="Calibri"/>
          <w:sz w:val="32"/>
        </w:rPr>
      </w:r>
      <w:r>
        <w:br w:type="page"/>
      </w:r>
    </w:p>
    <w:p>
      <w:pPr>
        <w:pStyle w:val="Normal"/>
        <w:numPr>
          <w:ilvl w:val="0"/>
          <w:numId w:val="0"/>
        </w:numPr>
        <w:spacing w:lineRule="exact" w:line="400"/>
        <w:outlineLvl w:val="0"/>
        <w:rPr>
          <w:rFonts w:ascii="Calibri" w:hAnsi="Calibri" w:cs="Calibri"/>
          <w:sz w:val="2"/>
          <w:szCs w:val="4"/>
        </w:rPr>
      </w:pPr>
      <w:r>
        <w:rPr>
          <w:rFonts w:cs="Calibri" w:ascii="Calibri" w:hAnsi="Calibri"/>
          <w:sz w:val="2"/>
          <w:szCs w:val="4"/>
        </w:rPr>
      </w:r>
    </w:p>
    <w:p>
      <w:pPr>
        <w:pStyle w:val="Corpsdetexte3"/>
        <w:spacing w:lineRule="auto" w:line="240"/>
        <w:rPr>
          <w:rFonts w:ascii="Calibri" w:hAnsi="Calibri" w:cs="Calibri"/>
          <w:bCs/>
          <w:sz w:val="22"/>
          <w:szCs w:val="4"/>
        </w:rPr>
      </w:pPr>
      <w:r>
        <w:rPr>
          <w:rFonts w:cs="Calibri" w:ascii="Calibri" w:hAnsi="Calibri"/>
          <w:bCs/>
          <w:sz w:val="22"/>
          <w:szCs w:val="4"/>
        </w:rPr>
      </w:r>
    </w:p>
    <w:p>
      <w:pPr>
        <w:pStyle w:val="Style31"/>
        <w:jc w:val="left"/>
        <w:rPr/>
      </w:pPr>
      <w:bookmarkStart w:id="1" w:name="__RefHeading___Toc93935474"/>
      <w:bookmarkEnd w:id="1"/>
      <w:r>
        <w:rPr/>
        <w:t>Préambule</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 xml:space="preserve">Les délégations patronales et salariales se sont réunies les 5 janvier 2022, 18 janvier 2022 et 24 janvier 2022 dans le cadre de la Négociation Annuelle Obligatoire (NAO). </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 xml:space="preserve">Outre les données disponibles dans la Base de Données Unique (BDU), la Direction a remis aux Délégués syndicaux, au cours de la réunion du 5 janvier 2022, une présentation des informations sur la situation économique générale et des bilans, notamment, en termes d’emploi, de rémunération, d’égalité professionnelle, de qualité de vie au travail, d’organisation et de durée du travail. </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Les réunions suivantes ont fait l’objet des négociations sur différents thèmes, pour aboutir au présent accord.</w:t>
      </w:r>
    </w:p>
    <w:p>
      <w:pPr>
        <w:pStyle w:val="Corpsdetexte3"/>
        <w:spacing w:lineRule="auto" w:line="240"/>
        <w:rPr>
          <w:rFonts w:ascii="Calibri" w:hAnsi="Calibri" w:cs="Calibri"/>
          <w:bCs/>
          <w:sz w:val="22"/>
        </w:rPr>
      </w:pPr>
      <w:r>
        <w:rPr>
          <w:rFonts w:cs="Calibri" w:ascii="Calibri" w:hAnsi="Calibri"/>
          <w:bCs/>
          <w:sz w:val="22"/>
        </w:rPr>
      </w:r>
    </w:p>
    <w:p>
      <w:pPr>
        <w:pStyle w:val="Normal"/>
        <w:spacing w:lineRule="auto" w:line="240"/>
        <w:rPr>
          <w:rFonts w:ascii="Calibri" w:hAnsi="Calibri" w:cs="Calibri"/>
          <w:sz w:val="22"/>
        </w:rPr>
      </w:pPr>
      <w:r>
        <w:rPr>
          <w:rFonts w:cs="Calibri" w:ascii="Calibri" w:hAnsi="Calibri"/>
          <w:sz w:val="22"/>
        </w:rPr>
        <w:t>Au terme des échanges qui ont eu lieu, il a été convenu les dispositions suivantes :</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Style31"/>
        <w:jc w:val="left"/>
        <w:rPr/>
      </w:pPr>
      <w:bookmarkStart w:id="2" w:name="__RefHeading___Toc93935475"/>
      <w:bookmarkEnd w:id="2"/>
      <w:r>
        <w:rPr/>
        <w:t>Partie 1 : Objets</w:t>
      </w:r>
    </w:p>
    <w:p>
      <w:pPr>
        <w:pStyle w:val="Normal"/>
        <w:spacing w:lineRule="auto" w:line="240"/>
        <w:rPr>
          <w:rFonts w:ascii="Calibri" w:hAnsi="Calibri" w:cs="Calibri"/>
          <w:sz w:val="22"/>
        </w:rPr>
      </w:pPr>
      <w:r>
        <w:rPr>
          <w:rFonts w:cs="Calibri" w:ascii="Calibri" w:hAnsi="Calibri"/>
          <w:sz w:val="22"/>
        </w:rPr>
      </w:r>
    </w:p>
    <w:p>
      <w:pPr>
        <w:pStyle w:val="Normal"/>
        <w:spacing w:lineRule="auto" w:line="240"/>
        <w:rPr>
          <w:rFonts w:ascii="Calibri" w:hAnsi="Calibri" w:cs="Calibri"/>
          <w:sz w:val="22"/>
        </w:rPr>
      </w:pPr>
      <w:r>
        <w:rPr>
          <w:rFonts w:cs="Calibri" w:ascii="Calibri" w:hAnsi="Calibri"/>
          <w:sz w:val="22"/>
        </w:rPr>
      </w:r>
    </w:p>
    <w:p>
      <w:pPr>
        <w:pStyle w:val="Style12"/>
        <w:rPr>
          <w:sz w:val="26"/>
          <w:szCs w:val="26"/>
        </w:rPr>
      </w:pPr>
      <w:bookmarkStart w:id="3" w:name="__RefHeading___Toc93935476"/>
      <w:r>
        <w:rPr>
          <w:sz w:val="26"/>
          <w:szCs w:val="26"/>
        </w:rPr>
        <w:t>Article 1.- Rémunération</w:t>
      </w:r>
      <w:bookmarkEnd w:id="3"/>
      <w:r>
        <w:rPr>
          <w:sz w:val="26"/>
          <w:szCs w:val="26"/>
        </w:rPr>
        <w:t xml:space="preserve"> </w:t>
      </w:r>
    </w:p>
    <w:p>
      <w:pPr>
        <w:pStyle w:val="Normal"/>
        <w:rPr>
          <w:rFonts w:ascii="Calibri" w:hAnsi="Calibri" w:cs="Calibri"/>
          <w:sz w:val="22"/>
          <w:szCs w:val="26"/>
        </w:rPr>
      </w:pPr>
      <w:r>
        <w:rPr>
          <w:rFonts w:cs="Calibri" w:ascii="Calibri" w:hAnsi="Calibri"/>
          <w:sz w:val="22"/>
          <w:szCs w:val="26"/>
        </w:rPr>
      </w:r>
    </w:p>
    <w:p>
      <w:pPr>
        <w:pStyle w:val="Style21"/>
        <w:rPr>
          <w:b w:val="false"/>
          <w:b w:val="false"/>
        </w:rPr>
      </w:pPr>
      <w:bookmarkStart w:id="4" w:name="__RefHeading___Toc93935477"/>
      <w:bookmarkEnd w:id="4"/>
      <w:r>
        <w:rPr/>
        <w:t>1.1. Augmentation générale</w:t>
      </w:r>
    </w:p>
    <w:p>
      <w:pPr>
        <w:pStyle w:val="Corpsdetexte3"/>
        <w:rPr>
          <w:rFonts w:ascii="Calibri" w:hAnsi="Calibri" w:cs="Calibri"/>
          <w:b/>
          <w:b/>
          <w:sz w:val="22"/>
        </w:rPr>
      </w:pPr>
      <w:r>
        <w:rPr>
          <w:rFonts w:cs="Calibri" w:ascii="Calibri" w:hAnsi="Calibri"/>
          <w:b/>
          <w:sz w:val="22"/>
        </w:rPr>
      </w:r>
    </w:p>
    <w:p>
      <w:pPr>
        <w:pStyle w:val="Corpsdetexte3"/>
        <w:spacing w:lineRule="auto" w:line="240"/>
        <w:rPr>
          <w:rFonts w:ascii="Calibri" w:hAnsi="Calibri" w:cs="Calibri"/>
          <w:bCs/>
          <w:sz w:val="22"/>
        </w:rPr>
      </w:pPr>
      <w:r>
        <w:rPr>
          <w:rFonts w:cs="Calibri" w:ascii="Calibri" w:hAnsi="Calibri"/>
          <w:bCs/>
          <w:sz w:val="22"/>
        </w:rPr>
        <w:t>Il a été convenu une augmentation générale brute, au titre de l’année 2022, de 1.5%, avec un plancher annuel brut de 390€ (base temps plein).</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Cette augmentation sera mise en application à compter de la paie de février 2022, avec effet rétroactif au 1er janvier 2022 pour toutes les personnes présentes à date de la signature du présent accord.</w:t>
      </w:r>
    </w:p>
    <w:p>
      <w:pPr>
        <w:pStyle w:val="Corpsdetexte3"/>
        <w:rPr>
          <w:rFonts w:ascii="Calibri" w:hAnsi="Calibri" w:cs="Calibri"/>
          <w:b/>
          <w:b/>
          <w:bCs/>
          <w:sz w:val="22"/>
        </w:rPr>
      </w:pPr>
      <w:r>
        <w:rPr>
          <w:rFonts w:cs="Calibri" w:ascii="Calibri" w:hAnsi="Calibri"/>
          <w:b/>
          <w:bCs/>
          <w:sz w:val="22"/>
        </w:rPr>
      </w:r>
    </w:p>
    <w:p>
      <w:pPr>
        <w:pStyle w:val="Style21"/>
        <w:rPr/>
      </w:pPr>
      <w:bookmarkStart w:id="5" w:name="__RefHeading___Toc93935478"/>
      <w:bookmarkEnd w:id="5"/>
      <w:r>
        <w:rPr/>
        <w:t>1.2. Augmentations individuelles</w:t>
      </w:r>
    </w:p>
    <w:p>
      <w:pPr>
        <w:pStyle w:val="Corpsdetexte3"/>
        <w:rPr>
          <w:rFonts w:ascii="Calibri" w:hAnsi="Calibri" w:cs="Calibri"/>
          <w:b/>
          <w:b/>
          <w:sz w:val="22"/>
        </w:rPr>
      </w:pPr>
      <w:r>
        <w:rPr>
          <w:rFonts w:cs="Calibri" w:ascii="Calibri" w:hAnsi="Calibri"/>
          <w:b/>
          <w:sz w:val="22"/>
        </w:rPr>
      </w:r>
    </w:p>
    <w:p>
      <w:pPr>
        <w:pStyle w:val="Corpsdetexte3"/>
        <w:spacing w:lineRule="auto" w:line="240"/>
        <w:rPr>
          <w:rFonts w:ascii="Calibri" w:hAnsi="Calibri" w:cs="Calibri"/>
          <w:bCs/>
          <w:sz w:val="22"/>
        </w:rPr>
      </w:pPr>
      <w:r>
        <w:rPr>
          <w:rFonts w:cs="Calibri" w:ascii="Calibri" w:hAnsi="Calibri"/>
          <w:bCs/>
          <w:sz w:val="22"/>
        </w:rPr>
        <w:t>Il a été convenu de définir une enveloppe relative aux augmentations individuelles de 1.00% de la masse salariale 2021 au titre de 2022.</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pPr>
      <w:r>
        <w:rPr>
          <w:rFonts w:cs="Calibri" w:ascii="Calibri" w:hAnsi="Calibri"/>
          <w:bCs/>
          <w:sz w:val="22"/>
        </w:rPr>
        <w:t xml:space="preserve">Par ailleurs, la Direction EIS s’engage à ouvrir une discussion exceptionnelle avec les Organisations Syndicales représentatives en septembre 2022, si l’inflation devait s’avérer égale ou supérieure à 2 % sur les 8 premiers mois de l’année 2022 (de janvier à août 2022 inclus).  </w:t>
      </w:r>
    </w:p>
    <w:p>
      <w:pPr>
        <w:pStyle w:val="Corpsdetexte3"/>
        <w:spacing w:lineRule="auto" w:line="240"/>
        <w:rPr>
          <w:rFonts w:ascii="Calibri" w:hAnsi="Calibri" w:cs="Calibri"/>
          <w:bCs/>
          <w:sz w:val="22"/>
        </w:rPr>
      </w:pPr>
      <w:r>
        <w:rPr>
          <w:rFonts w:cs="Calibri" w:ascii="Calibri" w:hAnsi="Calibri"/>
          <w:bCs/>
          <w:sz w:val="22"/>
        </w:rPr>
      </w:r>
    </w:p>
    <w:p>
      <w:pPr>
        <w:pStyle w:val="Corpsdetexte3"/>
        <w:shd w:fill="FFFFFF" w:val="clear"/>
        <w:spacing w:lineRule="auto" w:line="240"/>
        <w:rPr>
          <w:rFonts w:ascii="Calibri" w:hAnsi="Calibri" w:cs="Calibri"/>
          <w:bCs/>
          <w:sz w:val="22"/>
        </w:rPr>
      </w:pPr>
      <w:r>
        <w:rPr>
          <w:rFonts w:cs="Calibri" w:ascii="Calibri" w:hAnsi="Calibri"/>
          <w:bCs/>
          <w:sz w:val="22"/>
        </w:rPr>
      </w:r>
    </w:p>
    <w:p>
      <w:pPr>
        <w:pStyle w:val="Style21"/>
        <w:shd w:fill="FFFFFF" w:val="clear"/>
        <w:ind w:left="709" w:hanging="0"/>
        <w:outlineLvl w:val="3"/>
        <w:rPr>
          <w:shd w:fill="FFFFFF" w:val="clear"/>
        </w:rPr>
      </w:pPr>
      <w:bookmarkStart w:id="6" w:name="__RefHeading___Toc93935479"/>
      <w:bookmarkEnd w:id="6"/>
      <w:r>
        <w:rPr>
          <w:shd w:fill="FFFFFF" w:val="clear"/>
        </w:rPr>
        <w:t>1.2.1 Mesure en faveur de l’égalité salariale</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pPr>
      <w:r>
        <w:rPr>
          <w:rFonts w:cs="Calibri" w:ascii="Calibri" w:hAnsi="Calibri"/>
          <w:bCs/>
          <w:sz w:val="22"/>
        </w:rPr>
        <w:t>En complément de l’enveloppe d’augmentations individuelles prévue ci-dessus, il est prévue une enveloppe individuelle complémentaire de 0.2% réservée à la réduction des écarts de rémunération entre les hommes et les femmes.</w:t>
      </w:r>
    </w:p>
    <w:p>
      <w:pPr>
        <w:pStyle w:val="Corpsdetexte3"/>
        <w:spacing w:lineRule="auto" w:line="240"/>
        <w:rPr>
          <w:rFonts w:ascii="Calibri" w:hAnsi="Calibri" w:cs="Calibri"/>
          <w:bCs/>
          <w:sz w:val="22"/>
        </w:rPr>
      </w:pPr>
      <w:r>
        <w:rPr>
          <w:rFonts w:cs="Calibri" w:ascii="Calibri" w:hAnsi="Calibri"/>
          <w:bCs/>
          <w:sz w:val="22"/>
        </w:rPr>
      </w:r>
    </w:p>
    <w:p>
      <w:pPr>
        <w:pStyle w:val="Corpsdetexte3"/>
        <w:rPr>
          <w:rFonts w:ascii="Calibri" w:hAnsi="Calibri" w:cs="Calibri"/>
          <w:b/>
          <w:b/>
          <w:bCs/>
          <w:sz w:val="22"/>
        </w:rPr>
      </w:pPr>
      <w:r>
        <w:rPr>
          <w:rFonts w:cs="Calibri" w:ascii="Calibri" w:hAnsi="Calibri"/>
          <w:b/>
          <w:bCs/>
          <w:sz w:val="22"/>
        </w:rPr>
      </w:r>
    </w:p>
    <w:p>
      <w:pPr>
        <w:pStyle w:val="Style21"/>
        <w:rPr/>
      </w:pPr>
      <w:bookmarkStart w:id="7" w:name="__RefHeading___Toc93935480"/>
      <w:bookmarkEnd w:id="7"/>
      <w:r>
        <w:rPr/>
        <w:t>1.3. Salaire minimum</w:t>
      </w:r>
    </w:p>
    <w:p>
      <w:pPr>
        <w:pStyle w:val="Corpsdetexte3"/>
        <w:spacing w:lineRule="auto" w:line="240"/>
        <w:rPr>
          <w:rFonts w:ascii="Calibri" w:hAnsi="Calibri" w:cs="Calibri"/>
          <w:bCs/>
          <w:sz w:val="22"/>
        </w:rPr>
      </w:pPr>
      <w:r>
        <w:rPr>
          <w:rFonts w:cs="Calibri" w:ascii="Calibri" w:hAnsi="Calibri"/>
          <w:bCs/>
          <w:sz w:val="22"/>
        </w:rPr>
      </w:r>
    </w:p>
    <w:p>
      <w:pPr>
        <w:pStyle w:val="Corpsdetexte3"/>
        <w:shd w:fill="FFFFFF" w:val="clear"/>
        <w:spacing w:lineRule="auto" w:line="240"/>
        <w:rPr>
          <w:rFonts w:ascii="Calibri" w:hAnsi="Calibri" w:cs="Calibri"/>
          <w:bCs/>
          <w:sz w:val="22"/>
        </w:rPr>
      </w:pPr>
      <w:r>
        <w:rPr>
          <w:rFonts w:cs="Calibri" w:ascii="Calibri" w:hAnsi="Calibri"/>
          <w:bCs/>
          <w:sz w:val="22"/>
        </w:rPr>
        <w:t>Après 18 mois d’ancienneté, le salaire minimum d’un collaborateur à temps plein en CDI sera de 1 796 € brut mensuel (salaire de base + PQ).</w:t>
      </w:r>
    </w:p>
    <w:p>
      <w:pPr>
        <w:pStyle w:val="Corpsdetexte3"/>
        <w:shd w:fill="FFFFFF" w:val="clear"/>
        <w:spacing w:lineRule="auto" w:line="240"/>
        <w:rPr>
          <w:rFonts w:ascii="Calibri" w:hAnsi="Calibri" w:cs="Calibri"/>
          <w:bCs/>
          <w:sz w:val="22"/>
        </w:rPr>
      </w:pPr>
      <w:r>
        <w:rPr>
          <w:rFonts w:cs="Calibri" w:ascii="Calibri" w:hAnsi="Calibri"/>
          <w:bCs/>
          <w:sz w:val="22"/>
        </w:rPr>
        <w:t>Cette règle s’applique à compter de février 2022.</w:t>
      </w:r>
    </w:p>
    <w:p>
      <w:pPr>
        <w:pStyle w:val="Corpsdetexte3"/>
        <w:spacing w:lineRule="auto" w:line="240"/>
        <w:rPr>
          <w:rFonts w:ascii="Calibri" w:hAnsi="Calibri" w:cs="Calibri"/>
          <w:bCs/>
          <w:sz w:val="22"/>
        </w:rPr>
      </w:pPr>
      <w:r>
        <w:rPr>
          <w:rFonts w:cs="Calibri" w:ascii="Calibri" w:hAnsi="Calibri"/>
          <w:bCs/>
          <w:sz w:val="22"/>
        </w:rPr>
      </w:r>
    </w:p>
    <w:p>
      <w:pPr>
        <w:pStyle w:val="Corpsdetexte3"/>
        <w:rPr>
          <w:rFonts w:ascii="Calibri" w:hAnsi="Calibri" w:cs="Calibri"/>
          <w:bCs/>
          <w:sz w:val="22"/>
        </w:rPr>
      </w:pPr>
      <w:r>
        <w:rPr>
          <w:rFonts w:cs="Calibri" w:ascii="Calibri" w:hAnsi="Calibri"/>
          <w:bCs/>
          <w:sz w:val="22"/>
        </w:rPr>
      </w:r>
    </w:p>
    <w:p>
      <w:pPr>
        <w:pStyle w:val="Style12"/>
        <w:rPr/>
      </w:pPr>
      <w:bookmarkStart w:id="8" w:name="__RefHeading___Toc93935481"/>
      <w:bookmarkEnd w:id="8"/>
      <w:r>
        <w:rPr>
          <w:sz w:val="26"/>
          <w:szCs w:val="26"/>
        </w:rPr>
        <w:t>Article 3.- Partage de la valeur ajoutée</w:t>
      </w:r>
    </w:p>
    <w:p>
      <w:pPr>
        <w:pStyle w:val="Corpsdetexte3"/>
        <w:rPr>
          <w:rFonts w:ascii="Calibri" w:hAnsi="Calibri" w:cs="Calibri"/>
          <w:b/>
          <w:b/>
          <w:sz w:val="22"/>
          <w:szCs w:val="26"/>
        </w:rPr>
      </w:pPr>
      <w:r>
        <w:rPr>
          <w:rFonts w:cs="Calibri" w:ascii="Calibri" w:hAnsi="Calibri"/>
          <w:b/>
          <w:sz w:val="22"/>
          <w:szCs w:val="26"/>
        </w:rPr>
      </w:r>
    </w:p>
    <w:p>
      <w:pPr>
        <w:pStyle w:val="Style21"/>
        <w:rPr>
          <w:b w:val="false"/>
          <w:b w:val="false"/>
        </w:rPr>
      </w:pPr>
      <w:bookmarkStart w:id="9" w:name="__RefHeading___Toc93935482"/>
      <w:bookmarkEnd w:id="9"/>
      <w:r>
        <w:rPr/>
        <w:t>3.1. PEE : Abondement sur intéressement</w:t>
      </w:r>
    </w:p>
    <w:p>
      <w:pPr>
        <w:pStyle w:val="Corpsdetexte3"/>
        <w:rPr>
          <w:rFonts w:ascii="Calibri" w:hAnsi="Calibri" w:cs="Calibri"/>
          <w:b/>
          <w:b/>
          <w:sz w:val="22"/>
        </w:rPr>
      </w:pPr>
      <w:r>
        <w:rPr>
          <w:rFonts w:cs="Calibri" w:ascii="Calibri" w:hAnsi="Calibri"/>
          <w:b/>
          <w:sz w:val="22"/>
        </w:rPr>
      </w:r>
    </w:p>
    <w:p>
      <w:pPr>
        <w:pStyle w:val="Corpsdetexte3"/>
        <w:spacing w:lineRule="auto" w:line="240"/>
        <w:rPr/>
      </w:pPr>
      <w:r>
        <w:rPr>
          <w:rFonts w:cs="Calibri" w:ascii="Calibri" w:hAnsi="Calibri"/>
          <w:bCs/>
          <w:sz w:val="22"/>
        </w:rPr>
        <w:t>Il a été convenu, au titre de l’année 2022, de l’attribution d’un abondement sur intéressement relatif à l’exercice 2021, selon les conditions suivantes :</w:t>
      </w:r>
    </w:p>
    <w:p>
      <w:pPr>
        <w:pStyle w:val="Corpsdetexte3"/>
        <w:spacing w:lineRule="auto" w:line="240"/>
        <w:rPr>
          <w:rFonts w:ascii="Calibri" w:hAnsi="Calibri" w:cs="Calibri"/>
          <w:bCs/>
          <w:sz w:val="22"/>
        </w:rPr>
      </w:pPr>
      <w:r>
        <w:rPr>
          <w:rFonts w:cs="Calibri" w:ascii="Calibri" w:hAnsi="Calibri"/>
          <w:bCs/>
          <w:sz w:val="22"/>
        </w:rPr>
      </w:r>
    </w:p>
    <w:p>
      <w:pPr>
        <w:pStyle w:val="Corpsdetexte3"/>
        <w:numPr>
          <w:ilvl w:val="0"/>
          <w:numId w:val="3"/>
        </w:numPr>
        <w:spacing w:lineRule="auto" w:line="240"/>
        <w:rPr>
          <w:rFonts w:ascii="Calibri" w:hAnsi="Calibri" w:cs="Calibri"/>
          <w:bCs/>
          <w:sz w:val="22"/>
        </w:rPr>
      </w:pPr>
      <w:r>
        <w:rPr>
          <w:rFonts w:cs="Calibri" w:ascii="Calibri" w:hAnsi="Calibri"/>
          <w:bCs/>
          <w:sz w:val="22"/>
          <w:u w:val="single"/>
        </w:rPr>
        <w:t>Modalités </w:t>
      </w:r>
      <w:r>
        <w:rPr>
          <w:rFonts w:cs="Calibri" w:ascii="Calibri" w:hAnsi="Calibri"/>
          <w:bCs/>
          <w:sz w:val="22"/>
        </w:rPr>
        <w:t>: 300% d’un versement volontaire de l’intéressement 2021 sur le PEE de l’entreprise, plafonné à 750€ avant déduction de la CSG et CRDS (soit un abondement maximal de 750€ bruts pour 250€ bruts placés par le salarié).</w:t>
      </w:r>
    </w:p>
    <w:p>
      <w:pPr>
        <w:pStyle w:val="Corpsdetexte3"/>
        <w:spacing w:lineRule="auto" w:line="240"/>
        <w:ind w:left="360" w:hanging="0"/>
        <w:rPr>
          <w:rFonts w:ascii="Calibri" w:hAnsi="Calibri" w:cs="Calibri"/>
          <w:bCs/>
          <w:sz w:val="22"/>
        </w:rPr>
      </w:pPr>
      <w:r>
        <w:rPr>
          <w:rFonts w:cs="Calibri" w:ascii="Calibri" w:hAnsi="Calibri"/>
          <w:bCs/>
          <w:sz w:val="22"/>
        </w:rPr>
      </w:r>
    </w:p>
    <w:p>
      <w:pPr>
        <w:pStyle w:val="Corpsdetexte3"/>
        <w:numPr>
          <w:ilvl w:val="0"/>
          <w:numId w:val="3"/>
        </w:numPr>
        <w:spacing w:lineRule="auto" w:line="240"/>
        <w:rPr>
          <w:rFonts w:ascii="Calibri" w:hAnsi="Calibri" w:cs="Calibri"/>
          <w:bCs/>
          <w:sz w:val="22"/>
        </w:rPr>
      </w:pPr>
      <w:r>
        <w:rPr>
          <w:rFonts w:cs="Calibri" w:ascii="Calibri" w:hAnsi="Calibri"/>
          <w:bCs/>
          <w:sz w:val="22"/>
          <w:u w:val="single"/>
        </w:rPr>
        <w:t>Personnel concerné</w:t>
      </w:r>
      <w:r>
        <w:rPr>
          <w:rFonts w:cs="Calibri" w:ascii="Calibri" w:hAnsi="Calibri"/>
          <w:bCs/>
          <w:sz w:val="22"/>
        </w:rPr>
        <w:t> : tous les salariés bénéficiant de l’intéressement au titre de 2021, présents au moment du versement de cet intéressement et plaçant tout ou partie de leur prime d’intéressement sur le PEE.</w:t>
      </w:r>
    </w:p>
    <w:p>
      <w:pPr>
        <w:pStyle w:val="Paragraphedeliste"/>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Cet abondement sera formalisé par un avenant à l’accord PEE.</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Style12"/>
        <w:rPr/>
      </w:pPr>
      <w:bookmarkStart w:id="10" w:name="__RefHeading___Toc93935483"/>
      <w:bookmarkEnd w:id="10"/>
      <w:r>
        <w:rPr>
          <w:sz w:val="26"/>
          <w:szCs w:val="26"/>
        </w:rPr>
        <w:t>Article 5.- Budget du CSE</w:t>
      </w:r>
    </w:p>
    <w:p>
      <w:pPr>
        <w:pStyle w:val="Corpsdetexte3"/>
        <w:spacing w:lineRule="auto" w:line="240"/>
        <w:rPr>
          <w:rFonts w:ascii="Calibri" w:hAnsi="Calibri" w:cs="Calibri"/>
          <w:bCs/>
          <w:sz w:val="22"/>
          <w:szCs w:val="26"/>
        </w:rPr>
      </w:pPr>
      <w:r>
        <w:rPr>
          <w:rFonts w:cs="Calibri" w:ascii="Calibri" w:hAnsi="Calibri"/>
          <w:bCs/>
          <w:sz w:val="22"/>
          <w:szCs w:val="26"/>
        </w:rPr>
      </w:r>
    </w:p>
    <w:p>
      <w:pPr>
        <w:pStyle w:val="Corpsdetexte3"/>
        <w:spacing w:lineRule="auto" w:line="240"/>
        <w:rPr>
          <w:rFonts w:ascii="Calibri" w:hAnsi="Calibri" w:cs="Calibri"/>
          <w:bCs/>
          <w:sz w:val="22"/>
        </w:rPr>
      </w:pPr>
      <w:r>
        <w:rPr>
          <w:rFonts w:cs="Calibri" w:ascii="Calibri" w:hAnsi="Calibri"/>
          <w:bCs/>
          <w:sz w:val="22"/>
        </w:rPr>
        <w:t>Il a été convenu de passer le budget social 2022 du CSE à 325 000€.</w:t>
      </w:r>
    </w:p>
    <w:p>
      <w:pPr>
        <w:pStyle w:val="Corpsdetexte3"/>
        <w:spacing w:lineRule="auto" w:line="240"/>
        <w:rPr>
          <w:rFonts w:ascii="Calibri" w:hAnsi="Calibri" w:cs="Calibri"/>
          <w:bCs/>
          <w:sz w:val="22"/>
        </w:rPr>
      </w:pPr>
      <w:r>
        <w:rPr>
          <w:rFonts w:cs="Calibri" w:ascii="Calibri" w:hAnsi="Calibri"/>
          <w:bCs/>
          <w:sz w:val="22"/>
        </w:rPr>
      </w:r>
    </w:p>
    <w:p>
      <w:pPr>
        <w:pStyle w:val="Style12"/>
        <w:rPr/>
      </w:pPr>
      <w:bookmarkStart w:id="11" w:name="__RefHeading___Toc93935484"/>
      <w:bookmarkEnd w:id="11"/>
      <w:r>
        <w:rPr>
          <w:sz w:val="26"/>
          <w:szCs w:val="26"/>
        </w:rPr>
        <w:t>Article 6.- Qualité de vie au travail</w:t>
      </w:r>
    </w:p>
    <w:p>
      <w:pPr>
        <w:pStyle w:val="Corpsdetexte3"/>
        <w:spacing w:lineRule="auto" w:line="240"/>
        <w:rPr>
          <w:rFonts w:ascii="Calibri" w:hAnsi="Calibri" w:cs="Calibri"/>
          <w:bCs/>
          <w:sz w:val="22"/>
          <w:szCs w:val="26"/>
        </w:rPr>
      </w:pPr>
      <w:r>
        <w:rPr>
          <w:rFonts w:cs="Calibri" w:ascii="Calibri" w:hAnsi="Calibri"/>
          <w:bCs/>
          <w:sz w:val="22"/>
          <w:szCs w:val="26"/>
        </w:rPr>
      </w:r>
    </w:p>
    <w:p>
      <w:pPr>
        <w:pStyle w:val="Style21"/>
        <w:rPr>
          <w:bCs/>
        </w:rPr>
      </w:pPr>
      <w:bookmarkStart w:id="12" w:name="__RefHeading___Toc93935485"/>
      <w:r>
        <w:rPr/>
        <w:t>6.1. Télétravail</w:t>
      </w:r>
      <w:bookmarkEnd w:id="12"/>
      <w:r>
        <w:rPr/>
        <w:t xml:space="preserve"> </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pPr>
      <w:r>
        <w:rPr>
          <w:rFonts w:cs="Calibri" w:ascii="Calibri" w:hAnsi="Calibri"/>
          <w:bCs/>
          <w:sz w:val="22"/>
        </w:rPr>
        <w:t>Il est convenu de signer prochainement un avenant à l’accord Qualité de Vie au Travail afin de prévoir le passage possible à 2 jours de télétravail pour les emplois éligibles.</w:t>
      </w:r>
    </w:p>
    <w:p>
      <w:pPr>
        <w:pStyle w:val="Corpsdetexte3"/>
        <w:spacing w:lineRule="auto" w:line="240"/>
        <w:rPr>
          <w:rFonts w:ascii="Calibri" w:hAnsi="Calibri" w:cs="Calibri"/>
          <w:bCs/>
          <w:sz w:val="22"/>
        </w:rPr>
      </w:pPr>
      <w:r>
        <w:rPr>
          <w:rFonts w:cs="Calibri" w:ascii="Calibri" w:hAnsi="Calibri"/>
          <w:bCs/>
          <w:sz w:val="22"/>
        </w:rPr>
      </w:r>
    </w:p>
    <w:p>
      <w:pPr>
        <w:pStyle w:val="Style21"/>
        <w:rPr/>
      </w:pPr>
      <w:bookmarkStart w:id="13" w:name="__RefHeading___Toc93935486"/>
      <w:bookmarkEnd w:id="13"/>
      <w:r>
        <w:rPr/>
        <w:t>6.2. Mesures en faveur des travailleurs ayant une reconnaissance de travailleurs handicapés</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t>Il est convenu de signer prochainement un avenant à l’accord Qualité de Vie au Travail afin de prévoir la possibilité de s’absenter pour quatre rendez-vous médicaux en rapport avec le Handicap, dans la limite d’une demi-journée par rendez-vous, sur justificatif médical.</w:t>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Corpsdetexte3"/>
        <w:spacing w:lineRule="auto" w:line="240"/>
        <w:rPr>
          <w:rFonts w:ascii="Calibri" w:hAnsi="Calibri" w:cs="Calibri"/>
          <w:bCs/>
          <w:sz w:val="22"/>
        </w:rPr>
      </w:pPr>
      <w:r>
        <w:rPr>
          <w:rFonts w:cs="Calibri" w:ascii="Calibri" w:hAnsi="Calibri"/>
          <w:bCs/>
          <w:sz w:val="22"/>
        </w:rPr>
      </w:r>
    </w:p>
    <w:p>
      <w:pPr>
        <w:pStyle w:val="Style31"/>
        <w:jc w:val="both"/>
        <w:rPr/>
      </w:pPr>
      <w:bookmarkStart w:id="14" w:name="__RefHeading___Toc93935487"/>
      <w:r>
        <w:rPr/>
        <w:t>Partie 2 : Dispositions générales</w:t>
      </w:r>
      <w:bookmarkEnd w:id="14"/>
      <w:r>
        <w:rPr/>
        <w:t xml:space="preserve"> </w:t>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Style12"/>
        <w:rPr/>
      </w:pPr>
      <w:bookmarkStart w:id="15" w:name="__RefHeading___Toc93935488"/>
      <w:bookmarkEnd w:id="15"/>
      <w:r>
        <w:rPr>
          <w:sz w:val="26"/>
          <w:szCs w:val="26"/>
        </w:rPr>
        <w:t>Article 1.- Champ d’application</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t xml:space="preserve">Le présent accord s’applique à l’ensemble du personnel de la société EURO INFORMATION SERVICES présent à la date de signature. </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r>
    </w:p>
    <w:p>
      <w:pPr>
        <w:pStyle w:val="Style12"/>
        <w:rPr/>
      </w:pPr>
      <w:bookmarkStart w:id="16" w:name="__RefHeading___Toc93935489"/>
      <w:bookmarkEnd w:id="16"/>
      <w:r>
        <w:rPr>
          <w:sz w:val="26"/>
          <w:szCs w:val="26"/>
        </w:rPr>
        <w:t>Article 2.- Modalités d’adoption</w:t>
      </w:r>
    </w:p>
    <w:p>
      <w:pPr>
        <w:pStyle w:val="Normal"/>
        <w:rPr>
          <w:rFonts w:ascii="Calibri" w:hAnsi="Calibri" w:cs="Calibri"/>
          <w:sz w:val="22"/>
          <w:szCs w:val="24"/>
        </w:rPr>
      </w:pPr>
      <w:r>
        <w:rPr>
          <w:rFonts w:cs="Calibri" w:ascii="Calibri" w:hAnsi="Calibri"/>
          <w:sz w:val="22"/>
          <w:szCs w:val="24"/>
        </w:rPr>
      </w:r>
    </w:p>
    <w:p>
      <w:pPr>
        <w:pStyle w:val="Normal"/>
        <w:rPr/>
      </w:pPr>
      <w:r>
        <w:rPr>
          <w:rFonts w:cs="Calibri" w:ascii="Calibri" w:hAnsi="Calibri"/>
          <w:sz w:val="22"/>
          <w:szCs w:val="24"/>
        </w:rPr>
        <w:t xml:space="preserve">Le présent accord a été conclu entre la Direction de l’entreprise et les Délégués Syndicaux signataires représentatifs dans l’entreprise. </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r>
    </w:p>
    <w:p>
      <w:pPr>
        <w:pStyle w:val="Style12"/>
        <w:rPr/>
      </w:pPr>
      <w:bookmarkStart w:id="17" w:name="__RefHeading___Toc93935490"/>
      <w:bookmarkEnd w:id="17"/>
      <w:r>
        <w:rPr>
          <w:sz w:val="26"/>
          <w:szCs w:val="26"/>
        </w:rPr>
        <w:t>Article 3.- Entrée en vigueur, durée</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t xml:space="preserve">Le présent accord prend effet à la date de signature. Il est conclu selon les thèmes, </w:t>
      </w:r>
    </w:p>
    <w:p>
      <w:pPr>
        <w:pStyle w:val="Normal"/>
        <w:numPr>
          <w:ilvl w:val="0"/>
          <w:numId w:val="3"/>
        </w:numPr>
        <w:rPr/>
      </w:pPr>
      <w:r>
        <w:rPr>
          <w:rFonts w:cs="Calibri" w:ascii="Calibri" w:hAnsi="Calibri"/>
          <w:sz w:val="22"/>
          <w:szCs w:val="24"/>
        </w:rPr>
        <w:t>soit pour une durée déterminée d’un an (année 2022) pour les thèmes suivants : augmentation générale, individuelle, abondement sur intéressement, budget social.</w:t>
      </w:r>
    </w:p>
    <w:p>
      <w:pPr>
        <w:pStyle w:val="Normal"/>
        <w:numPr>
          <w:ilvl w:val="0"/>
          <w:numId w:val="3"/>
        </w:numPr>
        <w:rPr>
          <w:rFonts w:ascii="Calibri" w:hAnsi="Calibri" w:cs="Calibri"/>
          <w:sz w:val="22"/>
          <w:szCs w:val="24"/>
        </w:rPr>
      </w:pPr>
      <w:r>
        <w:rPr>
          <w:rFonts w:cs="Calibri" w:ascii="Calibri" w:hAnsi="Calibri"/>
          <w:sz w:val="22"/>
          <w:szCs w:val="24"/>
        </w:rPr>
        <w:t xml:space="preserve">soit pour une durée indéterminée pour les autres thèmes (salaire minimum) </w:t>
      </w:r>
    </w:p>
    <w:p>
      <w:pPr>
        <w:pStyle w:val="Normal"/>
        <w:rPr>
          <w:rFonts w:ascii="Calibri" w:hAnsi="Calibri" w:cs="Calibri"/>
          <w:sz w:val="22"/>
          <w:szCs w:val="24"/>
        </w:rPr>
      </w:pPr>
      <w:r>
        <w:rPr>
          <w:rFonts w:cs="Calibri" w:ascii="Calibri" w:hAnsi="Calibri"/>
          <w:sz w:val="22"/>
          <w:szCs w:val="24"/>
        </w:rPr>
      </w:r>
    </w:p>
    <w:p>
      <w:pPr>
        <w:pStyle w:val="Style12"/>
        <w:rPr/>
      </w:pPr>
      <w:bookmarkStart w:id="18" w:name="__RefHeading___Toc93935491"/>
      <w:bookmarkEnd w:id="18"/>
      <w:r>
        <w:rPr>
          <w:sz w:val="26"/>
          <w:szCs w:val="26"/>
        </w:rPr>
        <w:t>Article 4.- Litiges</w:t>
      </w:r>
    </w:p>
    <w:p>
      <w:pPr>
        <w:pStyle w:val="Normal"/>
        <w:rPr>
          <w:rFonts w:ascii="Calibri" w:hAnsi="Calibri" w:cs="Calibri"/>
          <w:sz w:val="22"/>
          <w:szCs w:val="24"/>
        </w:rPr>
      </w:pPr>
      <w:r>
        <w:rPr>
          <w:rFonts w:cs="Calibri" w:ascii="Calibri" w:hAnsi="Calibri"/>
          <w:sz w:val="22"/>
          <w:szCs w:val="24"/>
        </w:rPr>
      </w:r>
    </w:p>
    <w:p>
      <w:pPr>
        <w:pStyle w:val="Normal"/>
        <w:rPr/>
      </w:pPr>
      <w:r>
        <w:rPr>
          <w:rFonts w:cs="Calibri" w:ascii="Calibri" w:hAnsi="Calibri"/>
          <w:sz w:val="22"/>
          <w:szCs w:val="24"/>
        </w:rPr>
        <w:t>Avant toute procédure contentieuse, les parties au présent accord s’efforceront de régler à l’amiable les litiges individuels ou collectifs susceptibles de survenir quant à l’interprétation et à l’application du présent accord.</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r>
    </w:p>
    <w:p>
      <w:pPr>
        <w:pStyle w:val="Style12"/>
        <w:rPr/>
      </w:pPr>
      <w:bookmarkStart w:id="19" w:name="__RefHeading___Toc93935492"/>
      <w:bookmarkEnd w:id="19"/>
      <w:r>
        <w:rPr>
          <w:sz w:val="26"/>
          <w:szCs w:val="26"/>
        </w:rPr>
        <w:t>Article 5.- Dépôt et publicité</w:t>
      </w:r>
    </w:p>
    <w:p>
      <w:pPr>
        <w:pStyle w:val="Normal"/>
        <w:ind w:left="357" w:hanging="0"/>
        <w:rPr>
          <w:rFonts w:ascii="Calibri" w:hAnsi="Calibri" w:cs="Calibri"/>
          <w:color w:val="000000"/>
          <w:sz w:val="26"/>
          <w:szCs w:val="26"/>
        </w:rPr>
      </w:pPr>
      <w:r>
        <w:rPr>
          <w:rFonts w:cs="Calibri" w:ascii="Calibri" w:hAnsi="Calibri"/>
          <w:color w:val="000000"/>
          <w:sz w:val="26"/>
          <w:szCs w:val="26"/>
        </w:rPr>
      </w:r>
    </w:p>
    <w:p>
      <w:pPr>
        <w:pStyle w:val="Normal"/>
        <w:rPr>
          <w:rFonts w:ascii="Calibri" w:hAnsi="Calibri" w:cs="Calibri"/>
          <w:sz w:val="22"/>
          <w:szCs w:val="24"/>
        </w:rPr>
      </w:pPr>
      <w:r>
        <w:rPr>
          <w:rFonts w:cs="Calibri" w:ascii="Calibri" w:hAnsi="Calibri"/>
          <w:sz w:val="22"/>
          <w:szCs w:val="24"/>
        </w:rPr>
        <w:t>Conformément à la loi, dès sa signature, le présent accord sera déposé sur la plateforme en ligne Téléaccords.</w:t>
      </w:r>
    </w:p>
    <w:p>
      <w:pPr>
        <w:pStyle w:val="Normal"/>
        <w:rPr>
          <w:rFonts w:ascii="Calibri" w:hAnsi="Calibri" w:cs="Calibri"/>
          <w:sz w:val="22"/>
          <w:szCs w:val="24"/>
        </w:rPr>
      </w:pPr>
      <w:r>
        <w:rPr>
          <w:rFonts w:cs="Calibri" w:ascii="Calibri" w:hAnsi="Calibri"/>
          <w:sz w:val="22"/>
          <w:szCs w:val="24"/>
        </w:rPr>
      </w:r>
    </w:p>
    <w:p>
      <w:pPr>
        <w:pStyle w:val="Normal"/>
        <w:rPr>
          <w:rFonts w:ascii="Calibri" w:hAnsi="Calibri" w:cs="Calibri"/>
          <w:sz w:val="22"/>
          <w:szCs w:val="24"/>
        </w:rPr>
      </w:pPr>
      <w:r>
        <w:rPr>
          <w:rFonts w:cs="Calibri" w:ascii="Calibri" w:hAnsi="Calibri"/>
          <w:sz w:val="22"/>
          <w:szCs w:val="24"/>
        </w:rPr>
        <w:t>Cet accord sera mis en ligne sous Pixis et un mail en informera les salariés.</w:t>
      </w:r>
    </w:p>
    <w:p>
      <w:pPr>
        <w:pStyle w:val="Normal"/>
        <w:rPr>
          <w:rFonts w:ascii="Calibri" w:hAnsi="Calibri" w:cs="Calibri"/>
          <w:sz w:val="22"/>
          <w:szCs w:val="24"/>
        </w:rPr>
      </w:pPr>
      <w:r>
        <w:rPr>
          <w:rFonts w:cs="Calibri" w:ascii="Calibri" w:hAnsi="Calibri"/>
          <w:sz w:val="22"/>
          <w:szCs w:val="24"/>
        </w:rPr>
      </w:r>
    </w:p>
    <w:p>
      <w:pPr>
        <w:pStyle w:val="Normal"/>
        <w:rPr/>
      </w:pPr>
      <w:r>
        <w:rPr>
          <w:rFonts w:cs="Calibri" w:ascii="Calibri" w:hAnsi="Calibri"/>
          <w:sz w:val="22"/>
          <w:szCs w:val="24"/>
        </w:rPr>
        <w:t xml:space="preserve">L’entreprise remettra également un exemplaire du présent accord au Greffe du Conseil de Prud’hommes de Mulhouse. </w:t>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r>
    </w:p>
    <w:p>
      <w:pPr>
        <w:pStyle w:val="Normal"/>
        <w:tabs>
          <w:tab w:val="left" w:pos="4536" w:leader="none"/>
        </w:tabs>
        <w:rPr>
          <w:rFonts w:ascii="Calibri" w:hAnsi="Calibri" w:cs="Calibri"/>
          <w:sz w:val="22"/>
          <w:szCs w:val="24"/>
        </w:rPr>
      </w:pPr>
      <w:r>
        <w:rPr>
          <w:rFonts w:cs="Calibri" w:ascii="Calibri" w:hAnsi="Calibri"/>
          <w:sz w:val="22"/>
          <w:szCs w:val="24"/>
        </w:rPr>
        <w:t>Fait à Mulhouse, le 24 janvier 2022, en huit exemplaires originaux.</w:t>
      </w:r>
    </w:p>
    <w:p>
      <w:pPr>
        <w:pStyle w:val="Normal"/>
        <w:ind w:right="-1" w:hanging="0"/>
        <w:rPr>
          <w:rFonts w:ascii="Calibri" w:hAnsi="Calibri" w:cs="Calibri"/>
          <w:sz w:val="22"/>
          <w:szCs w:val="24"/>
        </w:rPr>
      </w:pPr>
      <w:r>
        <w:rPr>
          <w:rFonts w:cs="Calibri" w:ascii="Calibri" w:hAnsi="Calibri"/>
          <w:sz w:val="22"/>
          <w:szCs w:val="24"/>
        </w:rPr>
      </w:r>
    </w:p>
    <w:p>
      <w:pPr>
        <w:pStyle w:val="Normal"/>
        <w:ind w:right="-1" w:hanging="0"/>
        <w:rPr>
          <w:rFonts w:ascii="Calibri" w:hAnsi="Calibri" w:cs="Calibri"/>
          <w:sz w:val="22"/>
        </w:rPr>
      </w:pPr>
      <w:r>
        <w:rPr>
          <w:rFonts w:cs="Calibri" w:ascii="Calibri" w:hAnsi="Calibri"/>
          <w:sz w:val="22"/>
        </w:rPr>
      </w:r>
    </w:p>
    <w:p>
      <w:pPr>
        <w:pStyle w:val="Normal"/>
        <w:ind w:right="-1" w:hanging="0"/>
        <w:rPr>
          <w:rFonts w:ascii="Calibri" w:hAnsi="Calibri" w:cs="Calibri"/>
          <w:sz w:val="22"/>
        </w:rPr>
      </w:pPr>
      <w:r>
        <w:rPr>
          <w:rFonts w:cs="Calibri" w:ascii="Calibri" w:hAnsi="Calibri"/>
          <w:sz w:val="22"/>
        </w:rPr>
      </w:r>
    </w:p>
    <w:p>
      <w:pPr>
        <w:pStyle w:val="Normal"/>
        <w:ind w:right="-1" w:hanging="0"/>
        <w:rPr>
          <w:rFonts w:ascii="Calibri" w:hAnsi="Calibri" w:cs="Calibri"/>
          <w:b/>
          <w:b/>
          <w:color w:val="000000"/>
          <w:sz w:val="22"/>
          <w:lang w:val="en-GB" w:eastAsia="en-GB"/>
        </w:rPr>
      </w:pPr>
      <w:r>
        <w:rPr>
          <w:rFonts w:cs="Calibri" w:ascii="Calibri" w:hAnsi="Calibri"/>
          <w:b/>
          <w:color w:val="000000"/>
          <w:sz w:val="22"/>
          <w:lang w:val="en-GB" w:eastAsia="en-GB"/>
        </w:rPr>
        <w:t>Pour l’Entreprise :</w:t>
      </w:r>
    </w:p>
    <w:p>
      <w:pPr>
        <w:pStyle w:val="Normal"/>
        <w:ind w:right="-1" w:hanging="0"/>
        <w:rPr>
          <w:rFonts w:ascii="Calibri" w:hAnsi="Calibri" w:cs="Calibri"/>
          <w:b/>
          <w:b/>
          <w:color w:val="000000"/>
          <w:sz w:val="22"/>
          <w:lang w:val="en-GB" w:eastAsia="en-GB"/>
        </w:rPr>
      </w:pPr>
      <w:r>
        <w:rPr>
          <w:rFonts w:cs="Calibri" w:ascii="Calibri" w:hAnsi="Calibri"/>
          <w:b/>
          <w:color w:val="000000"/>
          <w:sz w:val="22"/>
          <w:lang w:val="en-GB" w:eastAsia="en-GB"/>
        </w:rPr>
      </w:r>
    </w:p>
    <w:p>
      <w:pPr>
        <w:pStyle w:val="Normal"/>
        <w:ind w:right="-1" w:hanging="0"/>
        <w:rPr>
          <w:rFonts w:ascii="Calibri" w:hAnsi="Calibri" w:cs="Calibri"/>
          <w:color w:val="000000"/>
          <w:sz w:val="22"/>
          <w:lang w:val="en-GB" w:eastAsia="en-GB"/>
        </w:rPr>
      </w:pPr>
      <w:r>
        <w:rPr>
          <w:rFonts w:cs="Calibri" w:ascii="Calibri" w:hAnsi="Calibri"/>
          <w:color w:val="000000"/>
          <w:sz w:val="22"/>
          <w:lang w:val="en-GB" w:eastAsia="en-GB"/>
        </w:rPr>
      </w:r>
    </w:p>
    <w:p>
      <w:pPr>
        <w:pStyle w:val="Normal"/>
        <w:ind w:right="-1" w:hanging="0"/>
        <w:rPr>
          <w:rFonts w:ascii="Calibri" w:hAnsi="Calibri" w:cs="Calibri"/>
          <w:b/>
          <w:b/>
          <w:color w:val="000000"/>
          <w:sz w:val="22"/>
          <w:lang w:val="en-GB" w:eastAsia="en-GB"/>
        </w:rPr>
      </w:pPr>
      <w:r>
        <w:rPr>
          <w:rFonts w:cs="Calibri" w:ascii="Calibri" w:hAnsi="Calibri"/>
          <w:b/>
          <w:color w:val="000000"/>
          <w:sz w:val="22"/>
          <w:lang w:val="en-GB" w:eastAsia="en-GB"/>
        </w:rPr>
      </w:r>
    </w:p>
    <w:p>
      <w:pPr>
        <w:pStyle w:val="Normal"/>
        <w:ind w:right="-1" w:hanging="0"/>
        <w:rPr>
          <w:rFonts w:ascii="Calibri" w:hAnsi="Calibri" w:cs="Calibri"/>
          <w:b/>
          <w:b/>
          <w:color w:val="000000"/>
          <w:sz w:val="22"/>
          <w:lang w:val="en-GB" w:eastAsia="en-GB"/>
        </w:rPr>
      </w:pPr>
      <w:r>
        <w:rPr>
          <w:rFonts w:cs="Calibri" w:ascii="Calibri" w:hAnsi="Calibri"/>
          <w:b/>
          <w:color w:val="000000"/>
          <w:sz w:val="22"/>
          <w:lang w:val="en-GB" w:eastAsia="en-GB"/>
        </w:rPr>
      </w:r>
    </w:p>
    <w:p>
      <w:pPr>
        <w:pStyle w:val="Normal"/>
        <w:ind w:right="-1" w:hanging="0"/>
        <w:rPr>
          <w:rFonts w:ascii="Calibri" w:hAnsi="Calibri" w:cs="Calibri"/>
          <w:b/>
          <w:b/>
          <w:color w:val="000000"/>
          <w:sz w:val="22"/>
          <w:lang w:val="en-GB" w:eastAsia="en-GB"/>
        </w:rPr>
      </w:pPr>
      <w:r>
        <w:rPr>
          <w:rFonts w:cs="Calibri" w:ascii="Calibri" w:hAnsi="Calibri"/>
          <w:b/>
          <w:color w:val="000000"/>
          <w:sz w:val="22"/>
          <w:lang w:val="en-GB" w:eastAsia="en-GB"/>
        </w:rPr>
      </w:r>
    </w:p>
    <w:p>
      <w:pPr>
        <w:pStyle w:val="Normal"/>
        <w:ind w:right="-1" w:hanging="0"/>
        <w:rPr>
          <w:rFonts w:ascii="Calibri" w:hAnsi="Calibri" w:cs="Calibri"/>
          <w:b/>
          <w:b/>
          <w:color w:val="000000"/>
          <w:lang w:val="en-GB" w:eastAsia="en-GB"/>
        </w:rPr>
      </w:pPr>
      <w:r>
        <w:rPr>
          <w:rFonts w:cs="Calibri" w:ascii="Calibri" w:hAnsi="Calibri"/>
          <w:b/>
          <w:color w:val="000000"/>
          <w:lang w:val="en-GB" w:eastAsia="en-GB"/>
        </w:rPr>
        <w:t>Les Délégués Syndicaux :</w:t>
      </w:r>
    </w:p>
    <w:sectPr>
      <w:headerReference w:type="default" r:id="rId3"/>
      <w:footerReference w:type="default" r:id="rId4"/>
      <w:type w:val="nextPage"/>
      <w:pgSz w:w="11906" w:h="16838"/>
      <w:pgMar w:left="1985" w:right="1418" w:header="72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Liberation Sans">
    <w:altName w:val="Arial"/>
    <w:charset w:val="01"/>
    <w:family w:val="swiss"/>
    <w:pitch w:val="variable"/>
  </w:font>
  <w:font w:name="Tahoma">
    <w:charset w:val="00"/>
    <w:family w:val="swiss"/>
    <w:pitch w:val="variable"/>
  </w:font>
  <w:font w:name="Calibri Light">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49" w:leader="none"/>
        <w:tab w:val="right" w:pos="8498" w:leader="none"/>
      </w:tabs>
      <w:rPr/>
    </w:pPr>
    <w:r>
      <w:rPr>
        <w:rFonts w:cs="Arial" w:ascii="Arial" w:hAnsi="Arial"/>
        <w:sz w:val="16"/>
      </w:rPr>
      <w:t xml:space="preserve">Page </w:t>
    </w:r>
    <w:r>
      <w:rPr>
        <w:rFonts w:cs="Arial" w:ascii="Arial" w:hAnsi="Arial"/>
        <w:sz w:val="16"/>
      </w:rPr>
      <w:fldChar w:fldCharType="begin"/>
    </w:r>
    <w:r>
      <w:instrText> PAGE </w:instrText>
    </w:r>
    <w:r>
      <w:fldChar w:fldCharType="separate"/>
    </w:r>
    <w:r>
      <w:t>1</w:t>
    </w:r>
    <w:r>
      <w:fldChar w:fldCharType="end"/>
    </w:r>
    <w:r>
      <w:rPr>
        <w:rFonts w:cs="Arial" w:ascii="Arial" w:hAnsi="Arial"/>
        <w:sz w:val="16"/>
      </w:rPr>
      <w:t xml:space="preserve"> sur </w:t>
    </w:r>
    <w:r>
      <w:rPr>
        <w:rFonts w:cs="Arial" w:ascii="Arial" w:hAnsi="Arial"/>
        <w:sz w:val="16"/>
      </w:rPr>
      <w:fldChar w:fldCharType="begin"/>
    </w:r>
    <w:r>
      <w:instrText> NUMPAGES \* ARABIC </w:instrText>
    </w:r>
    <w:r>
      <w:fldChar w:fldCharType="separate"/>
    </w:r>
    <w:r>
      <w:t>6</w:t>
    </w:r>
    <w:r>
      <w:fldChar w:fldCharType="end"/>
    </w:r>
    <w:r>
      <w:rPr>
        <w:rFonts w:cs="Arial" w:ascii="Arial" w:hAnsi="Arial"/>
        <w:sz w:val="16"/>
      </w:rPr>
      <w:tab/>
      <w:tab/>
      <w:t>Paraphes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249" w:leader="none"/>
        <w:tab w:val="right" w:pos="8498" w:leader="none"/>
      </w:tabs>
      <w:rPr/>
    </w:pPr>
    <w:r>
      <w:rPr>
        <w:rFonts w:cs="Arial" w:ascii="Arial" w:hAnsi="Arial"/>
        <w:sz w:val="16"/>
      </w:rPr>
      <w:t xml:space="preserve">Page </w:t>
    </w:r>
    <w:r>
      <w:rPr>
        <w:rFonts w:cs="Arial" w:ascii="Arial" w:hAnsi="Arial"/>
        <w:sz w:val="16"/>
      </w:rPr>
      <w:fldChar w:fldCharType="begin"/>
    </w:r>
    <w:r>
      <w:instrText> PAGE </w:instrText>
    </w:r>
    <w:r>
      <w:fldChar w:fldCharType="separate"/>
    </w:r>
    <w:r>
      <w:t>6</w:t>
    </w:r>
    <w:r>
      <w:fldChar w:fldCharType="end"/>
    </w:r>
    <w:r>
      <w:rPr>
        <w:rFonts w:cs="Arial" w:ascii="Arial" w:hAnsi="Arial"/>
        <w:sz w:val="16"/>
      </w:rPr>
      <w:t xml:space="preserve"> sur </w:t>
    </w:r>
    <w:r>
      <w:rPr>
        <w:rFonts w:cs="Arial" w:ascii="Arial" w:hAnsi="Arial"/>
        <w:sz w:val="16"/>
      </w:rPr>
      <w:fldChar w:fldCharType="begin"/>
    </w:r>
    <w:r>
      <w:instrText> NUMPAGES \* ARABIC </w:instrText>
    </w:r>
    <w:r>
      <w:fldChar w:fldCharType="separate"/>
    </w:r>
    <w:r>
      <w:t>6</w:t>
    </w:r>
    <w:r>
      <w:fldChar w:fldCharType="end"/>
    </w:r>
    <w:r>
      <w:rPr>
        <w:rFonts w:cs="Arial" w:ascii="Arial" w:hAnsi="Arial"/>
        <w:sz w:val="16"/>
      </w:rPr>
      <w:tab/>
      <w:tab/>
      <w:t>Paraphes :</w:t>
    </w:r>
  </w:p>
  <w:p>
    <w:pPr>
      <w:pStyle w:val="Footer"/>
      <w:jc w:val="right"/>
      <w:rPr>
        <w:bCs/>
        <w:sz w:val="20"/>
      </w:rPr>
    </w:pPr>
    <w:r>
      <w:rPr>
        <w:bCs/>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360"/>
        </w:tabs>
        <w:ind w:left="360" w:hanging="360"/>
      </w:pPr>
      <w:rPr>
        <w:sz w:val="22"/>
        <w:i w:val="false"/>
        <w:b/>
        <w:w w:val="100"/>
        <w:rFonts w:ascii="Times New Roman" w:hAnsi="Times New Roman" w:cs="Times New Roman"/>
      </w:rPr>
    </w:lvl>
  </w:abstractNum>
  <w:abstractNum w:abstractNumId="3">
    <w:lvl w:ilvl="0">
      <w:start w:val="1"/>
      <w:numFmt w:val="bullet"/>
      <w:lvlText w:val="-"/>
      <w:lvlJc w:val="left"/>
      <w:pPr>
        <w:tabs>
          <w:tab w:val="num" w:pos="360"/>
        </w:tabs>
        <w:ind w:left="360" w:hanging="360"/>
      </w:pPr>
      <w:rPr>
        <w:rFonts w:ascii="Times New Roman" w:hAnsi="Times New Roman" w:cs="Times New Roman" w:hint="default"/>
        <w:sz w:val="22"/>
        <w:szCs w:val="24"/>
        <w:rFonts w:cs="Times New Roman"/>
        <w:color w:val="000000"/>
      </w:rPr>
    </w:lvl>
  </w:abstractNum>
  <w:abstractNum w:abstractNumId="4">
    <w:lvl w:ilvl="0">
      <w:start w:val="1"/>
      <w:numFmt w:val="bullet"/>
      <w:lvlText w:val=""/>
      <w:lvlJc w:val="left"/>
      <w:pPr>
        <w:tabs>
          <w:tab w:val="num" w:pos="360"/>
        </w:tabs>
        <w:ind w:left="284" w:hanging="284"/>
      </w:pPr>
      <w:rPr>
        <w:rFonts w:ascii="Wingdings" w:hAnsi="Wingdings" w:cs="Wingdings" w:hint="default"/>
        <w:sz w:val="16"/>
        <w:rFonts w:cs="Wingdings"/>
      </w:r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spacing w:lineRule="atLeast" w:line="260"/>
      <w:jc w:val="both"/>
    </w:pPr>
    <w:rPr>
      <w:rFonts w:ascii="Times New Roman" w:hAnsi="Times New Roman" w:eastAsia="Times New Roman" w:cs="Times New Roman"/>
      <w:color w:val="auto"/>
      <w:sz w:val="24"/>
      <w:szCs w:val="20"/>
      <w:lang w:val="fr-FR" w:bidi="ar-SA" w:eastAsia="zh-CN"/>
    </w:rPr>
  </w:style>
  <w:style w:type="paragraph" w:styleId="Heading1">
    <w:name w:val="Heading 1"/>
    <w:basedOn w:val="Normal"/>
    <w:next w:val="Normal"/>
    <w:qFormat/>
    <w:pPr>
      <w:keepNext w:val="true"/>
      <w:numPr>
        <w:ilvl w:val="0"/>
        <w:numId w:val="1"/>
      </w:numPr>
      <w:spacing w:lineRule="atLeast" w:line="260" w:before="240" w:after="60"/>
      <w:outlineLvl w:val="0"/>
    </w:pPr>
    <w:rPr>
      <w:b/>
      <w:sz w:val="32"/>
    </w:rPr>
  </w:style>
  <w:style w:type="paragraph" w:styleId="Heading2">
    <w:name w:val="Heading 2"/>
    <w:basedOn w:val="Normal"/>
    <w:next w:val="Normal"/>
    <w:qFormat/>
    <w:pPr>
      <w:keepNext w:val="true"/>
      <w:numPr>
        <w:ilvl w:val="1"/>
        <w:numId w:val="1"/>
      </w:numPr>
      <w:spacing w:lineRule="atLeast" w:line="260" w:before="240" w:after="60"/>
      <w:outlineLvl w:val="1"/>
    </w:pPr>
    <w:rPr>
      <w:b/>
      <w:sz w:val="28"/>
    </w:rPr>
  </w:style>
  <w:style w:type="paragraph" w:styleId="Heading3">
    <w:name w:val="Heading 3"/>
    <w:basedOn w:val="Normal"/>
    <w:next w:val="Normal"/>
    <w:qFormat/>
    <w:pPr>
      <w:keepNext w:val="true"/>
      <w:numPr>
        <w:ilvl w:val="2"/>
        <w:numId w:val="1"/>
      </w:numPr>
      <w:spacing w:lineRule="atLeast" w:line="260" w:before="240" w:after="60"/>
      <w:outlineLvl w:val="2"/>
    </w:pPr>
    <w:rPr>
      <w:b/>
      <w:sz w:val="24"/>
    </w:rPr>
  </w:style>
  <w:style w:type="paragraph" w:styleId="Heading4">
    <w:name w:val="Heading 4"/>
    <w:basedOn w:val="Normal"/>
    <w:next w:val="Normal"/>
    <w:qFormat/>
    <w:pPr>
      <w:keepNext w:val="true"/>
      <w:numPr>
        <w:ilvl w:val="3"/>
        <w:numId w:val="1"/>
      </w:numPr>
      <w:spacing w:lineRule="atLeast" w:line="260" w:before="240" w:after="60"/>
      <w:outlineLvl w:val="3"/>
    </w:pPr>
    <w:rPr>
      <w:b/>
      <w:i/>
      <w:sz w:val="24"/>
    </w:rPr>
  </w:style>
  <w:style w:type="paragraph" w:styleId="Heading5">
    <w:name w:val="Heading 5"/>
    <w:basedOn w:val="Normal"/>
    <w:next w:val="Normal"/>
    <w:qFormat/>
    <w:pPr>
      <w:numPr>
        <w:ilvl w:val="4"/>
        <w:numId w:val="1"/>
      </w:numPr>
      <w:spacing w:lineRule="atLeast" w:line="260" w:before="240" w:after="60"/>
      <w:outlineLvl w:val="4"/>
    </w:pPr>
    <w:rPr>
      <w:i/>
    </w:rPr>
  </w:style>
  <w:style w:type="paragraph" w:styleId="Heading6">
    <w:name w:val="Heading 6"/>
    <w:basedOn w:val="Normal"/>
    <w:next w:val="Normal"/>
    <w:qFormat/>
    <w:pPr>
      <w:numPr>
        <w:ilvl w:val="5"/>
        <w:numId w:val="1"/>
      </w:numPr>
      <w:spacing w:lineRule="atLeast" w:line="260" w:before="240" w:after="60"/>
      <w:outlineLvl w:val="5"/>
    </w:pPr>
    <w:rPr>
      <w:i/>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style>
  <w:style w:type="character" w:styleId="WW8Num1z0">
    <w:name w:val="WW8Num1z0"/>
    <w:qFormat/>
    <w:rPr>
      <w:rFonts w:ascii="Wingdings" w:hAnsi="Wingdings" w:cs="Wingdings"/>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Calibri" w:hAnsi="Calibri"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Times New Roman" w:hAnsi="Times New Roman" w:eastAsia="Times New Roman" w:cs="Times New Roman"/>
    </w:rPr>
  </w:style>
  <w:style w:type="character" w:styleId="WW8Num4z2">
    <w:name w:val="WW8Num4z2"/>
    <w:qFormat/>
    <w:rPr>
      <w:rFonts w:ascii="Wingdings" w:hAnsi="Wingdings" w:cs="Wingdings"/>
    </w:rPr>
  </w:style>
  <w:style w:type="character" w:styleId="WW8Num4z4">
    <w:name w:val="WW8Num4z4"/>
    <w:qFormat/>
    <w:rPr>
      <w:rFonts w:ascii="Courier New" w:hAnsi="Courier New" w:cs="Courier New"/>
    </w:rPr>
  </w:style>
  <w:style w:type="character" w:styleId="WW8Num5z0">
    <w:name w:val="WW8Num5z0"/>
    <w:qFormat/>
    <w:rPr>
      <w:rFonts w:ascii="Times New Roman" w:hAnsi="Times New Roman" w:cs="Times New Roman"/>
      <w:b/>
      <w:i w:val="false"/>
      <w:w w:val="100"/>
      <w:sz w:val="22"/>
    </w:rPr>
  </w:style>
  <w:style w:type="character" w:styleId="WW8Num6z0">
    <w:name w:val="WW8Num6z0"/>
    <w:qFormat/>
    <w:rPr>
      <w:rFonts w:ascii="Wingdings" w:hAnsi="Wingdings" w:cs="Wingdings"/>
      <w:b w:val="false"/>
      <w:i w:val="false"/>
    </w:rPr>
  </w:style>
  <w:style w:type="character" w:styleId="WW8Num6z1">
    <w:name w:val="WW8Num6z1"/>
    <w:qFormat/>
    <w:rPr>
      <w:rFonts w:ascii="Wingdings" w:hAnsi="Wingdings" w:cs="Wingdings"/>
      <w:b w:val="false"/>
      <w:i w:val="false"/>
      <w:sz w:val="24"/>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Symbol" w:hAnsi="Symbol" w:eastAsia="Times New Roman" w:cs="Times New Roman"/>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Courier New" w:hAnsi="Courier New" w:cs="Courier New"/>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sz w:val="24"/>
    </w:rPr>
  </w:style>
  <w:style w:type="character" w:styleId="WW8Num10z1">
    <w:name w:val="WW8Num10z1"/>
    <w:qFormat/>
    <w:rPr>
      <w:sz w:val="24"/>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color w:val="000000"/>
      <w:sz w:val="22"/>
      <w:szCs w:val="24"/>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Wingdings" w:hAnsi="Wingdings" w:cs="Wingdings"/>
    </w:rPr>
  </w:style>
  <w:style w:type="character" w:styleId="WW8Num17z3">
    <w:name w:val="WW8Num17z3"/>
    <w:qFormat/>
    <w:rPr>
      <w:rFonts w:ascii="Symbol" w:hAnsi="Symbol" w:cs="Symbol"/>
    </w:rPr>
  </w:style>
  <w:style w:type="character" w:styleId="WW8Num17z4">
    <w:name w:val="WW8Num17z4"/>
    <w:qFormat/>
    <w:rPr>
      <w:rFonts w:ascii="Courier New" w:hAnsi="Courier New" w:cs="Courier New"/>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rFonts w:ascii="Symbol" w:hAnsi="Symbol" w:eastAsia="Calibri"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sz w:val="16"/>
    </w:rPr>
  </w:style>
  <w:style w:type="character" w:styleId="WW8Num21z0">
    <w:name w:val="WW8Num21z0"/>
    <w:qFormat/>
    <w:rPr>
      <w:rFonts w:ascii="Times New Roman" w:hAnsi="Times New Roman" w:eastAsia="Times New Roman" w:cs="Times New Roman"/>
    </w:rPr>
  </w:style>
  <w:style w:type="character" w:styleId="WW8Num21z1">
    <w:name w:val="WW8Num21z1"/>
    <w:qFormat/>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1z4">
    <w:name w:val="WW8Num21z4"/>
    <w:qFormat/>
    <w:rPr>
      <w:rFonts w:ascii="Courier New" w:hAnsi="Courier New" w:cs="Courier New"/>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Times New Roman" w:hAnsi="Times New Roman" w:eastAsia="Times New Roman"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eastAsia="Times New Roman"/>
      <w:b w:val="false"/>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b w:val="false"/>
      <w:i w:val="false"/>
      <w:sz w:val="24"/>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Arial" w:hAnsi="Arial" w:eastAsia="Times New Roman" w:cs="Aria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Times New Roman" w:hAnsi="Times New Roman" w:eastAsia="Times New Roman" w:cs="Times New Roman"/>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Times New Roman" w:hAnsi="Times New Roman" w:eastAsia="Times New Roman" w:cs="Times New Roman"/>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rFonts w:ascii="Wingdings" w:hAnsi="Wingdings" w:cs="Wingdings"/>
      <w:sz w:val="16"/>
    </w:rPr>
  </w:style>
  <w:style w:type="character" w:styleId="WW8Num32z0">
    <w:name w:val="WW8Num32z0"/>
    <w:qFormat/>
    <w:rPr>
      <w:rFonts w:ascii="Wingdings" w:hAnsi="Wingdings" w:cs="Wingdings"/>
    </w:rPr>
  </w:style>
  <w:style w:type="character" w:styleId="WW8Num32z3">
    <w:name w:val="WW8Num32z3"/>
    <w:qFormat/>
    <w:rPr>
      <w:rFonts w:ascii="Symbol" w:hAnsi="Symbol" w:cs="Symbol"/>
    </w:rPr>
  </w:style>
  <w:style w:type="character" w:styleId="WW8Num32z4">
    <w:name w:val="WW8Num32z4"/>
    <w:qFormat/>
    <w:rPr>
      <w:rFonts w:ascii="Courier New" w:hAnsi="Courier New" w:cs="Courier New"/>
    </w:rPr>
  </w:style>
  <w:style w:type="character" w:styleId="WW8Num33z0">
    <w:name w:val="WW8Num33z0"/>
    <w:qFormat/>
    <w:rPr/>
  </w:style>
  <w:style w:type="character" w:styleId="WW8Num34z0">
    <w:name w:val="WW8Num34z0"/>
    <w:qFormat/>
    <w:rPr>
      <w:rFonts w:ascii="Symbol" w:hAnsi="Symbol" w:cs="Symbol"/>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Calibri" w:hAnsi="Calibri"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Times New Roman"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rFonts w:ascii="Wingdings" w:hAnsi="Wingdings" w:cs="Wingdings"/>
      <w:b w:val="false"/>
      <w:i w:val="false"/>
      <w:sz w:val="24"/>
    </w:rPr>
  </w:style>
  <w:style w:type="character" w:styleId="WW8Num40z1">
    <w:name w:val="WW8Num40z1"/>
    <w:qFormat/>
    <w:rPr>
      <w:rFonts w:ascii="Courier New" w:hAnsi="Courier New" w:cs="Courier New"/>
    </w:rPr>
  </w:style>
  <w:style w:type="character" w:styleId="WW8Num40z2">
    <w:name w:val="WW8Num40z2"/>
    <w:qFormat/>
    <w:rPr>
      <w:rFonts w:ascii="Wingdings" w:hAnsi="Wingdings" w:cs="Wingdings"/>
    </w:rPr>
  </w:style>
  <w:style w:type="character" w:styleId="WW8Num40z3">
    <w:name w:val="WW8Num40z3"/>
    <w:qFormat/>
    <w:rPr>
      <w:rFonts w:ascii="Symbol" w:hAnsi="Symbol" w:cs="Symbol"/>
    </w:rPr>
  </w:style>
  <w:style w:type="character" w:styleId="WW8Num41z0">
    <w:name w:val="WW8Num41z0"/>
    <w:qFormat/>
    <w:rPr>
      <w:rFonts w:ascii="Wingdings" w:hAnsi="Wingdings" w:cs="Wingdings"/>
    </w:rPr>
  </w:style>
  <w:style w:type="character" w:styleId="WW8Num41z1">
    <w:name w:val="WW8Num41z1"/>
    <w:qFormat/>
    <w:rPr>
      <w:rFonts w:ascii="Courier New" w:hAnsi="Courier New" w:cs="Courier New"/>
    </w:rPr>
  </w:style>
  <w:style w:type="character" w:styleId="WW8Num41z3">
    <w:name w:val="WW8Num41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EndnoteCharacters">
    <w:name w:val="Endnote Characters"/>
    <w:qFormat/>
    <w:rPr>
      <w:vertAlign w:val="superscript"/>
    </w:rPr>
  </w:style>
  <w:style w:type="character" w:styleId="VisitedInternetLink">
    <w:name w:val="Visited Internet Link"/>
    <w:rPr>
      <w:color w:val="800080"/>
      <w:u w:val="single"/>
    </w:rPr>
  </w:style>
  <w:style w:type="character" w:styleId="InternetLink">
    <w:name w:val="Internet Link"/>
    <w:rPr>
      <w:color w:val="0000FF"/>
      <w:u w:val="single"/>
    </w:rPr>
  </w:style>
  <w:style w:type="character" w:styleId="Txt">
    <w:name w:val="txt"/>
    <w:basedOn w:val="Policepardfaut"/>
    <w:qFormat/>
    <w:rPr/>
  </w:style>
  <w:style w:type="character" w:styleId="Hitjouve1">
    <w:name w:val="hitjouve1"/>
    <w:qFormat/>
    <w:rPr>
      <w:color w:val="FF0000"/>
    </w:rPr>
  </w:style>
  <w:style w:type="character" w:styleId="CharacterStyle1">
    <w:name w:val="Character Style 1"/>
    <w:qFormat/>
    <w:rPr>
      <w:rFonts w:ascii="Arial" w:hAnsi="Arial" w:cs="Arial"/>
      <w:sz w:val="22"/>
    </w:rPr>
  </w:style>
  <w:style w:type="character" w:styleId="St1">
    <w:name w:val="st1"/>
    <w:basedOn w:val="Policepardfaut"/>
    <w:qFormat/>
    <w:rPr/>
  </w:style>
  <w:style w:type="character" w:styleId="Corpsdetexte3Car">
    <w:name w:val="Corps de texte 3 Car"/>
    <w:qFormat/>
    <w:rPr>
      <w:sz w:val="24"/>
    </w:rPr>
  </w:style>
  <w:style w:type="character" w:styleId="Tite2Car">
    <w:name w:val="Tite 2 Car"/>
    <w:qFormat/>
    <w:rPr>
      <w:rFonts w:ascii="Arial" w:hAnsi="Arial" w:cs="Arial"/>
      <w:color w:val="455A64"/>
      <w:sz w:val="36"/>
      <w:szCs w:val="24"/>
    </w:rPr>
  </w:style>
  <w:style w:type="character" w:styleId="PieddepageCar">
    <w:name w:val="Pied de page Car"/>
    <w:qFormat/>
    <w:rPr>
      <w:sz w:val="24"/>
    </w:rPr>
  </w:style>
  <w:style w:type="character" w:styleId="Style1Car">
    <w:name w:val="Style1 Car"/>
    <w:qFormat/>
    <w:rPr>
      <w:rFonts w:ascii="Calibri" w:hAnsi="Calibri" w:cs="Calibri"/>
      <w:b/>
      <w:sz w:val="22"/>
      <w:szCs w:val="22"/>
      <w:shd w:fill="FFF2CC" w:val="clear"/>
    </w:rPr>
  </w:style>
  <w:style w:type="character" w:styleId="Style3Car">
    <w:name w:val="Style3 Car"/>
    <w:qFormat/>
    <w:rPr>
      <w:rFonts w:ascii="Calibri" w:hAnsi="Calibri" w:cs="Calibri"/>
      <w:b/>
      <w:sz w:val="28"/>
      <w:shd w:fill="B4C6E7" w:val="clear"/>
    </w:rPr>
  </w:style>
  <w:style w:type="character" w:styleId="Style2Car">
    <w:name w:val="Style2 Car"/>
    <w:qFormat/>
    <w:rPr>
      <w:rFonts w:ascii="Calibri" w:hAnsi="Calibri" w:cs="Calibri"/>
      <w:b/>
      <w:sz w:val="22"/>
      <w:szCs w:val="22"/>
      <w:shd w:fill="EDEDED" w:val="clear"/>
    </w:rPr>
  </w:style>
  <w:style w:type="character" w:styleId="TextebrutCar">
    <w:name w:val="Texte brut Car"/>
    <w:qFormat/>
    <w:rPr>
      <w:sz w:val="24"/>
    </w:rPr>
  </w:style>
  <w:style w:type="character" w:styleId="NotedebasdepageCar">
    <w:name w:val="Note de bas de page Car"/>
    <w:basedOn w:val="Policepardfaut"/>
    <w:qFormat/>
    <w:rPr/>
  </w:style>
  <w:style w:type="character" w:styleId="FootnoteCharacters">
    <w:name w:val="Footnote Characters"/>
    <w:qFormat/>
    <w:rPr>
      <w:vertAlign w:val="superscript"/>
    </w:rPr>
  </w:style>
  <w:style w:type="character" w:styleId="Marquedecommentaire">
    <w:name w:val="Marque de commentaire"/>
    <w:qFormat/>
    <w:rPr>
      <w:sz w:val="16"/>
      <w:szCs w:val="16"/>
    </w:rPr>
  </w:style>
  <w:style w:type="character" w:styleId="CommentaireCar">
    <w:name w:val="Commentaire Car"/>
    <w:basedOn w:val="Policepardfaut"/>
    <w:qFormat/>
    <w:rPr/>
  </w:style>
  <w:style w:type="character" w:styleId="ObjetducommentaireCar">
    <w:name w:val="Objet du commentaire Car"/>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color w:val="000000"/>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uce">
    <w:name w:val="puce"/>
    <w:qFormat/>
    <w:pPr>
      <w:widowControl/>
      <w:numPr>
        <w:ilvl w:val="0"/>
        <w:numId w:val="4"/>
      </w:numPr>
      <w:tabs>
        <w:tab w:val="left" w:pos="284" w:leader="none"/>
      </w:tabs>
      <w:spacing w:lineRule="atLeast" w:line="260" w:before="120" w:after="0"/>
      <w:jc w:val="both"/>
    </w:pPr>
    <w:rPr>
      <w:rFonts w:ascii="Times New Roman" w:hAnsi="Times New Roman" w:eastAsia="Times New Roman" w:cs="Times New Roman"/>
      <w:color w:val="auto"/>
      <w:sz w:val="22"/>
      <w:szCs w:val="20"/>
      <w:lang w:val="fr-FR" w:bidi="ar-SA" w:eastAsia="zh-CN"/>
    </w:rPr>
  </w:style>
  <w:style w:type="paragraph" w:styleId="Retrait2">
    <w:name w:val="Retrait 2"/>
    <w:basedOn w:val="Normal"/>
    <w:qFormat/>
    <w:pPr>
      <w:numPr>
        <w:ilvl w:val="0"/>
        <w:numId w:val="5"/>
      </w:numPr>
      <w:spacing w:lineRule="atLeast" w:line="260" w:before="120" w:after="0"/>
      <w:ind w:left="568" w:hanging="284"/>
    </w:pPr>
    <w:rPr/>
  </w:style>
  <w:style w:type="paragraph" w:styleId="Retrait3">
    <w:name w:val="Retrait 3"/>
    <w:basedOn w:val="Retrait2"/>
    <w:qFormat/>
    <w:pPr>
      <w:ind w:left="851" w:hanging="284"/>
    </w:pPr>
    <w:rPr/>
  </w:style>
  <w:style w:type="paragraph" w:styleId="Listenumros">
    <w:name w:val="Liste à numéros"/>
    <w:basedOn w:val="Normal"/>
    <w:qFormat/>
    <w:pPr>
      <w:numPr>
        <w:ilvl w:val="0"/>
        <w:numId w:val="2"/>
      </w:numPr>
      <w:tabs>
        <w:tab w:val="left" w:pos="284" w:leader="none"/>
      </w:tabs>
      <w:spacing w:before="120" w:after="0"/>
    </w:pPr>
    <w:rPr/>
  </w:style>
  <w:style w:type="paragraph" w:styleId="Footer">
    <w:name w:val="Footer"/>
    <w:basedOn w:val="Normal"/>
    <w:pPr>
      <w:tabs>
        <w:tab w:val="center" w:pos="4536" w:leader="none"/>
        <w:tab w:val="right" w:pos="9072" w:leader="none"/>
      </w:tabs>
    </w:pPr>
    <w:rPr/>
  </w:style>
  <w:style w:type="paragraph" w:styleId="Header">
    <w:name w:val="Header"/>
    <w:basedOn w:val="Normal"/>
    <w:pPr>
      <w:tabs>
        <w:tab w:val="center" w:pos="4536" w:leader="none"/>
        <w:tab w:val="right" w:pos="9072" w:leader="none"/>
      </w:tabs>
    </w:pPr>
    <w:rPr/>
  </w:style>
  <w:style w:type="paragraph" w:styleId="Textebrut">
    <w:name w:val="Texte brut"/>
    <w:basedOn w:val="Normal"/>
    <w:qFormat/>
    <w:pPr/>
    <w:rPr/>
  </w:style>
  <w:style w:type="paragraph" w:styleId="Retrait4">
    <w:name w:val="Retrait 4"/>
    <w:basedOn w:val="Retrait3"/>
    <w:qFormat/>
    <w:pPr>
      <w:ind w:left="1134" w:hanging="284"/>
    </w:pPr>
    <w:rPr>
      <w:sz w:val="24"/>
    </w:rPr>
  </w:style>
  <w:style w:type="paragraph" w:styleId="Contents1">
    <w:name w:val="TOC 1"/>
    <w:basedOn w:val="Normal"/>
    <w:next w:val="Normal"/>
    <w:pPr>
      <w:spacing w:before="360" w:after="360"/>
      <w:jc w:val="left"/>
    </w:pPr>
    <w:rPr>
      <w:rFonts w:ascii="Calibri" w:hAnsi="Calibri" w:cs="Calibri"/>
      <w:b/>
      <w:bCs/>
      <w:caps/>
      <w:sz w:val="22"/>
      <w:szCs w:val="22"/>
      <w:u w:val="single"/>
    </w:rPr>
  </w:style>
  <w:style w:type="paragraph" w:styleId="Contents2">
    <w:name w:val="TOC 2"/>
    <w:basedOn w:val="Normal"/>
    <w:next w:val="Normal"/>
    <w:pPr>
      <w:jc w:val="left"/>
    </w:pPr>
    <w:rPr>
      <w:rFonts w:ascii="Calibri" w:hAnsi="Calibri" w:cs="Calibri"/>
      <w:b/>
      <w:bCs/>
      <w:smallCaps/>
      <w:sz w:val="22"/>
      <w:szCs w:val="22"/>
    </w:rPr>
  </w:style>
  <w:style w:type="paragraph" w:styleId="Contents3">
    <w:name w:val="TOC 3"/>
    <w:basedOn w:val="Normal"/>
    <w:next w:val="Normal"/>
    <w:pPr>
      <w:jc w:val="left"/>
    </w:pPr>
    <w:rPr>
      <w:rFonts w:ascii="Calibri" w:hAnsi="Calibri" w:cs="Calibri"/>
      <w:smallCaps/>
      <w:sz w:val="22"/>
      <w:szCs w:val="22"/>
    </w:rPr>
  </w:style>
  <w:style w:type="paragraph" w:styleId="Contents4">
    <w:name w:val="TOC 4"/>
    <w:basedOn w:val="Normal"/>
    <w:next w:val="Normal"/>
    <w:pPr>
      <w:jc w:val="left"/>
    </w:pPr>
    <w:rPr>
      <w:rFonts w:ascii="Calibri" w:hAnsi="Calibri" w:cs="Calibri"/>
      <w:sz w:val="22"/>
      <w:szCs w:val="22"/>
    </w:rPr>
  </w:style>
  <w:style w:type="paragraph" w:styleId="Contents5">
    <w:name w:val="TOC 5"/>
    <w:basedOn w:val="Normal"/>
    <w:next w:val="Normal"/>
    <w:pPr>
      <w:jc w:val="left"/>
    </w:pPr>
    <w:rPr>
      <w:rFonts w:ascii="Calibri" w:hAnsi="Calibri" w:cs="Calibri"/>
      <w:sz w:val="22"/>
      <w:szCs w:val="22"/>
    </w:rPr>
  </w:style>
  <w:style w:type="paragraph" w:styleId="Contents6">
    <w:name w:val="TOC 6"/>
    <w:basedOn w:val="Normal"/>
    <w:next w:val="Normal"/>
    <w:pPr>
      <w:jc w:val="left"/>
    </w:pPr>
    <w:rPr>
      <w:rFonts w:ascii="Calibri" w:hAnsi="Calibri" w:cs="Calibri"/>
      <w:sz w:val="22"/>
      <w:szCs w:val="22"/>
    </w:rPr>
  </w:style>
  <w:style w:type="paragraph" w:styleId="Contents7">
    <w:name w:val="TOC 7"/>
    <w:basedOn w:val="Normal"/>
    <w:next w:val="Normal"/>
    <w:pPr>
      <w:jc w:val="left"/>
    </w:pPr>
    <w:rPr>
      <w:rFonts w:ascii="Calibri" w:hAnsi="Calibri" w:cs="Calibri"/>
      <w:sz w:val="22"/>
      <w:szCs w:val="22"/>
    </w:rPr>
  </w:style>
  <w:style w:type="paragraph" w:styleId="Contents8">
    <w:name w:val="TOC 8"/>
    <w:basedOn w:val="Normal"/>
    <w:next w:val="Normal"/>
    <w:pPr>
      <w:jc w:val="left"/>
    </w:pPr>
    <w:rPr>
      <w:rFonts w:ascii="Calibri" w:hAnsi="Calibri" w:cs="Calibri"/>
      <w:sz w:val="22"/>
      <w:szCs w:val="22"/>
    </w:rPr>
  </w:style>
  <w:style w:type="paragraph" w:styleId="Contents9">
    <w:name w:val="TOC 9"/>
    <w:basedOn w:val="Normal"/>
    <w:next w:val="Normal"/>
    <w:pPr>
      <w:jc w:val="left"/>
    </w:pPr>
    <w:rPr>
      <w:rFonts w:ascii="Calibri" w:hAnsi="Calibri" w:cs="Calibri"/>
      <w:sz w:val="22"/>
      <w:szCs w:val="22"/>
    </w:rPr>
  </w:style>
  <w:style w:type="paragraph" w:styleId="Explorateurdedocuments">
    <w:name w:val="Explorateur de documents"/>
    <w:basedOn w:val="Normal"/>
    <w:qFormat/>
    <w:pPr>
      <w:shd w:fill="000080" w:val="clear"/>
    </w:pPr>
    <w:rPr>
      <w:rFonts w:ascii="Tahoma" w:hAnsi="Tahoma" w:cs="Tahoma"/>
    </w:rPr>
  </w:style>
  <w:style w:type="paragraph" w:styleId="Corpsdetexte2">
    <w:name w:val="Corps de texte 2"/>
    <w:basedOn w:val="Normal"/>
    <w:qFormat/>
    <w:pPr>
      <w:pBdr>
        <w:top w:val="single" w:sz="4" w:space="1" w:color="000000"/>
        <w:left w:val="single" w:sz="4" w:space="4" w:color="000000"/>
        <w:bottom w:val="single" w:sz="4" w:space="1" w:color="000000"/>
        <w:right w:val="single" w:sz="4" w:space="4" w:color="000000"/>
      </w:pBdr>
      <w:jc w:val="center"/>
    </w:pPr>
    <w:rPr>
      <w:b/>
      <w:bCs/>
      <w:color w:val="000000"/>
      <w:sz w:val="28"/>
      <w:szCs w:val="24"/>
    </w:rPr>
  </w:style>
  <w:style w:type="paragraph" w:styleId="Retraitcorpsdetexte2">
    <w:name w:val="Retrait corps de texte 2"/>
    <w:basedOn w:val="Normal"/>
    <w:qFormat/>
    <w:pPr>
      <w:ind w:left="360" w:hanging="0"/>
    </w:pPr>
    <w:rPr/>
  </w:style>
  <w:style w:type="paragraph" w:styleId="Corpsdetexte3">
    <w:name w:val="Corps de texte 3"/>
    <w:basedOn w:val="Normal"/>
    <w:qFormat/>
    <w:pPr/>
    <w:rPr/>
  </w:style>
  <w:style w:type="paragraph" w:styleId="TextBodyIndent">
    <w:name w:val="Body Text Indent"/>
    <w:basedOn w:val="Normal"/>
    <w:pPr>
      <w:ind w:left="1418" w:hanging="0"/>
    </w:pPr>
    <w:rPr/>
  </w:style>
  <w:style w:type="paragraph" w:styleId="Textedebulles">
    <w:name w:val="Texte de bulles"/>
    <w:basedOn w:val="Normal"/>
    <w:qFormat/>
    <w:pPr/>
    <w:rPr>
      <w:rFonts w:ascii="Tahoma" w:hAnsi="Tahoma" w:cs="Tahoma"/>
      <w:sz w:val="16"/>
      <w:szCs w:val="16"/>
    </w:rPr>
  </w:style>
  <w:style w:type="paragraph" w:styleId="Style11">
    <w:name w:val="Style 1"/>
    <w:qFormat/>
    <w:pPr>
      <w:widowControl w:val="false"/>
      <w:autoSpaceDE w:val="false"/>
      <w:ind w:left="72" w:right="144" w:hanging="0"/>
      <w:jc w:val="both"/>
    </w:pPr>
    <w:rPr>
      <w:rFonts w:ascii="Tahoma" w:hAnsi="Tahoma" w:eastAsia="Times New Roman" w:cs="Tahoma"/>
      <w:color w:val="auto"/>
      <w:sz w:val="22"/>
      <w:szCs w:val="22"/>
      <w:lang w:val="fr-FR" w:bidi="ar-SA" w:eastAsia="zh-CN"/>
    </w:rPr>
  </w:style>
  <w:style w:type="paragraph" w:styleId="Style15">
    <w:name w:val="Style 15"/>
    <w:qFormat/>
    <w:pPr>
      <w:widowControl w:val="false"/>
      <w:autoSpaceDE w:val="false"/>
    </w:pPr>
    <w:rPr>
      <w:rFonts w:ascii="Times New Roman" w:hAnsi="Times New Roman" w:eastAsia="Times New Roman" w:cs="Times New Roman"/>
      <w:color w:val="auto"/>
      <w:sz w:val="20"/>
      <w:szCs w:val="20"/>
      <w:lang w:val="fr-FR" w:bidi="ar-SA" w:eastAsia="zh-CN"/>
    </w:rPr>
  </w:style>
  <w:style w:type="paragraph" w:styleId="Style18">
    <w:name w:val="Style 18"/>
    <w:qFormat/>
    <w:pPr>
      <w:widowControl w:val="false"/>
      <w:autoSpaceDE w:val="false"/>
      <w:ind w:left="144" w:right="144" w:hanging="0"/>
      <w:jc w:val="both"/>
    </w:pPr>
    <w:rPr>
      <w:rFonts w:ascii="Arial" w:hAnsi="Arial" w:eastAsia="Times New Roman" w:cs="Arial"/>
      <w:color w:val="auto"/>
      <w:sz w:val="22"/>
      <w:szCs w:val="22"/>
      <w:lang w:val="fr-FR" w:bidi="ar-SA" w:eastAsia="zh-CN"/>
    </w:rPr>
  </w:style>
  <w:style w:type="paragraph" w:styleId="Style6">
    <w:name w:val="Style 6"/>
    <w:qFormat/>
    <w:pPr>
      <w:widowControl w:val="false"/>
      <w:autoSpaceDE w:val="false"/>
      <w:spacing w:before="108" w:after="0"/>
      <w:ind w:left="144" w:right="144" w:hanging="0"/>
      <w:jc w:val="both"/>
    </w:pPr>
    <w:rPr>
      <w:rFonts w:ascii="Arial" w:hAnsi="Arial" w:eastAsia="Times New Roman" w:cs="Arial"/>
      <w:color w:val="auto"/>
      <w:sz w:val="22"/>
      <w:szCs w:val="22"/>
      <w:lang w:val="fr-FR" w:bidi="ar-SA" w:eastAsia="zh-CN"/>
    </w:rPr>
  </w:style>
  <w:style w:type="paragraph" w:styleId="Style10">
    <w:name w:val="Style 10"/>
    <w:qFormat/>
    <w:pPr>
      <w:widowControl w:val="false"/>
      <w:autoSpaceDE w:val="false"/>
      <w:spacing w:before="252" w:after="0"/>
      <w:ind w:left="144" w:hanging="0"/>
    </w:pPr>
    <w:rPr>
      <w:rFonts w:ascii="Arial" w:hAnsi="Arial" w:eastAsia="Times New Roman" w:cs="Arial"/>
      <w:color w:val="auto"/>
      <w:sz w:val="22"/>
      <w:szCs w:val="22"/>
      <w:lang w:val="fr-FR" w:bidi="ar-SA" w:eastAsia="zh-CN"/>
    </w:rPr>
  </w:style>
  <w:style w:type="paragraph" w:styleId="Paranumeromanuel">
    <w:name w:val="para_numero_manuel"/>
    <w:basedOn w:val="Normal"/>
    <w:qFormat/>
    <w:pPr>
      <w:spacing w:lineRule="auto" w:line="240" w:before="240" w:after="0"/>
      <w:ind w:left="567" w:hanging="567"/>
    </w:pPr>
    <w:rPr>
      <w:rFonts w:ascii="Arial" w:hAnsi="Arial" w:cs="Arial"/>
    </w:rPr>
  </w:style>
  <w:style w:type="paragraph" w:styleId="P50">
    <w:name w:val="p50"/>
    <w:basedOn w:val="Normal"/>
    <w:qFormat/>
    <w:pPr>
      <w:widowControl w:val="false"/>
      <w:tabs>
        <w:tab w:val="left" w:pos="204" w:leader="none"/>
      </w:tabs>
      <w:autoSpaceDE w:val="false"/>
      <w:spacing w:lineRule="auto" w:line="240"/>
      <w:jc w:val="left"/>
    </w:pPr>
    <w:rPr>
      <w:szCs w:val="24"/>
      <w:lang w:val="en-US"/>
    </w:rPr>
  </w:style>
  <w:style w:type="paragraph" w:styleId="P54">
    <w:name w:val="p54"/>
    <w:basedOn w:val="Normal"/>
    <w:qFormat/>
    <w:pPr>
      <w:widowControl w:val="false"/>
      <w:tabs>
        <w:tab w:val="left" w:pos="215" w:leader="none"/>
        <w:tab w:val="left" w:pos="402" w:leader="none"/>
      </w:tabs>
      <w:autoSpaceDE w:val="false"/>
      <w:spacing w:lineRule="auto" w:line="240"/>
      <w:ind w:left="215" w:firstLine="187"/>
      <w:jc w:val="left"/>
    </w:pPr>
    <w:rPr>
      <w:szCs w:val="24"/>
      <w:lang w:val="en-US"/>
    </w:rPr>
  </w:style>
  <w:style w:type="paragraph" w:styleId="Paragraphedeliste">
    <w:name w:val="Paragraphe de liste"/>
    <w:basedOn w:val="Normal"/>
    <w:qFormat/>
    <w:pPr>
      <w:ind w:left="709" w:hanging="0"/>
    </w:pPr>
    <w:rPr/>
  </w:style>
  <w:style w:type="paragraph" w:styleId="Tite2">
    <w:name w:val="Tite 2"/>
    <w:basedOn w:val="Normal"/>
    <w:qFormat/>
    <w:pPr>
      <w:spacing w:lineRule="auto" w:line="240" w:before="480" w:after="480"/>
      <w:jc w:val="center"/>
    </w:pPr>
    <w:rPr>
      <w:rFonts w:ascii="Arial" w:hAnsi="Arial" w:cs="Arial"/>
      <w:color w:val="455A64"/>
      <w:sz w:val="36"/>
      <w:szCs w:val="24"/>
    </w:rPr>
  </w:style>
  <w:style w:type="paragraph" w:styleId="Enttedetabledesmatires">
    <w:name w:val="En-tête de table des matières"/>
    <w:basedOn w:val="Heading1"/>
    <w:next w:val="Normal"/>
    <w:qFormat/>
    <w:pPr>
      <w:numPr>
        <w:ilvl w:val="0"/>
        <w:numId w:val="0"/>
      </w:numPr>
    </w:pPr>
    <w:rPr>
      <w:rFonts w:ascii="Calibri Light" w:hAnsi="Calibri Light" w:eastAsia="Times New Roman" w:cs="Times New Roman"/>
      <w:bCs/>
      <w:szCs w:val="32"/>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Style12">
    <w:name w:val="Style1"/>
    <w:basedOn w:val="Heading2"/>
    <w:qFormat/>
    <w:pPr>
      <w:numPr>
        <w:ilvl w:val="0"/>
        <w:numId w:val="0"/>
      </w:numPr>
      <w:shd w:fill="FFF2CC" w:val="clear"/>
      <w:spacing w:lineRule="auto" w:line="240" w:before="0" w:after="0"/>
    </w:pPr>
    <w:rPr>
      <w:rFonts w:ascii="Calibri" w:hAnsi="Calibri" w:cs="Calibri"/>
      <w:sz w:val="22"/>
      <w:szCs w:val="22"/>
      <w:shd w:fill="FFF2CC" w:val="clear"/>
    </w:rPr>
  </w:style>
  <w:style w:type="paragraph" w:styleId="Style31">
    <w:name w:val="Style3"/>
    <w:basedOn w:val="Heading1"/>
    <w:qFormat/>
    <w:pPr>
      <w:widowControl w:val="false"/>
      <w:numPr>
        <w:ilvl w:val="0"/>
        <w:numId w:val="0"/>
      </w:numPr>
      <w:pBdr>
        <w:bottom w:val="threeDEngrave" w:sz="24" w:space="1" w:color="000000"/>
      </w:pBdr>
      <w:shd w:fill="B4C6E7" w:val="clear"/>
      <w:spacing w:lineRule="auto" w:line="240" w:before="0" w:after="0"/>
      <w:ind w:right="141" w:hanging="0"/>
      <w:jc w:val="center"/>
    </w:pPr>
    <w:rPr>
      <w:rFonts w:ascii="Calibri" w:hAnsi="Calibri" w:cs="Calibri"/>
      <w:sz w:val="28"/>
    </w:rPr>
  </w:style>
  <w:style w:type="paragraph" w:styleId="Style21">
    <w:name w:val="Style2"/>
    <w:basedOn w:val="Heading3"/>
    <w:qFormat/>
    <w:pPr>
      <w:numPr>
        <w:ilvl w:val="0"/>
        <w:numId w:val="0"/>
      </w:numPr>
      <w:shd w:fill="EDEDED" w:val="clear"/>
      <w:spacing w:lineRule="auto" w:line="240" w:before="0" w:after="0"/>
    </w:pPr>
    <w:rPr>
      <w:rFonts w:ascii="Calibri" w:hAnsi="Calibri" w:cs="Calibri"/>
      <w:sz w:val="22"/>
      <w:szCs w:val="22"/>
      <w:shd w:fill="EDEDED" w:val="clear"/>
    </w:rPr>
  </w:style>
  <w:style w:type="paragraph" w:styleId="Footnote">
    <w:name w:val="Footnote Text"/>
    <w:basedOn w:val="Normal"/>
    <w:pPr>
      <w:spacing w:lineRule="auto" w:line="240"/>
      <w:jc w:val="left"/>
    </w:pPr>
    <w:rPr>
      <w:sz w:val="20"/>
    </w:rPr>
  </w:style>
  <w:style w:type="paragraph" w:styleId="Commentaire">
    <w:name w:val="Commentaire"/>
    <w:basedOn w:val="Normal"/>
    <w:qFormat/>
    <w:pPr/>
    <w:rPr>
      <w:sz w:val="20"/>
    </w:rPr>
  </w:style>
  <w:style w:type="paragraph" w:styleId="Objetducommentaire">
    <w:name w:val="Objet du commentaire"/>
    <w:basedOn w:val="Commentaire"/>
    <w:next w:val="Commentaire"/>
    <w:qFormat/>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2022-03-03T09:37:00Z</dcterms:created>
  <dc:creator/>
  <dc:description/>
  <dc:language>en-GB</dc:language>
  <cp:lastModifiedBy/>
  <cp:lastPrinted>2022-01-24T17:12:00Z</cp:lastPrinted>
  <dcterms:modified xsi:type="dcterms:W3CDTF">2022-03-03T09:37:00Z</dcterms:modified>
  <cp:revision>3</cp:revision>
  <dc:subject/>
  <dc:title/>
</cp:coreProperties>
</file>