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rPr/>
      </w:pPr>
      <w:r>
        <w:rPr/>
      </w:r>
    </w:p>
    <w:p>
      <w:pPr>
        <w:pStyle w:val="Normal"/>
        <w:rPr/>
      </w:pPr>
      <w:r>
        <w:rPr/>
      </w:r>
    </w:p>
    <w:p>
      <w:pPr>
        <w:pStyle w:val="Heading1"/>
        <w:numPr>
          <w:ilvl w:val="0"/>
          <w:numId w:val="1"/>
        </w:numPr>
        <w:jc w:val="center"/>
        <w:rPr>
          <w:sz w:val="28"/>
          <w:szCs w:val="28"/>
        </w:rPr>
      </w:pPr>
      <w:r>
        <w:rPr>
          <w:sz w:val="28"/>
          <w:szCs w:val="28"/>
        </w:rPr>
        <w:t>NEGOCIATION ANNUELLE 2022</w:t>
      </w:r>
    </w:p>
    <w:p>
      <w:pPr>
        <w:pStyle w:val="Normal"/>
        <w:jc w:val="center"/>
        <w:rPr>
          <w:sz w:val="28"/>
          <w:szCs w:val="28"/>
        </w:rPr>
      </w:pPr>
      <w:r>
        <w:rPr>
          <w:sz w:val="28"/>
          <w:szCs w:val="28"/>
        </w:rPr>
      </w:r>
    </w:p>
    <w:p>
      <w:pPr>
        <w:pStyle w:val="Heading1"/>
        <w:numPr>
          <w:ilvl w:val="0"/>
          <w:numId w:val="1"/>
        </w:numPr>
        <w:jc w:val="center"/>
        <w:rPr>
          <w:b/>
          <w:b/>
          <w:sz w:val="28"/>
          <w:szCs w:val="28"/>
        </w:rPr>
      </w:pPr>
      <w:r>
        <w:rPr>
          <w:b/>
          <w:sz w:val="28"/>
          <w:szCs w:val="28"/>
        </w:rPr>
        <w:t>ACCORD COLLECTIF</w:t>
      </w:r>
    </w:p>
    <w:p>
      <w:pPr>
        <w:pStyle w:val="Normal"/>
        <w:jc w:val="center"/>
        <w:rPr>
          <w:b/>
          <w:b/>
          <w:sz w:val="28"/>
          <w:szCs w:val="28"/>
        </w:rPr>
      </w:pPr>
      <w:r>
        <w:rPr>
          <w:b/>
          <w:sz w:val="28"/>
          <w:szCs w:val="28"/>
        </w:rPr>
      </w:r>
    </w:p>
    <w:p>
      <w:pPr>
        <w:pStyle w:val="TextBody"/>
        <w:rPr/>
      </w:pPr>
      <w:r>
        <w:rPr/>
      </w:r>
    </w:p>
    <w:p>
      <w:pPr>
        <w:pStyle w:val="TextBody"/>
        <w:rPr/>
      </w:pPr>
      <w:r>
        <w:rPr/>
      </w:r>
    </w:p>
    <w:p>
      <w:pPr>
        <w:pStyle w:val="TextBody"/>
        <w:rPr/>
      </w:pPr>
      <w:r>
        <w:rPr/>
      </w:r>
    </w:p>
    <w:p>
      <w:pPr>
        <w:pStyle w:val="TextBody"/>
        <w:rPr/>
      </w:pPr>
      <w:r>
        <w:rPr/>
        <w:t xml:space="preserve">A la suite des réunions consacrées à la négociation annuelle obligatoire qui se sont tenues les </w:t>
        <w:br/>
        <w:t xml:space="preserve">2 et 18 février 2022, l’accord ci-dessous est intervenu entre la société </w:t>
        <w:br/>
        <w:t>LIEBHERR-FRANCE SAS et les organisations syndicales.</w:t>
      </w:r>
    </w:p>
    <w:p>
      <w:pPr>
        <w:pStyle w:val="Normal"/>
        <w:tabs>
          <w:tab w:val="left" w:pos="2552" w:leader="none"/>
        </w:tabs>
        <w:rPr/>
      </w:pPr>
      <w:r>
        <w:rPr/>
      </w:r>
    </w:p>
    <w:p>
      <w:pPr>
        <w:pStyle w:val="Normal"/>
        <w:tabs>
          <w:tab w:val="left" w:pos="2552" w:leader="none"/>
        </w:tabs>
        <w:jc w:val="both"/>
        <w:rPr/>
      </w:pPr>
      <w:r>
        <w:rPr/>
        <w:t>Cet accord porte notamment sur l’évolution des salaires pour 2022 et sur des mesures relatives notamment à l’organisation du travail, à la revalorisation des primes transport et forfait mobilités durables.</w:t>
      </w:r>
    </w:p>
    <w:p>
      <w:pPr>
        <w:pStyle w:val="Normal"/>
        <w:tabs>
          <w:tab w:val="left" w:pos="2552" w:leader="none"/>
        </w:tabs>
        <w:rPr/>
      </w:pPr>
      <w:r>
        <w:rPr/>
      </w:r>
    </w:p>
    <w:p>
      <w:pPr>
        <w:pStyle w:val="Normal"/>
        <w:tabs>
          <w:tab w:val="left" w:pos="2552" w:leader="none"/>
        </w:tabs>
        <w:rPr/>
      </w:pPr>
      <w:r>
        <w:rPr/>
      </w:r>
    </w:p>
    <w:p>
      <w:pPr>
        <w:pStyle w:val="Heading2"/>
        <w:numPr>
          <w:ilvl w:val="0"/>
          <w:numId w:val="2"/>
        </w:numPr>
        <w:jc w:val="left"/>
        <w:rPr/>
      </w:pPr>
      <w:r>
        <w:rPr/>
        <w:t>Augmentation des salaires</w:t>
      </w:r>
    </w:p>
    <w:p>
      <w:pPr>
        <w:pStyle w:val="Normal"/>
        <w:rPr/>
      </w:pPr>
      <w:r>
        <w:rPr/>
      </w:r>
    </w:p>
    <w:p>
      <w:pPr>
        <w:pStyle w:val="Normal"/>
        <w:tabs>
          <w:tab w:val="left" w:pos="1985" w:leader="none"/>
        </w:tabs>
        <w:jc w:val="both"/>
        <w:rPr/>
      </w:pPr>
      <w:bookmarkStart w:id="0" w:name="_Hlk96594713"/>
      <w:bookmarkEnd w:id="0"/>
      <w:r>
        <w:rPr/>
        <w:t xml:space="preserve">Un minimum de 90 € brut d’augmentation (talon), pour un équivalent temps plein, sera assuré pour l’ensemble du personnel ouvrier, employé, article 36, cadre et assimilé (article 4bis). Pour les salariés à temps partiel, ce montant sera proratisé. </w:t>
      </w:r>
    </w:p>
    <w:p>
      <w:pPr>
        <w:pStyle w:val="Normal"/>
        <w:rPr/>
      </w:pPr>
      <w:bookmarkStart w:id="1" w:name="_Hlk96594713"/>
      <w:bookmarkStart w:id="2" w:name="_Hlk96594713"/>
      <w:bookmarkEnd w:id="2"/>
      <w:r>
        <w:rPr/>
      </w:r>
    </w:p>
    <w:p>
      <w:pPr>
        <w:pStyle w:val="Normal"/>
        <w:rPr/>
      </w:pPr>
      <w:r>
        <w:rPr/>
      </w:r>
    </w:p>
    <w:p>
      <w:pPr>
        <w:pStyle w:val="Normal"/>
        <w:numPr>
          <w:ilvl w:val="1"/>
          <w:numId w:val="2"/>
        </w:numPr>
        <w:tabs>
          <w:tab w:val="left" w:pos="426" w:leader="none"/>
        </w:tabs>
        <w:rPr/>
      </w:pPr>
      <w:r>
        <w:rPr>
          <w:u w:val="single"/>
        </w:rPr>
        <w:t>Personnel ouvrier, employé et article 36</w:t>
      </w:r>
    </w:p>
    <w:p>
      <w:pPr>
        <w:pStyle w:val="Normal"/>
        <w:tabs>
          <w:tab w:val="left" w:pos="2552" w:leader="none"/>
        </w:tabs>
        <w:rPr/>
      </w:pPr>
      <w:r>
        <w:rPr/>
      </w:r>
    </w:p>
    <w:p>
      <w:pPr>
        <w:pStyle w:val="Normal"/>
        <w:tabs>
          <w:tab w:val="left" w:pos="2552" w:leader="none"/>
        </w:tabs>
        <w:rPr/>
      </w:pPr>
      <w:r>
        <w:rPr/>
      </w:r>
    </w:p>
    <w:p>
      <w:pPr>
        <w:pStyle w:val="Normal"/>
        <w:tabs>
          <w:tab w:val="left" w:pos="1418" w:leader="none"/>
        </w:tabs>
        <w:rPr/>
      </w:pPr>
      <w:r>
        <w:rPr/>
        <w:t>Mars 2022</w:t>
        <w:tab/>
        <w:t>Incidence de l’augmentation de la prime d’ancienneté</w:t>
        <w:tab/>
        <w:t>0,40 %</w:t>
      </w:r>
    </w:p>
    <w:p>
      <w:pPr>
        <w:pStyle w:val="Normal"/>
        <w:tabs>
          <w:tab w:val="left" w:pos="1985" w:leader="none"/>
        </w:tabs>
        <w:rPr/>
      </w:pPr>
      <w:r>
        <w:rPr/>
      </w:r>
    </w:p>
    <w:p>
      <w:pPr>
        <w:pStyle w:val="Normal"/>
        <w:rPr/>
      </w:pPr>
      <w:r>
        <w:rPr/>
        <w:t>Mars 2022</w:t>
        <w:tab/>
        <w:t>Augmentation générale</w:t>
        <w:tab/>
        <w:tab/>
        <w:tab/>
        <w:tab/>
        <w:tab/>
        <w:t>2,40 % avec talon 90 €</w:t>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r>
    </w:p>
    <w:p>
      <w:pPr>
        <w:pStyle w:val="Normal"/>
        <w:numPr>
          <w:ilvl w:val="1"/>
          <w:numId w:val="2"/>
        </w:numPr>
        <w:tabs>
          <w:tab w:val="left" w:pos="426" w:leader="none"/>
        </w:tabs>
        <w:rPr>
          <w:u w:val="single"/>
        </w:rPr>
      </w:pPr>
      <w:r>
        <w:rPr>
          <w:u w:val="single"/>
        </w:rPr>
        <w:t>Personnel cadre et assimilé (article 4bis)</w:t>
      </w:r>
    </w:p>
    <w:p>
      <w:pPr>
        <w:pStyle w:val="Normal"/>
        <w:tabs>
          <w:tab w:val="left" w:pos="1985" w:leader="none"/>
        </w:tabs>
        <w:rPr/>
      </w:pPr>
      <w:r>
        <w:rPr/>
      </w:r>
    </w:p>
    <w:p>
      <w:pPr>
        <w:pStyle w:val="Normal"/>
        <w:tabs>
          <w:tab w:val="left" w:pos="1985" w:leader="none"/>
        </w:tabs>
        <w:rPr/>
      </w:pPr>
      <w:r>
        <w:rPr/>
      </w:r>
    </w:p>
    <w:tbl>
      <w:tblPr>
        <w:tblW w:w="9208" w:type="dxa"/>
        <w:jc w:val="left"/>
        <w:tblInd w:w="0" w:type="dxa"/>
        <w:tblBorders/>
        <w:tblCellMar>
          <w:top w:w="0" w:type="dxa"/>
          <w:left w:w="70" w:type="dxa"/>
          <w:bottom w:w="0" w:type="dxa"/>
          <w:right w:w="70" w:type="dxa"/>
        </w:tblCellMar>
      </w:tblPr>
      <w:tblGrid>
        <w:gridCol w:w="1488"/>
        <w:gridCol w:w="4819"/>
        <w:gridCol w:w="1134"/>
        <w:gridCol w:w="1767"/>
      </w:tblGrid>
      <w:tr>
        <w:trPr/>
        <w:tc>
          <w:tcPr>
            <w:tcW w:w="1488" w:type="dxa"/>
            <w:tcBorders/>
            <w:shd w:fill="auto" w:val="clear"/>
          </w:tcPr>
          <w:p>
            <w:pPr>
              <w:pStyle w:val="Normal"/>
              <w:tabs>
                <w:tab w:val="left" w:pos="1985" w:leader="none"/>
              </w:tabs>
              <w:snapToGrid w:val="false"/>
              <w:rPr>
                <w:u w:val="single"/>
              </w:rPr>
            </w:pPr>
            <w:r>
              <w:rPr>
                <w:u w:val="single"/>
              </w:rPr>
            </w:r>
          </w:p>
        </w:tc>
        <w:tc>
          <w:tcPr>
            <w:tcW w:w="4819" w:type="dxa"/>
            <w:tcBorders/>
            <w:shd w:fill="auto" w:val="clear"/>
          </w:tcPr>
          <w:p>
            <w:pPr>
              <w:pStyle w:val="Normal"/>
              <w:tabs>
                <w:tab w:val="left" w:pos="1985" w:leader="none"/>
              </w:tabs>
              <w:snapToGrid w:val="false"/>
              <w:rPr>
                <w:u w:val="single"/>
              </w:rPr>
            </w:pPr>
            <w:r>
              <w:rPr>
                <w:u w:val="single"/>
              </w:rPr>
            </w:r>
          </w:p>
        </w:tc>
        <w:tc>
          <w:tcPr>
            <w:tcW w:w="1134" w:type="dxa"/>
            <w:tcBorders/>
            <w:shd w:fill="auto" w:val="clear"/>
          </w:tcPr>
          <w:p>
            <w:pPr>
              <w:pStyle w:val="Normal"/>
              <w:tabs>
                <w:tab w:val="left" w:pos="1985" w:leader="none"/>
              </w:tabs>
              <w:jc w:val="center"/>
              <w:rPr>
                <w:u w:val="single"/>
              </w:rPr>
            </w:pPr>
            <w:r>
              <w:rPr>
                <w:u w:val="single"/>
              </w:rPr>
              <w:t>Cadres</w:t>
            </w:r>
          </w:p>
          <w:p>
            <w:pPr>
              <w:pStyle w:val="Normal"/>
              <w:tabs>
                <w:tab w:val="left" w:pos="1985" w:leader="none"/>
              </w:tabs>
              <w:jc w:val="center"/>
              <w:rPr>
                <w:u w:val="single"/>
              </w:rPr>
            </w:pPr>
            <w:r>
              <w:rPr>
                <w:u w:val="single"/>
              </w:rPr>
              <w:t>Art.4</w:t>
            </w:r>
          </w:p>
        </w:tc>
        <w:tc>
          <w:tcPr>
            <w:tcW w:w="1767" w:type="dxa"/>
            <w:tcBorders/>
            <w:shd w:fill="auto" w:val="clear"/>
          </w:tcPr>
          <w:p>
            <w:pPr>
              <w:pStyle w:val="Normal"/>
              <w:tabs>
                <w:tab w:val="left" w:pos="1985" w:leader="none"/>
              </w:tabs>
              <w:jc w:val="center"/>
              <w:rPr>
                <w:u w:val="single"/>
              </w:rPr>
            </w:pPr>
            <w:r>
              <w:rPr>
                <w:u w:val="single"/>
              </w:rPr>
              <w:t>Assimilés cadres</w:t>
            </w:r>
          </w:p>
          <w:p>
            <w:pPr>
              <w:pStyle w:val="Normal"/>
              <w:tabs>
                <w:tab w:val="left" w:pos="1985" w:leader="none"/>
              </w:tabs>
              <w:jc w:val="center"/>
              <w:rPr>
                <w:u w:val="single"/>
                <w:lang w:val="de-DE"/>
              </w:rPr>
            </w:pPr>
            <w:r>
              <w:rPr>
                <w:u w:val="single"/>
                <w:lang w:val="de-DE"/>
              </w:rPr>
              <w:t>Art. 4bis</w:t>
            </w:r>
          </w:p>
          <w:p>
            <w:pPr>
              <w:pStyle w:val="Normal"/>
              <w:tabs>
                <w:tab w:val="left" w:pos="1985" w:leader="none"/>
              </w:tabs>
              <w:jc w:val="center"/>
              <w:rPr>
                <w:u w:val="single"/>
                <w:lang w:val="de-DE"/>
              </w:rPr>
            </w:pPr>
            <w:r>
              <w:rPr>
                <w:u w:val="single"/>
                <w:lang w:val="de-DE"/>
              </w:rPr>
            </w:r>
          </w:p>
        </w:tc>
      </w:tr>
      <w:tr>
        <w:trPr/>
        <w:tc>
          <w:tcPr>
            <w:tcW w:w="1488" w:type="dxa"/>
            <w:tcBorders/>
            <w:shd w:fill="auto" w:val="clear"/>
          </w:tcPr>
          <w:p>
            <w:pPr>
              <w:pStyle w:val="Normal"/>
              <w:tabs>
                <w:tab w:val="left" w:pos="1985" w:leader="none"/>
              </w:tabs>
              <w:rPr>
                <w:lang w:val="de-DE"/>
              </w:rPr>
            </w:pPr>
            <w:r>
              <w:rPr>
                <w:lang w:val="de-DE"/>
              </w:rPr>
              <w:t>Avril 2022</w:t>
            </w:r>
          </w:p>
        </w:tc>
        <w:tc>
          <w:tcPr>
            <w:tcW w:w="4819" w:type="dxa"/>
            <w:tcBorders/>
            <w:shd w:fill="auto" w:val="clear"/>
          </w:tcPr>
          <w:p>
            <w:pPr>
              <w:pStyle w:val="Normal"/>
              <w:tabs>
                <w:tab w:val="left" w:pos="1985" w:leader="none"/>
              </w:tabs>
              <w:rPr/>
            </w:pPr>
            <w:r>
              <w:rPr/>
              <w:t>Incidence de l’évolution de la prime d’ancienneté</w:t>
            </w:r>
          </w:p>
        </w:tc>
        <w:tc>
          <w:tcPr>
            <w:tcW w:w="1134" w:type="dxa"/>
            <w:tcBorders/>
            <w:shd w:fill="auto" w:val="clear"/>
          </w:tcPr>
          <w:p>
            <w:pPr>
              <w:pStyle w:val="Normal"/>
              <w:tabs>
                <w:tab w:val="left" w:pos="1985" w:leader="none"/>
              </w:tabs>
              <w:jc w:val="center"/>
              <w:rPr/>
            </w:pPr>
            <w:r>
              <w:rPr/>
              <w:t>-</w:t>
            </w:r>
          </w:p>
        </w:tc>
        <w:tc>
          <w:tcPr>
            <w:tcW w:w="1767" w:type="dxa"/>
            <w:tcBorders/>
            <w:shd w:fill="auto" w:val="clear"/>
          </w:tcPr>
          <w:p>
            <w:pPr>
              <w:pStyle w:val="Normal"/>
              <w:tabs>
                <w:tab w:val="left" w:pos="1985" w:leader="none"/>
              </w:tabs>
              <w:jc w:val="center"/>
              <w:rPr/>
            </w:pPr>
            <w:r>
              <w:rPr/>
              <w:t>0,40 %</w:t>
            </w:r>
          </w:p>
          <w:p>
            <w:pPr>
              <w:pStyle w:val="Normal"/>
              <w:tabs>
                <w:tab w:val="left" w:pos="1985" w:leader="none"/>
              </w:tabs>
              <w:jc w:val="center"/>
              <w:rPr/>
            </w:pPr>
            <w:r>
              <w:rPr/>
            </w:r>
          </w:p>
        </w:tc>
      </w:tr>
      <w:tr>
        <w:trPr/>
        <w:tc>
          <w:tcPr>
            <w:tcW w:w="1488" w:type="dxa"/>
            <w:tcBorders/>
            <w:shd w:fill="auto" w:val="clear"/>
          </w:tcPr>
          <w:p>
            <w:pPr>
              <w:pStyle w:val="Normal"/>
              <w:tabs>
                <w:tab w:val="left" w:pos="1985" w:leader="none"/>
              </w:tabs>
              <w:rPr/>
            </w:pPr>
            <w:r>
              <w:rPr/>
              <w:t>Avril 2022</w:t>
            </w:r>
          </w:p>
        </w:tc>
        <w:tc>
          <w:tcPr>
            <w:tcW w:w="4819" w:type="dxa"/>
            <w:tcBorders/>
            <w:shd w:fill="auto" w:val="clear"/>
          </w:tcPr>
          <w:p>
            <w:pPr>
              <w:pStyle w:val="Normal"/>
              <w:tabs>
                <w:tab w:val="left" w:pos="1985" w:leader="none"/>
              </w:tabs>
              <w:rPr/>
            </w:pPr>
            <w:r>
              <w:rPr/>
              <w:t>Moyenne des augmentations individuelles</w:t>
            </w:r>
          </w:p>
          <w:p>
            <w:pPr>
              <w:pStyle w:val="Normal"/>
              <w:tabs>
                <w:tab w:val="left" w:pos="1985" w:leader="none"/>
              </w:tabs>
              <w:rPr/>
            </w:pPr>
            <w:r>
              <w:rPr/>
            </w:r>
          </w:p>
        </w:tc>
        <w:tc>
          <w:tcPr>
            <w:tcW w:w="1134" w:type="dxa"/>
            <w:tcBorders/>
            <w:shd w:fill="auto" w:val="clear"/>
          </w:tcPr>
          <w:p>
            <w:pPr>
              <w:pStyle w:val="Normal"/>
              <w:tabs>
                <w:tab w:val="left" w:pos="1985" w:leader="none"/>
              </w:tabs>
              <w:jc w:val="center"/>
              <w:rPr/>
            </w:pPr>
            <w:r>
              <w:rPr/>
              <w:t>2,80 %</w:t>
            </w:r>
          </w:p>
          <w:p>
            <w:pPr>
              <w:pStyle w:val="Normal"/>
              <w:tabs>
                <w:tab w:val="left" w:pos="1985" w:leader="none"/>
              </w:tabs>
              <w:jc w:val="center"/>
              <w:rPr/>
            </w:pPr>
            <w:r>
              <w:rPr/>
              <w:t>Avec talon 90 €</w:t>
            </w:r>
          </w:p>
        </w:tc>
        <w:tc>
          <w:tcPr>
            <w:tcW w:w="1767" w:type="dxa"/>
            <w:tcBorders/>
            <w:shd w:fill="auto" w:val="clear"/>
          </w:tcPr>
          <w:p>
            <w:pPr>
              <w:pStyle w:val="Normal"/>
              <w:tabs>
                <w:tab w:val="left" w:pos="1985" w:leader="none"/>
              </w:tabs>
              <w:jc w:val="center"/>
              <w:rPr/>
            </w:pPr>
            <w:r>
              <w:rPr/>
              <w:t xml:space="preserve">2,40 % </w:t>
            </w:r>
          </w:p>
          <w:p>
            <w:pPr>
              <w:pStyle w:val="Normal"/>
              <w:tabs>
                <w:tab w:val="left" w:pos="1985" w:leader="none"/>
              </w:tabs>
              <w:jc w:val="center"/>
              <w:rPr/>
            </w:pPr>
            <w:r>
              <w:rPr/>
              <w:t>Avec talon 90 €</w:t>
            </w:r>
          </w:p>
        </w:tc>
      </w:tr>
      <w:tr>
        <w:trPr/>
        <w:tc>
          <w:tcPr>
            <w:tcW w:w="1488" w:type="dxa"/>
            <w:tcBorders/>
            <w:shd w:fill="auto" w:val="clear"/>
          </w:tcPr>
          <w:p>
            <w:pPr>
              <w:pStyle w:val="Normal"/>
              <w:tabs>
                <w:tab w:val="left" w:pos="1985" w:leader="none"/>
              </w:tabs>
              <w:snapToGrid w:val="false"/>
              <w:rPr/>
            </w:pPr>
            <w:r>
              <w:rPr/>
            </w:r>
          </w:p>
        </w:tc>
        <w:tc>
          <w:tcPr>
            <w:tcW w:w="4819" w:type="dxa"/>
            <w:tcBorders/>
            <w:shd w:fill="auto" w:val="clear"/>
          </w:tcPr>
          <w:p>
            <w:pPr>
              <w:pStyle w:val="Normal"/>
              <w:tabs>
                <w:tab w:val="left" w:pos="1985" w:leader="none"/>
              </w:tabs>
              <w:snapToGrid w:val="false"/>
              <w:rPr/>
            </w:pPr>
            <w:r>
              <w:rPr/>
            </w:r>
          </w:p>
        </w:tc>
        <w:tc>
          <w:tcPr>
            <w:tcW w:w="2901" w:type="dxa"/>
            <w:gridSpan w:val="2"/>
            <w:tcBorders/>
            <w:shd w:fill="auto" w:val="clear"/>
          </w:tcPr>
          <w:p>
            <w:pPr>
              <w:pStyle w:val="Normal"/>
              <w:tabs>
                <w:tab w:val="left" w:pos="1985" w:leader="none"/>
              </w:tabs>
              <w:snapToGrid w:val="false"/>
              <w:jc w:val="center"/>
              <w:rPr/>
            </w:pPr>
            <w:r>
              <w:rPr/>
            </w:r>
          </w:p>
        </w:tc>
      </w:tr>
    </w:tbl>
    <w:p>
      <w:pPr>
        <w:pStyle w:val="Normal"/>
        <w:tabs>
          <w:tab w:val="left" w:pos="1985" w:leader="none"/>
        </w:tabs>
        <w:rPr>
          <w:b/>
          <w:b/>
        </w:rPr>
      </w:pPr>
      <w:r>
        <w:rPr>
          <w:b/>
        </w:rPr>
      </w:r>
    </w:p>
    <w:p>
      <w:pPr>
        <w:pStyle w:val="Heading2"/>
        <w:numPr>
          <w:ilvl w:val="0"/>
          <w:numId w:val="2"/>
        </w:numPr>
        <w:jc w:val="left"/>
        <w:rPr/>
      </w:pPr>
      <w:r>
        <w:rPr/>
        <w:t>Augmentation des primes relevant du tableau des primes</w:t>
      </w:r>
    </w:p>
    <w:p>
      <w:pPr>
        <w:pStyle w:val="Normal"/>
        <w:tabs>
          <w:tab w:val="left" w:pos="1985" w:leader="none"/>
        </w:tabs>
        <w:rPr/>
      </w:pPr>
      <w:r>
        <w:rPr/>
      </w:r>
    </w:p>
    <w:p>
      <w:pPr>
        <w:pStyle w:val="TextBody"/>
        <w:tabs>
          <w:tab w:val="left" w:pos="1985" w:leader="none"/>
        </w:tabs>
        <w:rPr/>
      </w:pPr>
      <w:r>
        <w:rPr/>
        <w:t>Les primes diverses (tableau des primes hors prime de panier) sont révisées aux échéances et selon le pourcentage d’augmentation générale.</w:t>
      </w:r>
    </w:p>
    <w:p>
      <w:pPr>
        <w:pStyle w:val="TextBody"/>
        <w:numPr>
          <w:ilvl w:val="0"/>
          <w:numId w:val="0"/>
        </w:numPr>
        <w:tabs>
          <w:tab w:val="left" w:pos="1985" w:leader="none"/>
        </w:tabs>
        <w:outlineLvl w:val="1"/>
        <w:rPr/>
      </w:pPr>
      <w:r>
        <w:rPr/>
      </w:r>
    </w:p>
    <w:p>
      <w:pPr>
        <w:pStyle w:val="TextBody"/>
        <w:numPr>
          <w:ilvl w:val="0"/>
          <w:numId w:val="0"/>
        </w:numPr>
        <w:tabs>
          <w:tab w:val="left" w:pos="1985" w:leader="none"/>
        </w:tabs>
        <w:outlineLvl w:val="1"/>
        <w:rPr>
          <w:b/>
          <w:b/>
        </w:rPr>
      </w:pPr>
      <w:r>
        <w:rPr>
          <w:b/>
        </w:rPr>
      </w:r>
    </w:p>
    <w:p>
      <w:pPr>
        <w:pStyle w:val="TextBody"/>
        <w:numPr>
          <w:ilvl w:val="0"/>
          <w:numId w:val="2"/>
        </w:numPr>
        <w:tabs>
          <w:tab w:val="left" w:pos="426" w:leader="none"/>
        </w:tabs>
        <w:outlineLvl w:val="1"/>
        <w:rPr>
          <w:b/>
          <w:b/>
        </w:rPr>
      </w:pPr>
      <w:r>
        <w:rPr>
          <w:b/>
        </w:rPr>
        <w:t>Prime de transport</w:t>
      </w:r>
    </w:p>
    <w:p>
      <w:pPr>
        <w:pStyle w:val="TextBody"/>
        <w:numPr>
          <w:ilvl w:val="0"/>
          <w:numId w:val="0"/>
        </w:numPr>
        <w:tabs>
          <w:tab w:val="left" w:pos="1985" w:leader="none"/>
        </w:tabs>
        <w:outlineLvl w:val="1"/>
        <w:rPr>
          <w:b/>
          <w:b/>
        </w:rPr>
      </w:pPr>
      <w:r>
        <w:rPr>
          <w:b/>
        </w:rPr>
      </w:r>
    </w:p>
    <w:p>
      <w:pPr>
        <w:pStyle w:val="TextBody"/>
        <w:numPr>
          <w:ilvl w:val="0"/>
          <w:numId w:val="0"/>
        </w:numPr>
        <w:tabs>
          <w:tab w:val="left" w:pos="1985" w:leader="none"/>
        </w:tabs>
        <w:outlineLvl w:val="1"/>
        <w:rPr>
          <w:b/>
          <w:b/>
        </w:rPr>
      </w:pPr>
      <w:r>
        <w:rPr>
          <w:b/>
        </w:rPr>
      </w:r>
    </w:p>
    <w:p>
      <w:pPr>
        <w:pStyle w:val="TextBody"/>
        <w:numPr>
          <w:ilvl w:val="0"/>
          <w:numId w:val="0"/>
        </w:numPr>
        <w:tabs>
          <w:tab w:val="left" w:pos="1985" w:leader="none"/>
        </w:tabs>
        <w:outlineLvl w:val="1"/>
        <w:rPr/>
      </w:pPr>
      <w:r>
        <w:rPr/>
        <w:t>La prime de transport sera revalorisée au 1</w:t>
      </w:r>
      <w:r>
        <w:rPr>
          <w:vertAlign w:val="superscript"/>
        </w:rPr>
        <w:t>er</w:t>
      </w:r>
      <w:r>
        <w:rPr/>
        <w:t xml:space="preserve"> mars 2022 à hauteur de 8,50 %.</w:t>
      </w:r>
    </w:p>
    <w:p>
      <w:pPr>
        <w:pStyle w:val="TextBody"/>
        <w:numPr>
          <w:ilvl w:val="0"/>
          <w:numId w:val="0"/>
        </w:numPr>
        <w:tabs>
          <w:tab w:val="left" w:pos="1985" w:leader="none"/>
        </w:tabs>
        <w:outlineLvl w:val="1"/>
        <w:rPr/>
      </w:pPr>
      <w:r>
        <w:rPr/>
      </w:r>
    </w:p>
    <w:p>
      <w:pPr>
        <w:pStyle w:val="TextBody"/>
        <w:numPr>
          <w:ilvl w:val="0"/>
          <w:numId w:val="0"/>
        </w:numPr>
        <w:tabs>
          <w:tab w:val="left" w:pos="1985" w:leader="none"/>
        </w:tabs>
        <w:outlineLvl w:val="1"/>
        <w:rPr/>
      </w:pPr>
      <w:r>
        <w:rPr/>
      </w:r>
    </w:p>
    <w:p>
      <w:pPr>
        <w:pStyle w:val="TextBody"/>
        <w:numPr>
          <w:ilvl w:val="0"/>
          <w:numId w:val="0"/>
        </w:numPr>
        <w:tabs>
          <w:tab w:val="left" w:pos="1985" w:leader="none"/>
        </w:tabs>
        <w:outlineLvl w:val="1"/>
        <w:rPr/>
      </w:pPr>
      <w:r>
        <w:rPr/>
      </w:r>
    </w:p>
    <w:p>
      <w:pPr>
        <w:pStyle w:val="TextBody"/>
        <w:numPr>
          <w:ilvl w:val="0"/>
          <w:numId w:val="2"/>
        </w:numPr>
        <w:tabs>
          <w:tab w:val="left" w:pos="426" w:leader="none"/>
        </w:tabs>
        <w:outlineLvl w:val="1"/>
        <w:rPr>
          <w:b/>
          <w:b/>
          <w:bCs/>
        </w:rPr>
      </w:pPr>
      <w:r>
        <w:rPr>
          <w:b/>
          <w:bCs/>
        </w:rPr>
        <w:t>Bon de sortie médecin</w:t>
      </w:r>
    </w:p>
    <w:p>
      <w:pPr>
        <w:pStyle w:val="TextBody"/>
        <w:numPr>
          <w:ilvl w:val="0"/>
          <w:numId w:val="0"/>
        </w:numPr>
        <w:tabs>
          <w:tab w:val="left" w:pos="426" w:leader="none"/>
        </w:tabs>
        <w:outlineLvl w:val="1"/>
        <w:rPr>
          <w:b/>
          <w:b/>
          <w:bCs/>
        </w:rPr>
      </w:pPr>
      <w:r>
        <w:rPr>
          <w:b/>
          <w:bCs/>
        </w:rPr>
      </w:r>
    </w:p>
    <w:p>
      <w:pPr>
        <w:pStyle w:val="TextBody"/>
        <w:numPr>
          <w:ilvl w:val="0"/>
          <w:numId w:val="0"/>
        </w:numPr>
        <w:tabs>
          <w:tab w:val="left" w:pos="1985" w:leader="none"/>
        </w:tabs>
        <w:outlineLvl w:val="1"/>
        <w:rPr>
          <w:b/>
          <w:b/>
        </w:rPr>
      </w:pPr>
      <w:r>
        <w:rPr/>
        <w:t xml:space="preserve">Les bons de sortie médecin dans le cadre d’un test à la COVID-19 sur demande du Service Médical n’impacteront pas la prime régularité et la prime bloquée pour la période du 1er février au 31 mai 2022.  </w:t>
      </w:r>
    </w:p>
    <w:p>
      <w:pPr>
        <w:pStyle w:val="TextBody"/>
        <w:numPr>
          <w:ilvl w:val="0"/>
          <w:numId w:val="0"/>
        </w:numPr>
        <w:tabs>
          <w:tab w:val="left" w:pos="1985" w:leader="none"/>
        </w:tabs>
        <w:outlineLvl w:val="1"/>
        <w:rPr>
          <w:b/>
          <w:b/>
        </w:rPr>
      </w:pPr>
      <w:r>
        <w:rPr>
          <w:b/>
        </w:rPr>
      </w:r>
    </w:p>
    <w:p>
      <w:pPr>
        <w:pStyle w:val="TextBody"/>
        <w:numPr>
          <w:ilvl w:val="0"/>
          <w:numId w:val="0"/>
        </w:numPr>
        <w:tabs>
          <w:tab w:val="left" w:pos="1985" w:leader="none"/>
        </w:tabs>
        <w:outlineLvl w:val="1"/>
        <w:rPr>
          <w:b/>
          <w:b/>
        </w:rPr>
      </w:pPr>
      <w:r>
        <w:rPr>
          <w:b/>
        </w:rPr>
      </w:r>
    </w:p>
    <w:p>
      <w:pPr>
        <w:pStyle w:val="TextBody"/>
        <w:numPr>
          <w:ilvl w:val="0"/>
          <w:numId w:val="2"/>
        </w:numPr>
        <w:tabs>
          <w:tab w:val="left" w:pos="0" w:leader="none"/>
        </w:tabs>
        <w:outlineLvl w:val="1"/>
        <w:rPr>
          <w:b/>
          <w:b/>
        </w:rPr>
      </w:pPr>
      <w:r>
        <w:rPr>
          <w:b/>
        </w:rPr>
        <w:t>Horaire variable</w:t>
      </w:r>
    </w:p>
    <w:p>
      <w:pPr>
        <w:pStyle w:val="TextBody"/>
        <w:numPr>
          <w:ilvl w:val="0"/>
          <w:numId w:val="0"/>
        </w:numPr>
        <w:tabs>
          <w:tab w:val="left" w:pos="0" w:leader="none"/>
        </w:tabs>
        <w:outlineLvl w:val="1"/>
        <w:rPr>
          <w:b/>
          <w:b/>
        </w:rPr>
      </w:pPr>
      <w:r>
        <w:rPr>
          <w:b/>
        </w:rPr>
      </w:r>
    </w:p>
    <w:p>
      <w:pPr>
        <w:pStyle w:val="TextBody"/>
        <w:tabs>
          <w:tab w:val="left" w:pos="1985" w:leader="none"/>
        </w:tabs>
        <w:rPr/>
      </w:pPr>
      <w:bookmarkStart w:id="3" w:name="_Hlk96091049"/>
      <w:bookmarkEnd w:id="3"/>
      <w:r>
        <w:rPr/>
        <w:t xml:space="preserve">La limite de report du crédit d’heures d’un mois sur l’autre est portée à 15 heures. </w:t>
      </w:r>
    </w:p>
    <w:p>
      <w:pPr>
        <w:pStyle w:val="TextBody"/>
        <w:tabs>
          <w:tab w:val="left" w:pos="1985" w:leader="none"/>
        </w:tabs>
        <w:rPr/>
      </w:pPr>
      <w:bookmarkStart w:id="4" w:name="_Hlk96091049"/>
      <w:bookmarkEnd w:id="4"/>
      <w:r>
        <w:rPr/>
        <w:t>Cette mesure entrera en vigueur le 1</w:t>
      </w:r>
      <w:r>
        <w:rPr>
          <w:vertAlign w:val="superscript"/>
        </w:rPr>
        <w:t>er</w:t>
      </w:r>
      <w:r>
        <w:rPr/>
        <w:t xml:space="preserve"> juillet 2022 et sera précisée par circulaire interne. </w:t>
      </w:r>
    </w:p>
    <w:p>
      <w:pPr>
        <w:pStyle w:val="TextBody"/>
        <w:tabs>
          <w:tab w:val="left" w:pos="1985" w:leader="none"/>
        </w:tabs>
        <w:rPr/>
      </w:pPr>
      <w:r>
        <w:rPr/>
      </w:r>
    </w:p>
    <w:p>
      <w:pPr>
        <w:pStyle w:val="TextBody"/>
        <w:tabs>
          <w:tab w:val="left" w:pos="1985" w:leader="none"/>
        </w:tabs>
        <w:rPr/>
      </w:pPr>
      <w:r>
        <w:rPr/>
        <w:t xml:space="preserve">Cette mesure est instituée à titre expérimental pour l’année 2022. Un bilan sera réalisé en fin d’année. </w:t>
      </w:r>
    </w:p>
    <w:p>
      <w:pPr>
        <w:pStyle w:val="TextBody"/>
        <w:tabs>
          <w:tab w:val="left" w:pos="1985" w:leader="none"/>
        </w:tabs>
        <w:rPr/>
      </w:pPr>
      <w:r>
        <w:rPr/>
      </w:r>
    </w:p>
    <w:p>
      <w:pPr>
        <w:pStyle w:val="TextBody"/>
        <w:tabs>
          <w:tab w:val="left" w:pos="1985" w:leader="none"/>
        </w:tabs>
        <w:rPr/>
      </w:pPr>
      <w:r>
        <w:rPr/>
        <w:t>Dans le cadre des horaires variables, chaque salarié organise son temps de travail et chaque manager veille au bon équilibre entre la charge de travail et l’organisation du travail.</w:t>
      </w:r>
    </w:p>
    <w:p>
      <w:pPr>
        <w:pStyle w:val="TextBody"/>
        <w:numPr>
          <w:ilvl w:val="0"/>
          <w:numId w:val="0"/>
        </w:numPr>
        <w:tabs>
          <w:tab w:val="left" w:pos="0" w:leader="none"/>
        </w:tabs>
        <w:outlineLvl w:val="1"/>
        <w:rPr>
          <w:b/>
          <w:b/>
        </w:rPr>
      </w:pPr>
      <w:r>
        <w:rPr>
          <w:b/>
        </w:rPr>
      </w:r>
    </w:p>
    <w:p>
      <w:pPr>
        <w:pStyle w:val="TextBody"/>
        <w:numPr>
          <w:ilvl w:val="0"/>
          <w:numId w:val="0"/>
        </w:numPr>
        <w:tabs>
          <w:tab w:val="left" w:pos="0" w:leader="none"/>
        </w:tabs>
        <w:outlineLvl w:val="1"/>
        <w:rPr>
          <w:b/>
          <w:b/>
        </w:rPr>
      </w:pPr>
      <w:r>
        <w:rPr>
          <w:b/>
        </w:rPr>
      </w:r>
    </w:p>
    <w:p>
      <w:pPr>
        <w:pStyle w:val="TextBody"/>
        <w:numPr>
          <w:ilvl w:val="0"/>
          <w:numId w:val="4"/>
        </w:numPr>
        <w:tabs>
          <w:tab w:val="left" w:pos="0" w:leader="none"/>
        </w:tabs>
        <w:ind w:left="284" w:hanging="284"/>
        <w:outlineLvl w:val="1"/>
        <w:rPr>
          <w:b/>
          <w:b/>
        </w:rPr>
      </w:pPr>
      <w:r>
        <w:rPr>
          <w:b/>
        </w:rPr>
        <w:t>Mobilités durables</w:t>
      </w:r>
    </w:p>
    <w:p>
      <w:pPr>
        <w:pStyle w:val="TextBody"/>
        <w:numPr>
          <w:ilvl w:val="0"/>
          <w:numId w:val="0"/>
        </w:numPr>
        <w:tabs>
          <w:tab w:val="left" w:pos="284" w:leader="none"/>
        </w:tabs>
        <w:outlineLvl w:val="1"/>
        <w:rPr>
          <w:b/>
          <w:b/>
        </w:rPr>
      </w:pPr>
      <w:r>
        <w:rPr>
          <w:b/>
        </w:rPr>
      </w:r>
    </w:p>
    <w:p>
      <w:pPr>
        <w:pStyle w:val="Normal"/>
        <w:tabs>
          <w:tab w:val="left" w:pos="1985" w:leader="none"/>
        </w:tabs>
        <w:jc w:val="both"/>
        <w:rPr/>
      </w:pPr>
      <w:r>
        <w:rPr/>
        <w:t>Les parties s’accordent sur la revalorisation du forfait mobilités durables, mis en place depuis le 1</w:t>
      </w:r>
      <w:r>
        <w:rPr>
          <w:vertAlign w:val="superscript"/>
        </w:rPr>
        <w:t>er</w:t>
      </w:r>
      <w:r>
        <w:rPr/>
        <w:t xml:space="preserve"> juillet 2021. </w:t>
      </w:r>
    </w:p>
    <w:p>
      <w:pPr>
        <w:pStyle w:val="Normal"/>
        <w:tabs>
          <w:tab w:val="left" w:pos="1985" w:leader="none"/>
        </w:tabs>
        <w:jc w:val="both"/>
        <w:rPr/>
      </w:pPr>
      <w:r>
        <w:rPr/>
      </w:r>
    </w:p>
    <w:p>
      <w:pPr>
        <w:pStyle w:val="Normal"/>
        <w:tabs>
          <w:tab w:val="left" w:pos="1985" w:leader="none"/>
        </w:tabs>
        <w:jc w:val="both"/>
        <w:rPr/>
      </w:pPr>
      <w:r>
        <w:rPr/>
        <w:t>Le montant de cette prise en charge est plafonné à maximum 500 € par an.</w:t>
      </w:r>
    </w:p>
    <w:p>
      <w:pPr>
        <w:pStyle w:val="Normal"/>
        <w:tabs>
          <w:tab w:val="left" w:pos="1985" w:leader="none"/>
        </w:tabs>
        <w:jc w:val="both"/>
        <w:rPr/>
      </w:pPr>
      <w:r>
        <w:rPr/>
      </w:r>
    </w:p>
    <w:p>
      <w:pPr>
        <w:pStyle w:val="Normal"/>
        <w:tabs>
          <w:tab w:val="left" w:pos="1985" w:leader="none"/>
        </w:tabs>
        <w:jc w:val="both"/>
        <w:rPr/>
      </w:pPr>
      <w:r>
        <w:rPr/>
        <w:t>Les parties conviennent que le forfait mobilités durables ne se cumule pas avec la prise en charge des frais d’abonnement transports publics relevant de l’article L. 3261-2 du Code du travail.</w:t>
      </w:r>
    </w:p>
    <w:p>
      <w:pPr>
        <w:pStyle w:val="Normal"/>
        <w:tabs>
          <w:tab w:val="left" w:pos="1985" w:leader="none"/>
        </w:tabs>
        <w:jc w:val="both"/>
        <w:rPr/>
      </w:pPr>
      <w:r>
        <w:rPr/>
      </w:r>
    </w:p>
    <w:p>
      <w:pPr>
        <w:pStyle w:val="Normal"/>
        <w:jc w:val="both"/>
        <w:rPr/>
      </w:pPr>
      <w:r>
        <w:rPr/>
        <w:t>Les salariés souhaitant bénéficier du forfait mobilités durables devront avoir lu et accepté les modalités de mise en œuvre ci-dessous :</w:t>
      </w:r>
    </w:p>
    <w:p>
      <w:pPr>
        <w:pStyle w:val="Normal"/>
        <w:jc w:val="both"/>
        <w:rPr/>
      </w:pPr>
      <w:r>
        <w:rPr/>
      </w:r>
    </w:p>
    <w:p>
      <w:pPr>
        <w:pStyle w:val="Paragraphedeliste"/>
        <w:numPr>
          <w:ilvl w:val="0"/>
          <w:numId w:val="3"/>
        </w:numPr>
        <w:jc w:val="both"/>
        <w:rPr/>
      </w:pPr>
      <w:r>
        <w:rPr/>
        <w:t>Le salarié devra produire une déclaration sur l’honneur attestant l’utilisation d’un moyen de transport dit durable / « vertueux » ci-dessus définit pour effectuer quotidiennement et ce de manière régulière le trajet entre sa résidence habituelle et le lieu de travail Cette demande suspendra le versement de toutes autres indemnités ou primes liées au trajet du domicile au lieu de travail</w:t>
      </w:r>
    </w:p>
    <w:p>
      <w:pPr>
        <w:pStyle w:val="Paragraphedeliste"/>
        <w:numPr>
          <w:ilvl w:val="0"/>
          <w:numId w:val="3"/>
        </w:numPr>
        <w:jc w:val="both"/>
        <w:rPr/>
      </w:pPr>
      <w:bookmarkStart w:id="5" w:name="_Hlk96594752"/>
      <w:bookmarkEnd w:id="5"/>
      <w:r>
        <w:rPr/>
        <w:t xml:space="preserve">Le versement du forfait mobilités durables sera effectué mensuellement en </w:t>
      </w:r>
      <w:bookmarkStart w:id="6" w:name="_Hlk96091277"/>
      <w:r>
        <w:rPr/>
        <w:t>fonction des journées de présence sur le lieu de travail</w:t>
      </w:r>
      <w:bookmarkEnd w:id="6"/>
      <w:r>
        <w:rPr/>
        <w:t>. Le montant s’élève à 2,45€ par jour de présence dans l’entreprise, plafonné à 500 € par an. Pour tous les salariés à temps partiel pour un nombre d’heures inférieur à la moitié de la durée du travail à temps complet, ce montant sera proratisé en fonction du nombre d’heures travaillées par rapport à la moitié de la durée du travail à temps complet.</w:t>
      </w:r>
    </w:p>
    <w:p>
      <w:pPr>
        <w:pStyle w:val="Paragraphedeliste"/>
        <w:numPr>
          <w:ilvl w:val="0"/>
          <w:numId w:val="3"/>
        </w:numPr>
        <w:jc w:val="both"/>
        <w:rPr/>
      </w:pPr>
      <w:bookmarkStart w:id="7" w:name="_Hlk96594752"/>
      <w:bookmarkEnd w:id="7"/>
      <w:r>
        <w:rPr/>
        <w:t>Le forfait mobilités durables s’entend sur un engagement annuel uniquement</w:t>
      </w:r>
    </w:p>
    <w:p>
      <w:pPr>
        <w:pStyle w:val="Paragraphedeliste"/>
        <w:numPr>
          <w:ilvl w:val="0"/>
          <w:numId w:val="3"/>
        </w:numPr>
        <w:jc w:val="both"/>
        <w:rPr/>
      </w:pPr>
      <w:r>
        <w:rPr/>
        <w:t>Tout changement de situation du salarié qui pourrait rendre son éligibilité au forfait mobilités durables caduque, doit être signalé au service RH</w:t>
      </w:r>
    </w:p>
    <w:p>
      <w:pPr>
        <w:pStyle w:val="Paragraphedeliste"/>
        <w:numPr>
          <w:ilvl w:val="0"/>
          <w:numId w:val="3"/>
        </w:numPr>
        <w:jc w:val="both"/>
        <w:rPr/>
      </w:pPr>
      <w:r>
        <w:rPr/>
        <w:t>Toute déclaration frauduleuse sera sanctionnée et annulera le versement du forfait.</w:t>
      </w:r>
    </w:p>
    <w:p>
      <w:pPr>
        <w:pStyle w:val="Paragraphedeliste"/>
        <w:ind w:left="1490" w:hanging="0"/>
        <w:jc w:val="both"/>
        <w:rPr/>
      </w:pPr>
      <w:r>
        <w:rPr/>
      </w:r>
    </w:p>
    <w:p>
      <w:pPr>
        <w:pStyle w:val="Normal"/>
        <w:tabs>
          <w:tab w:val="left" w:pos="1985" w:leader="none"/>
        </w:tabs>
        <w:jc w:val="both"/>
        <w:rPr/>
      </w:pPr>
      <w:r>
        <w:rPr/>
      </w:r>
    </w:p>
    <w:p>
      <w:pPr>
        <w:pStyle w:val="Normal"/>
        <w:jc w:val="both"/>
        <w:rPr/>
      </w:pPr>
      <w:r>
        <w:rPr>
          <w:rFonts w:cs="Arial"/>
          <w:color w:val="000000"/>
        </w:rPr>
        <w:t>Les salariés devront scrupuleusement respecter les règles de sécurité, le code de la route, les piétons et ne prendre aucun risque pour soi et pour les autres.</w:t>
      </w:r>
    </w:p>
    <w:p>
      <w:pPr>
        <w:pStyle w:val="Normal"/>
        <w:jc w:val="both"/>
        <w:rPr>
          <w:rFonts w:cs="Arial"/>
          <w:color w:val="000000"/>
        </w:rPr>
      </w:pPr>
      <w:r>
        <w:rPr>
          <w:rFonts w:cs="Arial"/>
          <w:color w:val="000000"/>
        </w:rPr>
      </w:r>
    </w:p>
    <w:p>
      <w:pPr>
        <w:pStyle w:val="TextBody"/>
        <w:numPr>
          <w:ilvl w:val="0"/>
          <w:numId w:val="0"/>
        </w:numPr>
        <w:tabs>
          <w:tab w:val="left" w:pos="142" w:leader="none"/>
        </w:tabs>
        <w:outlineLvl w:val="1"/>
        <w:rPr>
          <w:rFonts w:cs="Arial"/>
          <w:color w:val="000000"/>
        </w:rPr>
      </w:pPr>
      <w:r>
        <w:rPr>
          <w:rFonts w:cs="Arial"/>
          <w:color w:val="000000"/>
        </w:rPr>
        <w:t xml:space="preserve">Dans le cadre de la prévention des risques Liebherr-France SAS préconise le port du casque et gilet à l’occasion de chaque </w:t>
      </w:r>
      <w:r>
        <w:rPr>
          <w:rFonts w:cs="Arial"/>
        </w:rPr>
        <w:t>trajet à cycle.</w:t>
      </w:r>
      <w:r>
        <w:rPr>
          <w:rFonts w:cs="Arial"/>
          <w:color w:val="92D050"/>
        </w:rPr>
        <w:t xml:space="preserve"> </w:t>
      </w:r>
      <w:r>
        <w:rPr>
          <w:rFonts w:cs="Arial"/>
          <w:color w:val="000000"/>
        </w:rPr>
        <w:t>Une fiche de sensibilisation aux règles de sécurité sera également remise aux collaborateurs. Un garage pour vélos est également disponible sur le site de Colmar pour permettre à chaque utilisateur de stationner son vélo. Il est préconisé d’attacher le vélo à l’aide d’un antivol (non fourni par la société).</w:t>
      </w:r>
    </w:p>
    <w:p>
      <w:pPr>
        <w:pStyle w:val="TextBody"/>
        <w:numPr>
          <w:ilvl w:val="0"/>
          <w:numId w:val="0"/>
        </w:numPr>
        <w:tabs>
          <w:tab w:val="left" w:pos="1985" w:leader="none"/>
        </w:tabs>
        <w:outlineLvl w:val="1"/>
        <w:rPr>
          <w:rFonts w:cs="Arial"/>
          <w:b/>
          <w:b/>
          <w:color w:val="000000"/>
        </w:rPr>
      </w:pPr>
      <w:r>
        <w:rPr>
          <w:rFonts w:cs="Arial"/>
          <w:b/>
          <w:color w:val="000000"/>
        </w:rPr>
      </w:r>
    </w:p>
    <w:p>
      <w:pPr>
        <w:pStyle w:val="TextBody"/>
        <w:numPr>
          <w:ilvl w:val="0"/>
          <w:numId w:val="4"/>
        </w:numPr>
        <w:outlineLvl w:val="1"/>
        <w:rPr>
          <w:b/>
          <w:b/>
        </w:rPr>
      </w:pPr>
      <w:r>
        <w:rPr>
          <w:b/>
        </w:rPr>
        <w:t>Publicité de l’accord</w:t>
      </w:r>
    </w:p>
    <w:p>
      <w:pPr>
        <w:pStyle w:val="TextBody"/>
        <w:tabs>
          <w:tab w:val="left" w:pos="1985" w:leader="none"/>
        </w:tabs>
        <w:rPr>
          <w:b/>
          <w:b/>
        </w:rPr>
      </w:pPr>
      <w:r>
        <w:rPr>
          <w:b/>
        </w:rPr>
      </w:r>
    </w:p>
    <w:p>
      <w:pPr>
        <w:pStyle w:val="Normal"/>
        <w:tabs>
          <w:tab w:val="left" w:pos="1985" w:leader="none"/>
        </w:tabs>
        <w:jc w:val="both"/>
        <w:rPr/>
      </w:pPr>
      <w:r>
        <w:rPr/>
        <w:t>Le présent accord sera déposé, sous forme dématérialisée, à la Direction Régionale des Entreprises de la Concurrence, de la Consommation, du Travail et de l’Emploi du Haut-Rhin ainsi qu’en version papier au secrétariat-greffe du Conseil de prud’hommes de Colmar et en un exemplaire version électronique anonymisé à la commission paritaire permanente de négociation et d’interprétation.</w:t>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t>Fait à Colmar, le 18 février 2022</w:t>
      </w:r>
    </w:p>
    <w:p>
      <w:pPr>
        <w:pStyle w:val="Normal"/>
        <w:tabs>
          <w:tab w:val="left" w:pos="1985" w:leader="none"/>
        </w:tabs>
        <w:rPr/>
      </w:pPr>
      <w:r>
        <w:rPr/>
      </w:r>
    </w:p>
    <w:p>
      <w:pPr>
        <w:pStyle w:val="Normal"/>
        <w:tabs>
          <w:tab w:val="left" w:pos="1985" w:leader="none"/>
        </w:tabs>
        <w:rPr/>
      </w:pPr>
      <w:r>
        <w:rPr/>
      </w:r>
    </w:p>
    <w:p>
      <w:pPr>
        <w:pStyle w:val="Heading1"/>
        <w:numPr>
          <w:ilvl w:val="0"/>
          <w:numId w:val="1"/>
        </w:numPr>
        <w:rPr/>
      </w:pPr>
      <w:r>
        <w:rPr/>
        <w:t>Pour les organisations syndicales</w:t>
      </w:r>
      <w:r>
        <w:rPr>
          <w:u w:val="none"/>
        </w:rPr>
        <w:tab/>
        <w:tab/>
        <w:tab/>
        <w:tab/>
        <w:tab/>
        <w:tab/>
      </w:r>
      <w:r>
        <w:rPr/>
        <w:t>Pour la Direction</w:t>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t>C.F.D.T.</w:t>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t>C.F.E-C.G.C.</w:t>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t>C.F.T.C.</w:t>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r>
    </w:p>
    <w:p>
      <w:pPr>
        <w:pStyle w:val="Normal"/>
        <w:tabs>
          <w:tab w:val="left" w:pos="1985" w:leader="none"/>
        </w:tabs>
        <w:rPr/>
      </w:pPr>
      <w:r>
        <w:rPr/>
        <w:t>FO</w:t>
      </w:r>
    </w:p>
    <w:sectPr>
      <w:headerReference w:type="default" r:id="rId2"/>
      <w:footerReference w:type="default" r:id="rId3"/>
      <w:type w:val="nextPage"/>
      <w:pgSz w:w="11906" w:h="16838"/>
      <w:pgMar w:left="1701"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Négociation annuelle 2022</w:t>
      <w:tab/>
      <w:tab/>
      <w:t xml:space="preserve">- </w:t>
    </w:r>
    <w:r>
      <w:rPr/>
      <w:fldChar w:fldCharType="begin"/>
    </w:r>
    <w:r>
      <w:instrText> PAGE </w:instrText>
    </w:r>
    <w:r>
      <w:fldChar w:fldCharType="separate"/>
    </w:r>
    <w:r>
      <w:t>3</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LIEBHERR-FRANCE SAS</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u w:val="none"/>
        <w:b/>
      </w:rPr>
    </w:lvl>
    <w:lvl w:ilvl="1">
      <w:start w:val="1"/>
      <w:numFmt w:val="decimal"/>
      <w:lvlText w:val="%1.%2."/>
      <w:lvlJc w:val="left"/>
      <w:pPr>
        <w:ind w:left="360" w:hanging="360"/>
      </w:pPr>
      <w:rPr>
        <w:u w:val="none"/>
        <w:b/>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3">
    <w:lvl w:ilvl="0">
      <w:start w:val="1"/>
      <w:numFmt w:val="bullet"/>
      <w:lvlText w:val=""/>
      <w:lvlJc w:val="left"/>
      <w:pPr>
        <w:ind w:left="1490" w:hanging="360"/>
      </w:pPr>
      <w:rPr>
        <w:rFonts w:ascii="Symbol" w:hAnsi="Symbol" w:cs="Symbol" w:hint="default"/>
        <w:rFonts w:cs="Symbol"/>
      </w:rPr>
    </w:lvl>
  </w:abstractNum>
  <w:abstractNum w:abstractNumId="4">
    <w:lvl w:ilvl="0">
      <w:start w:val="5"/>
      <w:numFmt w:val="decimal"/>
      <w:lvlText w:val="%1."/>
      <w:lvlJc w:val="left"/>
      <w:pPr>
        <w:ind w:left="360" w:hanging="360"/>
      </w:pPr>
      <w:rPr>
        <w:b/>
      </w:rPr>
    </w:lvl>
    <w:lvl w:ilvl="1">
      <w:start w:val="2"/>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Arial" w:hAnsi="Arial" w:eastAsia="Times New Roman" w:cs="Arial"/>
      <w:color w:val="auto"/>
      <w:sz w:val="20"/>
      <w:szCs w:val="20"/>
      <w:lang w:val="fr-FR" w:bidi="ar-SA" w:eastAsia="zh-CN"/>
    </w:rPr>
  </w:style>
  <w:style w:type="paragraph" w:styleId="Heading1">
    <w:name w:val="Heading 1"/>
    <w:basedOn w:val="Normal"/>
    <w:next w:val="Normal"/>
    <w:qFormat/>
    <w:pPr>
      <w:keepNext w:val="true"/>
      <w:numPr>
        <w:ilvl w:val="0"/>
        <w:numId w:val="1"/>
      </w:numPr>
      <w:tabs>
        <w:tab w:val="left" w:pos="1985" w:leader="none"/>
      </w:tabs>
      <w:outlineLvl w:val="0"/>
    </w:pPr>
    <w:rPr>
      <w:u w:val="single"/>
    </w:rPr>
  </w:style>
  <w:style w:type="paragraph" w:styleId="Heading2">
    <w:name w:val="Heading 2"/>
    <w:basedOn w:val="Normal"/>
    <w:next w:val="Normal"/>
    <w:qFormat/>
    <w:pPr>
      <w:keepNext w:val="true"/>
      <w:numPr>
        <w:ilvl w:val="1"/>
        <w:numId w:val="1"/>
      </w:numPr>
      <w:jc w:val="center"/>
      <w:outlineLvl w:val="1"/>
    </w:pPr>
    <w:rPr>
      <w:b/>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Times New Roman"/>
      <w:b/>
      <w:bCs/>
      <w:sz w:val="26"/>
      <w:szCs w:val="26"/>
    </w:rPr>
  </w:style>
  <w:style w:type="character" w:styleId="WW8Num1z0">
    <w:name w:val="WW8Num1z0"/>
    <w:qFormat/>
    <w:rPr>
      <w:rFonts w:ascii="Arial" w:hAnsi="Arial"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7z0">
    <w:name w:val="WW8Num7z0"/>
    <w:qFormat/>
    <w:rPr/>
  </w:style>
  <w:style w:type="character" w:styleId="WW8Num8z0">
    <w:name w:val="WW8Num8z0"/>
    <w:qFormat/>
    <w:rPr>
      <w:rFonts w:ascii="Arial" w:hAnsi="Arial" w:eastAsia="Times New Roman"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rFonts w:ascii="Calibri" w:hAnsi="Calibri"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eastAsia="Times New Roman" w:cs="Wingdings"/>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Arial" w:hAnsi="Arial" w:eastAsia="Times New Roman" w:cs="Aria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rFonts w:ascii="Arial" w:hAnsi="Arial" w:eastAsia="Times New Roman"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Arial" w:hAnsi="Arial" w:eastAsia="Times New Roman" w:cs="Aria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Arial" w:hAnsi="Arial" w:eastAsia="Times New Roman" w:cs="Aria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rFonts w:ascii="Arial" w:hAnsi="Arial" w:cs="Arial"/>
      <w:b w:val="false"/>
      <w:i w:val="false"/>
      <w:sz w:val="20"/>
    </w:rPr>
  </w:style>
  <w:style w:type="character" w:styleId="WW8Num27z1">
    <w:name w:val="WW8Num27z1"/>
    <w:qFormat/>
    <w:rPr/>
  </w:style>
  <w:style w:type="character" w:styleId="WW8Num28z0">
    <w:name w:val="WW8Num28z0"/>
    <w:qFormat/>
    <w:rPr>
      <w:rFonts w:ascii="Arial" w:hAnsi="Arial" w:eastAsia="Times New Roman" w:cs="Aria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Wingdings" w:hAnsi="Wingdings" w:cs="Wingdings"/>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Arial" w:hAnsi="Arial" w:eastAsia="Times New Roman" w:cs="Aria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Arial" w:hAnsi="Arial" w:eastAsia="Times New Roman" w:cs="Aria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b/>
      <w:u w:val="none"/>
    </w:rPr>
  </w:style>
  <w:style w:type="character" w:styleId="WW8Num35z2">
    <w:name w:val="WW8Num35z2"/>
    <w:qFormat/>
    <w:rPr>
      <w:u w:val="single"/>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b/>
    </w:rPr>
  </w:style>
  <w:style w:type="character" w:styleId="Policepardfaut">
    <w:name w:val="Police par défaut"/>
    <w:qFormat/>
    <w:rPr/>
  </w:style>
  <w:style w:type="character" w:styleId="Cmt1">
    <w:name w:val="cmt1"/>
    <w:basedOn w:val="Policepardfaut"/>
    <w:qFormat/>
    <w:rPr/>
  </w:style>
  <w:style w:type="character" w:styleId="Titre3Car">
    <w:name w:val="Titre 3 Car"/>
    <w:qFormat/>
    <w:rPr>
      <w:rFonts w:ascii="Cambria" w:hAnsi="Cambria" w:eastAsia="Times New Roman" w:cs="Times New Roman"/>
      <w:b/>
      <w:bCs/>
      <w:sz w:val="26"/>
      <w:szCs w:val="26"/>
    </w:rPr>
  </w:style>
  <w:style w:type="character" w:styleId="Marquedecommentaire">
    <w:name w:val="Marque de commentaire"/>
    <w:qFormat/>
    <w:rPr>
      <w:sz w:val="16"/>
      <w:szCs w:val="16"/>
    </w:rPr>
  </w:style>
  <w:style w:type="character" w:styleId="CommentaireCar">
    <w:name w:val="Commentaire Car"/>
    <w:qFormat/>
    <w:rPr>
      <w:rFonts w:ascii="Arial" w:hAnsi="Arial" w:cs="Arial"/>
    </w:rPr>
  </w:style>
  <w:style w:type="character" w:styleId="ObjetducommentaireCar">
    <w:name w:val="Objet du commentaire Car"/>
    <w:qFormat/>
    <w:rPr>
      <w:rFonts w:ascii="Arial" w:hAnsi="Arial" w:cs="Arial"/>
      <w:b/>
      <w:bCs/>
    </w:rPr>
  </w:style>
  <w:style w:type="character" w:styleId="CorpsdetexteCar">
    <w:name w:val="Corps de texte Car"/>
    <w:qFormat/>
    <w:rPr>
      <w:rFonts w:ascii="Arial" w:hAnsi="Arial" w:cs="Aria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tabs>
        <w:tab w:val="left" w:pos="2552" w:leader="none"/>
      </w:tabs>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NormalWeb">
    <w:name w:val="Normal (Web)"/>
    <w:basedOn w:val="Normal"/>
    <w:qFormat/>
    <w:pPr>
      <w:spacing w:before="100" w:after="100"/>
    </w:pPr>
    <w:rPr>
      <w:rFonts w:ascii="Times New Roman" w:hAnsi="Times New Roman" w:cs="Times New Roman"/>
      <w:sz w:val="24"/>
      <w:szCs w:val="24"/>
    </w:rPr>
  </w:style>
  <w:style w:type="paragraph" w:styleId="ListParagraph">
    <w:name w:val="List Paragraph"/>
    <w:basedOn w:val="Normal"/>
    <w:qFormat/>
    <w:pPr>
      <w:spacing w:lineRule="auto" w:line="276" w:before="0" w:after="200"/>
      <w:ind w:left="720" w:hanging="0"/>
      <w:contextualSpacing/>
    </w:pPr>
    <w:rPr>
      <w:rFonts w:ascii="Calibri" w:hAnsi="Calibri" w:cs="Calibri"/>
      <w:sz w:val="22"/>
      <w:szCs w:val="22"/>
    </w:rPr>
  </w:style>
  <w:style w:type="paragraph" w:styleId="Paragraphedeliste">
    <w:name w:val="Paragraphe de liste"/>
    <w:basedOn w:val="Normal"/>
    <w:qFormat/>
    <w:pPr>
      <w:spacing w:before="0" w:after="0"/>
      <w:ind w:left="720" w:hanging="0"/>
      <w:contextualSpacing/>
    </w:pPr>
    <w:rPr/>
  </w:style>
  <w:style w:type="paragraph" w:styleId="Commentaire">
    <w:name w:val="Commentaire"/>
    <w:basedOn w:val="Normal"/>
    <w:qFormat/>
    <w:pPr/>
    <w:rPr/>
  </w:style>
  <w:style w:type="paragraph" w:styleId="Objetducommentaire">
    <w:name w:val="Objet du commentaire"/>
    <w:basedOn w:val="Commentaire"/>
    <w:next w:val="Commentaire"/>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435</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2022-02-18T10:18:00Z</dcterms:created>
  <dc:creator/>
  <dc:description/>
  <dc:language>en-GB</dc:language>
  <cp:lastModifiedBy/>
  <cp:lastPrinted>2022-02-24T08:54:00Z</cp:lastPrinted>
  <dcterms:modified xsi:type="dcterms:W3CDTF">2022-02-24T17:09:00Z</dcterms:modified>
  <cp:revision>9</cp:revision>
  <dc:subject/>
  <dc:title>LIEBHER-FRANCE S</dc:title>
</cp:coreProperties>
</file>