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98FF432" w14:textId="14522B75" w:rsidP="00C7206E" w:rsidR="00C7206E" w:rsidRDefault="00C7206E" w:rsidRPr="00C7206E">
      <w:pPr>
        <w:jc w:val="both"/>
        <w:rPr>
          <w:rFonts w:ascii="Arial" w:cs="Times New Roman" w:eastAsia="Calibri" w:hAnsi="Arial"/>
          <w:sz w:val="20"/>
          <w:lang w:eastAsia="en-US"/>
        </w:rPr>
      </w:pPr>
      <w:r>
        <w:rPr>
          <w:noProof/>
          <w:lang w:eastAsia="fr-FR"/>
        </w:rPr>
        <mc:AlternateContent>
          <mc:Choice Requires="wps">
            <w:drawing>
              <wp:anchor allowOverlap="1" behindDoc="0" distB="0" distL="114300" distR="114300" distT="0" layoutInCell="1" locked="0" relativeHeight="251659264" simplePos="0" wp14:anchorId="78B0BD59" wp14:editId="03F3D39A">
                <wp:simplePos x="0" y="0"/>
                <wp:positionH relativeFrom="column">
                  <wp:posOffset>2832735</wp:posOffset>
                </wp:positionH>
                <wp:positionV relativeFrom="paragraph">
                  <wp:posOffset>-402590</wp:posOffset>
                </wp:positionV>
                <wp:extent cx="3291840" cy="548640"/>
                <wp:effectExtent b="1270" l="3810" r="0" t="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18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45A20" w14:textId="77777777" w:rsidP="00C7206E" w:rsidR="00C7206E" w:rsidRDefault="00C7206E">
                            <w:pPr>
                              <w:pStyle w:val="Corpsdetexte"/>
                              <w:jc w:val="center"/>
                              <w:rPr>
                                <w:b/>
                                <w:color w:val="0000FF"/>
                              </w:rPr>
                            </w:pPr>
                            <w:r>
                              <w:rPr>
                                <w:b/>
                                <w:color w:val="0000FF"/>
                              </w:rPr>
                              <w:t>CONSTRUCTIONS MECANIQUES DE L’ARBRESLE</w:t>
                            </w:r>
                          </w:p>
                          <w:p w14:paraId="0C425A17" w14:textId="77777777" w:rsidP="00C7206E" w:rsidR="00C7206E" w:rsidRDefault="00C7206E">
                            <w:pPr>
                              <w:pStyle w:val="Corpsdetexte"/>
                              <w:jc w:val="center"/>
                              <w:rPr>
                                <w:sz w:val="12"/>
                              </w:rPr>
                            </w:pPr>
                          </w:p>
                          <w:p w14:paraId="6886DD60" w14:textId="77777777" w:rsidP="00C7206E" w:rsidR="00C7206E" w:rsidRDefault="00C7206E">
                            <w:pPr>
                              <w:jc w:val="cente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rect filled="f" id="Rectangl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AiF+1wEAAJcDAAAOAAAAZHJzL2Uyb0RvYy54bWysU9tu2zAMfR+wfxD0vjjO0i414hRFiw4D ugvQ7QNkWbaF2aJGKrGzrx+lpGm2vhV7EXiRDg8PqfX1NPRiZ5AsuFLms7kUxmmorWtL+eP7/buV FBSUq1UPzpRyb0heb96+WY++MAvooK8NCgZxVIy+lF0Ivsgy0p0ZFM3AG8fJBnBQgV1ssxrVyOhD ny3m88tsBKw9gjZEHL07JOUm4TeN0eFr05AJoi8lcwvpxHRW8cw2a1W0qHxn9ZGGegWLQVnHRU9Q dyoosUX7AmqwGoGgCTMNQwZNY7VJPXA3+fyfbh475U3qhcUhf5KJ/h+s/rJ79N8wUif/APonCQe3 nXKtuUGEsTOq5nJ5FCobPRWnB9Ehfiqq8TPUPFq1DZA0mBocIiB3J6Yk9f4ktZmC0Bx8v7jKV0ue iObcxXJ1yXYsoYqn1x4pfDQwiGiUEnmUCV3tHigcrj5dicUc3Nu+T+Ps3V8BxoyRxD4SjrtBRZiq iW9Hs4J6z30gHLaDt5mNDvC3FCNvRinp11ahkaL/5FiLq3wZiYfkLC8+LNjB80x1nlFOM1QpgxQH 8zYc1m/r0bYdV8pTWw5uWL/GptaeWR158/STOMdNjet17qdbz/9p8wcAAP//AwBQSwMEFAAGAAgA AAAhALIe/LHiAAAACgEAAA8AAABkcnMvZG93bnJldi54bWxMj0FLw0AQhe+C/2EZwYu0m7YxaMyk SEEsIhRT7XmbHZNgdjbNbpP4711Pehzex3vfZOvJtGKg3jWWERbzCARxaXXDFcL7/ml2B8J5xVq1 lgnhmxys88uLTKXajvxGQ+ErEUrYpQqh9r5LpXRlTUa5ue2IQ/Zpe6N8OPtK6l6Nody0chlFiTSq 4bBQq442NZVfxdkgjOVuOOxfn+Xu5rC1fNqeNsXHC+L11fT4AMLT5P9g+NUP6pAHp6M9s3aiRYjj ZBFQhFmyikEE4j6Jb0EcEZarCGSeyf8v5D8AAAD//wMAUEsBAi0AFAAGAAgAAAAhALaDOJL+AAAA 4QEAABMAAAAAAAAAAAAAAAAAAAAAAFtDb250ZW50X1R5cGVzXS54bWxQSwECLQAUAAYACAAAACEA OP0h/9YAAACUAQAACwAAAAAAAAAAAAAAAAAvAQAAX3JlbHMvLnJlbHNQSwECLQAUAAYACAAAACEA uQIhftcBAACXAwAADgAAAAAAAAAAAAAAAAAuAgAAZHJzL2Uyb0RvYy54bWxQSwECLQAUAAYACAAA ACEAsh78seIAAAAKAQAADwAAAAAAAAAAAAAAAAAxBAAAZHJzL2Rvd25yZXYueG1sUEsFBgAAAAAE AAQA8wAAAEAFAAAAAA== " o:spid="_x0000_s1026" stroked="f" style="position:absolute;left:0;text-align:left;margin-left:223.05pt;margin-top:-31.7pt;width:259.2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8B0BD59">
                <v:textbox>
                  <w:txbxContent>
                    <w:p w14:paraId="4F445A20" w14:textId="77777777" w:rsidP="00C7206E" w:rsidR="00C7206E" w:rsidRDefault="00C7206E">
                      <w:pPr>
                        <w:pStyle w:val="Corpsdetexte"/>
                        <w:jc w:val="center"/>
                        <w:rPr>
                          <w:b/>
                          <w:color w:val="0000FF"/>
                        </w:rPr>
                      </w:pPr>
                      <w:r>
                        <w:rPr>
                          <w:b/>
                          <w:color w:val="0000FF"/>
                        </w:rPr>
                        <w:t>CONSTRUCTIONS MECANIQUES DE L’ARBRESLE</w:t>
                      </w:r>
                    </w:p>
                    <w:p w14:paraId="0C425A17" w14:textId="77777777" w:rsidP="00C7206E" w:rsidR="00C7206E" w:rsidRDefault="00C7206E">
                      <w:pPr>
                        <w:pStyle w:val="Corpsdetexte"/>
                        <w:jc w:val="center"/>
                        <w:rPr>
                          <w:sz w:val="12"/>
                        </w:rPr>
                      </w:pPr>
                    </w:p>
                    <w:p w14:paraId="6886DD60" w14:textId="77777777" w:rsidP="00C7206E" w:rsidR="00C7206E" w:rsidRDefault="00C7206E">
                      <w:pPr>
                        <w:jc w:val="center"/>
                      </w:pPr>
                    </w:p>
                  </w:txbxContent>
                </v:textbox>
              </v:rect>
            </w:pict>
          </mc:Fallback>
        </mc:AlternateContent>
      </w:r>
      <w:r w:rsidRPr="00C7206E">
        <w:rPr>
          <w:rFonts w:ascii="Arial" w:cs="Times New Roman" w:eastAsia="Calibri" w:hAnsi="Arial"/>
          <w:sz w:val="20"/>
          <w:lang w:eastAsia="en-US"/>
        </w:rPr>
        <w:t>31 Allée des Acacias</w:t>
      </w:r>
    </w:p>
    <w:p w14:paraId="02980AB1" w14:textId="77777777" w:rsidP="00C7206E" w:rsidR="00C7206E" w:rsidRDefault="00C7206E" w:rsidRPr="00C7206E">
      <w:pPr>
        <w:jc w:val="both"/>
        <w:rPr>
          <w:rFonts w:ascii="Arial" w:cs="Times New Roman" w:eastAsia="Calibri" w:hAnsi="Arial"/>
          <w:b/>
          <w:sz w:val="20"/>
          <w:lang w:eastAsia="en-US"/>
        </w:rPr>
      </w:pPr>
      <w:r w:rsidRPr="00C7206E">
        <w:rPr>
          <w:rFonts w:ascii="Arial" w:cs="Times New Roman" w:eastAsia="Calibri" w:hAnsi="Arial"/>
          <w:sz w:val="20"/>
          <w:lang w:eastAsia="en-US"/>
        </w:rPr>
        <w:t xml:space="preserve">Z.I La Ponchonnière – </w:t>
      </w:r>
      <w:r w:rsidRPr="00C7206E">
        <w:rPr>
          <w:rFonts w:ascii="Arial" w:cs="Times New Roman" w:eastAsia="Calibri" w:hAnsi="Arial"/>
          <w:b/>
          <w:sz w:val="20"/>
          <w:lang w:eastAsia="en-US"/>
        </w:rPr>
        <w:t>69210 SAIN BEL</w:t>
      </w:r>
    </w:p>
    <w:p w14:paraId="25499FD3" w14:textId="77777777" w:rsidP="002C766A" w:rsidR="00C7206E" w:rsidRDefault="00C7206E"/>
    <w:p w14:paraId="41B83E1B" w14:textId="2F59DB95" w:rsidP="002C766A" w:rsidR="002C766A" w:rsidRDefault="00C7206E">
      <w:r>
        <w:rPr>
          <w:noProof/>
          <w:lang w:eastAsia="fr-FR"/>
        </w:rPr>
        <w:drawing>
          <wp:anchor allowOverlap="1" behindDoc="0" distB="0" distL="114300" distR="114300" distT="0" layoutInCell="1" locked="0" relativeHeight="251658240" simplePos="0" wp14:anchorId="36947747" wp14:editId="61B8A235">
            <wp:simplePos x="0" y="0"/>
            <wp:positionH relativeFrom="margin">
              <wp:align>left</wp:align>
            </wp:positionH>
            <wp:positionV relativeFrom="page">
              <wp:posOffset>393065</wp:posOffset>
            </wp:positionV>
            <wp:extent cx="2190750" cy="761365"/>
            <wp:effectExtent b="635" l="0" r="0" t="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cstate="print" r:embed="rId7">
                      <a:extLst>
                        <a:ext uri="{28A0092B-C50C-407E-A947-70E740481C1C}">
                          <a14:useLocalDpi xmlns:a14="http://schemas.microsoft.com/office/drawing/2010/main" val="0"/>
                        </a:ext>
                      </a:extLst>
                    </a:blip>
                    <a:srcRect/>
                    <a:stretch>
                      <a:fillRect/>
                    </a:stretch>
                  </pic:blipFill>
                  <pic:spPr bwMode="auto">
                    <a:xfrm>
                      <a:off x="0" y="0"/>
                      <a:ext cx="2203776" cy="7662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33620E" w14:textId="763CC5BB" w:rsidP="002C766A" w:rsidR="002C766A" w:rsidRDefault="002C766A"/>
    <w:p w14:paraId="5245A188" w14:textId="77777777" w:rsidP="002C766A" w:rsidR="002C766A" w:rsidRDefault="002C766A">
      <w:pPr>
        <w:pBdr>
          <w:top w:color="auto" w:space="1" w:sz="12" w:val="single"/>
          <w:left w:color="auto" w:space="4" w:sz="12" w:val="single"/>
          <w:bottom w:color="auto" w:space="1" w:sz="12" w:val="single"/>
          <w:right w:color="auto" w:space="4" w:sz="12" w:val="single"/>
        </w:pBdr>
        <w:jc w:val="center"/>
        <w:rPr>
          <w:rFonts w:ascii="Arial" w:cs="Arial" w:hAnsi="Arial"/>
          <w:b/>
          <w:bCs/>
          <w:iCs/>
          <w:sz w:val="28"/>
          <w:szCs w:val="28"/>
        </w:rPr>
      </w:pPr>
      <w:r>
        <w:rPr>
          <w:rFonts w:ascii="Arial" w:cs="Arial" w:hAnsi="Arial"/>
          <w:b/>
          <w:bCs/>
          <w:iCs/>
          <w:sz w:val="28"/>
          <w:szCs w:val="28"/>
        </w:rPr>
        <w:t xml:space="preserve">Accord portant attribution </w:t>
      </w:r>
    </w:p>
    <w:p w14:paraId="5452AE34" w14:textId="77777777" w:rsidP="002C766A" w:rsidR="002C766A" w:rsidRDefault="002C766A">
      <w:pPr>
        <w:pBdr>
          <w:top w:color="auto" w:space="1" w:sz="12" w:val="single"/>
          <w:left w:color="auto" w:space="4" w:sz="12" w:val="single"/>
          <w:bottom w:color="auto" w:space="1" w:sz="12" w:val="single"/>
          <w:right w:color="auto" w:space="4" w:sz="12" w:val="single"/>
        </w:pBdr>
        <w:jc w:val="center"/>
        <w:rPr>
          <w:rFonts w:ascii="Arial" w:cs="Arial" w:hAnsi="Arial"/>
          <w:b/>
          <w:bCs/>
          <w:iCs/>
          <w:sz w:val="28"/>
          <w:szCs w:val="28"/>
        </w:rPr>
      </w:pPr>
      <w:r>
        <w:rPr>
          <w:rFonts w:ascii="Arial" w:cs="Arial" w:hAnsi="Arial"/>
          <w:b/>
          <w:bCs/>
          <w:iCs/>
          <w:sz w:val="28"/>
          <w:szCs w:val="28"/>
        </w:rPr>
        <w:t>d’une prime de partage de la valeur</w:t>
      </w:r>
    </w:p>
    <w:p w14:paraId="02F1EBE4" w14:textId="77777777" w:rsidP="002C766A" w:rsidR="002C766A" w:rsidRDefault="002C766A">
      <w:pPr>
        <w:rPr>
          <w:rFonts w:ascii="Arial" w:cs="Arial" w:hAnsi="Arial"/>
          <w:b/>
        </w:rPr>
      </w:pPr>
    </w:p>
    <w:p w14:paraId="15F34BFE" w14:textId="77777777" w:rsidP="002C766A" w:rsidR="002C766A" w:rsidRDefault="002C766A">
      <w:pPr>
        <w:jc w:val="both"/>
        <w:rPr>
          <w:rFonts w:ascii="Arial" w:cs="Arial" w:hAnsi="Arial"/>
        </w:rPr>
      </w:pPr>
    </w:p>
    <w:p w14:paraId="31B711AA" w14:textId="77777777" w:rsidP="002C766A" w:rsidR="002C766A" w:rsidRDefault="002C766A">
      <w:pPr>
        <w:jc w:val="both"/>
        <w:rPr>
          <w:rFonts w:ascii="Arial" w:cs="Arial" w:hAnsi="Arial"/>
        </w:rPr>
      </w:pPr>
    </w:p>
    <w:p w14:paraId="572D6EB0" w14:textId="77777777" w:rsidP="002C766A" w:rsidR="002C766A" w:rsidRDefault="002C766A">
      <w:pPr>
        <w:rPr>
          <w:rFonts w:ascii="Arial" w:cs="Arial" w:hAnsi="Arial"/>
        </w:rPr>
      </w:pPr>
      <w:r>
        <w:rPr>
          <w:rFonts w:ascii="Arial" w:cs="Arial" w:hAnsi="Arial"/>
        </w:rPr>
        <w:t>Entre :</w:t>
      </w:r>
    </w:p>
    <w:p w14:paraId="04FC3E2B" w14:textId="77777777" w:rsidP="002C766A" w:rsidR="002C766A" w:rsidRDefault="002C766A">
      <w:pPr>
        <w:rPr>
          <w:rFonts w:cs="Arial"/>
        </w:rPr>
      </w:pPr>
    </w:p>
    <w:p w14:paraId="1A63542D" w14:textId="6D6C45B7" w:rsidP="00C163B2" w:rsidR="00C163B2" w:rsidRDefault="00C163B2" w:rsidRPr="00C163B2">
      <w:pPr>
        <w:numPr>
          <w:ilvl w:val="0"/>
          <w:numId w:val="1"/>
        </w:numPr>
        <w:jc w:val="both"/>
        <w:rPr>
          <w:rFonts w:ascii="Arial" w:cs="Arial" w:hAnsi="Arial"/>
          <w:noProof/>
        </w:rPr>
      </w:pPr>
      <w:r w:rsidRPr="00C163B2">
        <w:rPr>
          <w:rFonts w:ascii="Arial" w:cs="Arial" w:hAnsi="Arial"/>
          <w:b/>
          <w:noProof/>
        </w:rPr>
        <w:t xml:space="preserve">La direction de la société COMELA représentée par : M </w:t>
      </w:r>
      <w:r w:rsidR="00382E31">
        <w:rPr>
          <w:rFonts w:ascii="Arial" w:cs="Arial" w:hAnsi="Arial"/>
          <w:b/>
          <w:noProof/>
        </w:rPr>
        <w:t>xxxxxxx</w:t>
      </w:r>
    </w:p>
    <w:p w14:paraId="525F8B2C" w14:textId="77777777" w:rsidP="00C163B2" w:rsidR="00C163B2" w:rsidRDefault="00C163B2" w:rsidRPr="00C163B2">
      <w:pPr>
        <w:ind w:left="720"/>
        <w:jc w:val="both"/>
        <w:rPr>
          <w:rFonts w:ascii="Arial" w:cs="Arial" w:hAnsi="Arial"/>
        </w:rPr>
      </w:pPr>
    </w:p>
    <w:p w14:paraId="2C646621" w14:textId="77777777" w:rsidP="002C766A" w:rsidR="002C766A" w:rsidRDefault="002C766A">
      <w:pPr>
        <w:jc w:val="both"/>
        <w:rPr>
          <w:rFonts w:ascii="Arial" w:cs="Arial" w:hAnsi="Arial"/>
        </w:rPr>
      </w:pPr>
    </w:p>
    <w:p w14:paraId="22AEC96C" w14:textId="77777777" w:rsidP="002C766A" w:rsidR="002C766A" w:rsidRDefault="002C766A">
      <w:pPr>
        <w:jc w:val="both"/>
        <w:rPr>
          <w:rFonts w:ascii="Arial" w:cs="Arial" w:hAnsi="Arial"/>
        </w:rPr>
      </w:pPr>
      <w:r>
        <w:rPr>
          <w:rFonts w:ascii="Arial" w:cs="Arial" w:hAnsi="Arial"/>
        </w:rPr>
        <w:t>Et :</w:t>
      </w:r>
    </w:p>
    <w:p w14:paraId="2671E803" w14:textId="77777777" w:rsidP="002C766A" w:rsidR="002C766A" w:rsidRDefault="002C766A">
      <w:pPr>
        <w:jc w:val="both"/>
      </w:pPr>
    </w:p>
    <w:p w14:paraId="2AC67C1E" w14:textId="0B54E9FE" w:rsidP="00C163B2" w:rsidR="00C163B2" w:rsidRDefault="00C163B2">
      <w:pPr>
        <w:numPr>
          <w:ilvl w:val="0"/>
          <w:numId w:val="1"/>
        </w:numPr>
        <w:jc w:val="both"/>
        <w:rPr>
          <w:rFonts w:ascii="Arial" w:cs="Arial" w:hAnsi="Arial"/>
          <w:b/>
        </w:rPr>
      </w:pPr>
      <w:r>
        <w:rPr>
          <w:rFonts w:ascii="Arial" w:cs="Arial" w:hAnsi="Arial"/>
          <w:b/>
        </w:rPr>
        <w:t xml:space="preserve">Le syndicat CFDT représenté par M </w:t>
      </w:r>
      <w:r w:rsidR="00382E31">
        <w:rPr>
          <w:rFonts w:ascii="Arial" w:cs="Arial" w:hAnsi="Arial"/>
          <w:b/>
        </w:rPr>
        <w:t>xxxxxxxx</w:t>
      </w:r>
      <w:r>
        <w:rPr>
          <w:rFonts w:ascii="Arial" w:cs="Arial" w:hAnsi="Arial"/>
          <w:b/>
        </w:rPr>
        <w:t>– Délégué syndical</w:t>
      </w:r>
    </w:p>
    <w:p w14:paraId="7ADE8245" w14:textId="6AC38AF3" w:rsidP="00C163B2" w:rsidR="002C766A" w:rsidRDefault="002C766A">
      <w:pPr>
        <w:ind w:left="720"/>
        <w:jc w:val="both"/>
        <w:rPr>
          <w:rFonts w:ascii="Arial" w:cs="Arial" w:hAnsi="Arial"/>
        </w:rPr>
      </w:pPr>
    </w:p>
    <w:p w14:paraId="45388056" w14:textId="77777777" w:rsidP="002C766A" w:rsidR="002C766A" w:rsidRDefault="002C766A">
      <w:pPr>
        <w:jc w:val="both"/>
        <w:rPr>
          <w:rFonts w:ascii="Arial" w:cs="Arial" w:hAnsi="Arial"/>
        </w:rPr>
      </w:pPr>
    </w:p>
    <w:p w14:paraId="23A0330B" w14:textId="77777777" w:rsidP="002C766A" w:rsidR="002C766A" w:rsidRDefault="002C766A">
      <w:pPr>
        <w:jc w:val="both"/>
        <w:rPr>
          <w:rFonts w:ascii="Arial" w:cs="Arial" w:hAnsi="Arial"/>
        </w:rPr>
      </w:pPr>
    </w:p>
    <w:p w14:paraId="53D2F1A1" w14:textId="77777777" w:rsidP="002C766A" w:rsidR="002C766A" w:rsidRDefault="002C766A">
      <w:pPr>
        <w:jc w:val="both"/>
        <w:rPr>
          <w:rFonts w:ascii="Arial" w:cs="Arial" w:hAnsi="Arial"/>
        </w:rPr>
      </w:pPr>
    </w:p>
    <w:p w14:paraId="5E8C9603" w14:textId="77777777" w:rsidP="002C766A" w:rsidR="002C766A" w:rsidRDefault="002C766A">
      <w:pPr>
        <w:jc w:val="both"/>
        <w:rPr>
          <w:rFonts w:ascii="Arial" w:cs="Arial" w:hAnsi="Arial"/>
        </w:rPr>
      </w:pPr>
    </w:p>
    <w:p w14:paraId="5263D9D7" w14:textId="77777777" w:rsidP="002C766A" w:rsidR="002C766A" w:rsidRDefault="002C766A">
      <w:pPr>
        <w:jc w:val="center"/>
        <w:rPr>
          <w:rFonts w:ascii="Arial" w:cs="Arial" w:hAnsi="Arial"/>
          <w:u w:val="single"/>
        </w:rPr>
      </w:pPr>
      <w:r>
        <w:rPr>
          <w:rFonts w:ascii="Arial" w:cs="Arial" w:hAnsi="Arial"/>
          <w:u w:val="single"/>
        </w:rPr>
        <w:t>Il est convenu ce qui suit :</w:t>
      </w:r>
    </w:p>
    <w:p w14:paraId="5BA8E465" w14:textId="77777777" w:rsidP="002C766A" w:rsidR="002C766A" w:rsidRDefault="002C766A">
      <w:pPr>
        <w:jc w:val="both"/>
        <w:rPr>
          <w:rFonts w:ascii="Arial" w:cs="Arial" w:hAnsi="Arial"/>
        </w:rPr>
      </w:pPr>
    </w:p>
    <w:p w14:paraId="794EE7FB" w14:textId="77777777" w:rsidP="002C766A" w:rsidR="002C766A" w:rsidRDefault="002C766A">
      <w:pPr>
        <w:jc w:val="both"/>
        <w:rPr>
          <w:rFonts w:ascii="Arial" w:cs="Arial" w:hAnsi="Arial"/>
        </w:rPr>
      </w:pPr>
    </w:p>
    <w:p w14:paraId="63267A99" w14:textId="77777777" w:rsidP="002C766A" w:rsidR="002C766A" w:rsidRDefault="002C766A">
      <w:pPr>
        <w:jc w:val="center"/>
        <w:rPr>
          <w:rFonts w:ascii="Arial" w:cs="Arial" w:hAnsi="Arial"/>
          <w:b/>
        </w:rPr>
      </w:pPr>
      <w:r>
        <w:rPr>
          <w:rFonts w:ascii="Arial" w:cs="Arial" w:hAnsi="Arial"/>
          <w:b/>
        </w:rPr>
        <w:t>PREAMBULE</w:t>
      </w:r>
    </w:p>
    <w:p w14:paraId="563A2782" w14:textId="77777777" w:rsidP="002C766A" w:rsidR="002C766A" w:rsidRDefault="002C766A">
      <w:pPr>
        <w:jc w:val="both"/>
        <w:rPr>
          <w:rFonts w:ascii="Arial" w:cs="Arial" w:hAnsi="Arial"/>
        </w:rPr>
      </w:pPr>
    </w:p>
    <w:p w14:paraId="100A7D99" w14:textId="77777777" w:rsidP="002C766A" w:rsidR="002C766A" w:rsidRDefault="002C766A">
      <w:pPr>
        <w:rPr>
          <w:rFonts w:ascii="Arial" w:cs="Arial" w:hAnsi="Arial"/>
        </w:rPr>
      </w:pPr>
    </w:p>
    <w:p w14:paraId="7D81021D" w14:textId="4391FEBE" w:rsidP="002C766A" w:rsidR="002C766A" w:rsidRDefault="002C766A">
      <w:pPr>
        <w:jc w:val="both"/>
        <w:rPr>
          <w:rFonts w:ascii="Arial" w:cs="Arial" w:hAnsi="Arial"/>
        </w:rPr>
      </w:pPr>
      <w:r>
        <w:rPr>
          <w:rFonts w:ascii="Arial" w:cs="Arial" w:hAnsi="Arial"/>
        </w:rPr>
        <w:tab/>
        <w:t>C</w:t>
      </w:r>
      <w:r w:rsidRPr="00272026">
        <w:rPr>
          <w:rFonts w:ascii="Arial" w:cs="Arial" w:hAnsi="Arial"/>
        </w:rPr>
        <w:t xml:space="preserve">onformément aux dispositions de l’article 1 de la loi n°2022-1158 du 16 août 2022 portant mesures d’urgence pour la protection du pouvoir d’achat, les parties conviennent de verser une </w:t>
      </w:r>
      <w:r w:rsidR="00557800">
        <w:rPr>
          <w:rFonts w:ascii="Arial" w:cs="Arial" w:hAnsi="Arial"/>
        </w:rPr>
        <w:t>prime de partage de la valeur (</w:t>
      </w:r>
      <w:r w:rsidRPr="00272026">
        <w:rPr>
          <w:rFonts w:ascii="Arial" w:cs="Arial" w:hAnsi="Arial"/>
        </w:rPr>
        <w:t>PPV</w:t>
      </w:r>
      <w:r w:rsidR="00557800">
        <w:rPr>
          <w:rFonts w:ascii="Arial" w:cs="Arial" w:hAnsi="Arial"/>
        </w:rPr>
        <w:t>)</w:t>
      </w:r>
      <w:r w:rsidRPr="00272026">
        <w:rPr>
          <w:rFonts w:ascii="Arial" w:cs="Arial" w:hAnsi="Arial"/>
        </w:rPr>
        <w:t xml:space="preserve"> ayant pour objectif de protéger et améliorer le pouvoir d’achat des salariés.</w:t>
      </w:r>
    </w:p>
    <w:p w14:paraId="593B00D4" w14:textId="77777777" w:rsidP="002C766A" w:rsidR="002C766A" w:rsidRDefault="002C766A">
      <w:pPr>
        <w:jc w:val="both"/>
        <w:rPr>
          <w:rFonts w:ascii="Arial" w:cs="Arial" w:hAnsi="Arial"/>
        </w:rPr>
      </w:pPr>
    </w:p>
    <w:p w14:paraId="479BAD3E" w14:textId="3F9EDF51" w:rsidP="002C766A" w:rsidR="002C766A" w:rsidRDefault="002C766A">
      <w:pPr>
        <w:jc w:val="both"/>
        <w:rPr>
          <w:rFonts w:ascii="Arial" w:cs="Arial" w:hAnsi="Arial"/>
        </w:rPr>
      </w:pPr>
    </w:p>
    <w:p w14:paraId="4CE9ECDC" w14:textId="77777777" w:rsidP="002C766A" w:rsidR="00A9521F" w:rsidRDefault="00A9521F">
      <w:pPr>
        <w:jc w:val="both"/>
        <w:rPr>
          <w:rFonts w:ascii="Arial" w:cs="Arial" w:hAnsi="Arial"/>
        </w:rPr>
      </w:pPr>
    </w:p>
    <w:p w14:paraId="3A51F067" w14:textId="232FA1AF" w:rsidP="002C766A" w:rsidR="002C766A" w:rsidRDefault="002C766A">
      <w:pPr>
        <w:pStyle w:val="Titre2"/>
        <w:jc w:val="both"/>
      </w:pPr>
      <w:r>
        <w:t xml:space="preserve">Article 1 – </w:t>
      </w:r>
      <w:r w:rsidR="00C32C76">
        <w:t>Champ d’application</w:t>
      </w:r>
    </w:p>
    <w:p w14:paraId="748060D4" w14:textId="77777777" w:rsidP="002C766A" w:rsidR="002C766A" w:rsidRDefault="002C766A">
      <w:pPr>
        <w:jc w:val="both"/>
        <w:rPr>
          <w:rFonts w:ascii="Arial" w:cs="Arial" w:hAnsi="Arial"/>
        </w:rPr>
      </w:pPr>
    </w:p>
    <w:p w14:paraId="7C0F94CE" w14:textId="6F6B52C3" w:rsidP="002C766A" w:rsidR="002C766A" w:rsidRDefault="00C32C76">
      <w:pPr>
        <w:ind w:firstLine="360"/>
        <w:jc w:val="both"/>
        <w:rPr>
          <w:rFonts w:ascii="Arial" w:cs="Arial" w:hAnsi="Arial"/>
        </w:rPr>
      </w:pPr>
      <w:r>
        <w:rPr>
          <w:rFonts w:ascii="Arial" w:cs="Arial" w:hAnsi="Arial"/>
        </w:rPr>
        <w:t xml:space="preserve">Le présent accord est applicable à l’ensemble des salariés de l’entreprise présents </w:t>
      </w:r>
      <w:r w:rsidR="002C766A" w:rsidRPr="007C23CF">
        <w:rPr>
          <w:rFonts w:ascii="Arial" w:cs="Arial" w:hAnsi="Arial"/>
        </w:rPr>
        <w:t>à la date de versement de la prime fixée à l’article 4</w:t>
      </w:r>
      <w:r w:rsidR="002C766A">
        <w:rPr>
          <w:rFonts w:ascii="Arial" w:cs="Arial" w:hAnsi="Arial"/>
        </w:rPr>
        <w:t>.</w:t>
      </w:r>
    </w:p>
    <w:p w14:paraId="7CCCA356" w14:textId="77777777" w:rsidP="002C766A" w:rsidR="002C766A" w:rsidRDefault="002C766A">
      <w:pPr>
        <w:jc w:val="both"/>
        <w:rPr>
          <w:rFonts w:ascii="Arial" w:cs="Arial" w:hAnsi="Arial"/>
        </w:rPr>
      </w:pPr>
    </w:p>
    <w:p w14:paraId="67C49AB0" w14:textId="4FCF4DA3" w:rsidP="00A671B5" w:rsidR="00A671B5" w:rsidRDefault="00A671B5" w:rsidRPr="00A671B5">
      <w:pPr>
        <w:pStyle w:val="ElAppp"/>
        <w:spacing w:after="75" w:before="75"/>
        <w:ind w:firstLine="360" w:right="15"/>
        <w:rPr>
          <w:rFonts w:eastAsia="Times New Roman"/>
          <w:sz w:val="22"/>
          <w:szCs w:val="22"/>
          <w:lang w:eastAsia="nl-NL"/>
        </w:rPr>
      </w:pPr>
      <w:r w:rsidRPr="00A671B5">
        <w:rPr>
          <w:rFonts w:eastAsia="Times New Roman"/>
          <w:sz w:val="22"/>
          <w:szCs w:val="22"/>
          <w:lang w:eastAsia="nl-NL"/>
        </w:rPr>
        <w:t>Conformément à l'article 1er de la loi n°2022-1158 du 16 août 2022, les travailleurs temporaires mis à la disposition de l'entreprise bénéficient également de la prime de partage de la valeur, dans les conditions prévues par le présent accord.</w:t>
      </w:r>
    </w:p>
    <w:p w14:paraId="3C5F3F72" w14:textId="0C8721C4" w:rsidP="002C766A" w:rsidR="0098344F" w:rsidRDefault="0098344F">
      <w:pPr>
        <w:jc w:val="both"/>
        <w:rPr>
          <w:rFonts w:ascii="Arial" w:cs="Arial" w:hAnsi="Arial"/>
        </w:rPr>
      </w:pPr>
    </w:p>
    <w:p w14:paraId="3727191F" w14:textId="598D70B7" w:rsidP="002C766A" w:rsidR="00B154FD" w:rsidRDefault="00B154FD">
      <w:pPr>
        <w:jc w:val="both"/>
        <w:rPr>
          <w:rFonts w:ascii="Arial" w:cs="Arial" w:hAnsi="Arial"/>
        </w:rPr>
      </w:pPr>
    </w:p>
    <w:p w14:paraId="1CA83CB9" w14:textId="453083DF" w:rsidR="00A9521F" w:rsidRDefault="00A9521F">
      <w:pPr>
        <w:spacing w:after="160" w:line="259" w:lineRule="auto"/>
        <w:rPr>
          <w:rFonts w:ascii="Arial" w:cs="Arial" w:hAnsi="Arial"/>
        </w:rPr>
      </w:pPr>
      <w:r>
        <w:rPr>
          <w:rFonts w:ascii="Arial" w:cs="Arial" w:hAnsi="Arial"/>
        </w:rPr>
        <w:br w:type="page"/>
      </w:r>
    </w:p>
    <w:p w14:paraId="713FD494" w14:textId="77777777" w:rsidP="002C766A" w:rsidR="0098344F" w:rsidRDefault="0098344F">
      <w:pPr>
        <w:jc w:val="both"/>
        <w:rPr>
          <w:rFonts w:ascii="Arial" w:cs="Arial" w:hAnsi="Arial"/>
        </w:rPr>
      </w:pPr>
    </w:p>
    <w:p w14:paraId="7671793B" w14:textId="7FDA97F3" w:rsidP="002C766A" w:rsidR="002C766A" w:rsidRDefault="002C766A">
      <w:pPr>
        <w:pStyle w:val="Titre2"/>
        <w:jc w:val="both"/>
      </w:pPr>
      <w:r>
        <w:t>Article 2 – Montant de la prime de p</w:t>
      </w:r>
      <w:r w:rsidR="00CC7310">
        <w:t>artage de la valeur</w:t>
      </w:r>
    </w:p>
    <w:p w14:paraId="7A44C55D" w14:textId="77777777" w:rsidP="002C766A" w:rsidR="002C766A" w:rsidRDefault="002C766A" w:rsidRPr="00C07661">
      <w:pPr>
        <w:jc w:val="both"/>
      </w:pPr>
    </w:p>
    <w:p w14:paraId="399EB94E" w14:textId="035300CC" w:rsidP="00BF6952" w:rsidR="00BF6952" w:rsidRDefault="00BF6952" w:rsidRPr="00BF6952">
      <w:pPr>
        <w:ind w:firstLine="708"/>
        <w:rPr>
          <w:rFonts w:ascii="Arial" w:cs="Arial" w:hAnsi="Arial"/>
        </w:rPr>
      </w:pPr>
      <w:r w:rsidRPr="00BF6952">
        <w:rPr>
          <w:rFonts w:ascii="Arial" w:cs="Arial" w:hAnsi="Arial"/>
        </w:rPr>
        <w:t>Le montant de la PPV est de</w:t>
      </w:r>
      <w:r>
        <w:rPr>
          <w:rFonts w:ascii="Arial" w:cs="Arial" w:hAnsi="Arial"/>
        </w:rPr>
        <w:t xml:space="preserve"> 1</w:t>
      </w:r>
      <w:r w:rsidR="00FF592E">
        <w:rPr>
          <w:rFonts w:ascii="Arial" w:cs="Arial" w:hAnsi="Arial"/>
        </w:rPr>
        <w:t xml:space="preserve"> </w:t>
      </w:r>
      <w:r>
        <w:rPr>
          <w:rFonts w:ascii="Arial" w:cs="Arial" w:hAnsi="Arial"/>
        </w:rPr>
        <w:t>000 euros (Mille euros)</w:t>
      </w:r>
      <w:r w:rsidRPr="00BF6952">
        <w:rPr>
          <w:rFonts w:ascii="Arial" w:cs="Arial" w:hAnsi="Arial"/>
        </w:rPr>
        <w:t xml:space="preserve">. Ce montant est identique pour tous les salariés visés à l’article 1. </w:t>
      </w:r>
    </w:p>
    <w:p w14:paraId="2DF9A749" w14:textId="77777777" w:rsidP="006B76D9" w:rsidR="006B76D9" w:rsidRDefault="006B76D9" w:rsidRPr="006B76D9">
      <w:pPr>
        <w:pStyle w:val="Paragraphedeliste"/>
        <w:rPr>
          <w:rFonts w:ascii="Arial" w:cs="Arial" w:hAnsi="Arial"/>
        </w:rPr>
      </w:pPr>
    </w:p>
    <w:p w14:paraId="14C3FE25" w14:textId="3DF99673" w:rsidP="00300EEE" w:rsidR="00300EEE" w:rsidRDefault="00300EEE" w:rsidRPr="00BF6952">
      <w:pPr>
        <w:rPr>
          <w:rFonts w:ascii="Arial" w:cs="Arial" w:hAnsi="Arial"/>
        </w:rPr>
      </w:pPr>
    </w:p>
    <w:p w14:paraId="2C0F025D" w14:textId="77777777" w:rsidP="002C766A" w:rsidR="002C766A" w:rsidRDefault="002C766A">
      <w:pPr>
        <w:pStyle w:val="Titre2"/>
        <w:jc w:val="both"/>
      </w:pPr>
      <w:r>
        <w:t xml:space="preserve">Article 3 – Principe de non-substitution </w:t>
      </w:r>
    </w:p>
    <w:p w14:paraId="56DA8173" w14:textId="77777777" w:rsidP="002C766A" w:rsidR="002C766A" w:rsidRDefault="002C766A">
      <w:pPr>
        <w:jc w:val="both"/>
        <w:rPr>
          <w:rFonts w:ascii="Arial" w:cs="Arial" w:hAnsi="Arial"/>
        </w:rPr>
      </w:pPr>
    </w:p>
    <w:p w14:paraId="17A5068D" w14:textId="77777777" w:rsidP="002C766A" w:rsidR="002C766A" w:rsidRDefault="002C766A">
      <w:pPr>
        <w:ind w:firstLine="720"/>
        <w:jc w:val="both"/>
        <w:rPr>
          <w:rFonts w:ascii="Arial" w:cs="Arial" w:hAnsi="Arial"/>
        </w:rPr>
      </w:pPr>
      <w:r w:rsidRPr="006B2C1E">
        <w:rPr>
          <w:rFonts w:ascii="Arial" w:cs="Arial" w:hAnsi="Arial"/>
        </w:rPr>
        <w:t>La présente prime ne se substitue à aucun des éléments de rémunération, au sens de l’article L. 242-1 du code de la sécurité sociale, versés par l’employeur ou qui deviennent obligatoires en vertu de règles légales, contractuelles ou d’usage. Elle ne peut non plus se substituer à des augmentations de rémunération ni à des primes prévues par un accord salarial, le contrat de travail ou les usages en vigueur dans l’entreprise. Les sommes versées au titre d’un régime d’épargne salariale ne sont pas visées par ces dispositions</w:t>
      </w:r>
      <w:r>
        <w:rPr>
          <w:rFonts w:ascii="Arial" w:cs="Arial" w:hAnsi="Arial"/>
        </w:rPr>
        <w:t>.</w:t>
      </w:r>
    </w:p>
    <w:p w14:paraId="30F906AC" w14:textId="77777777" w:rsidP="002C766A" w:rsidR="002C766A" w:rsidRDefault="002C766A">
      <w:pPr>
        <w:jc w:val="both"/>
        <w:rPr>
          <w:rFonts w:ascii="Arial" w:cs="Arial" w:hAnsi="Arial"/>
        </w:rPr>
      </w:pPr>
    </w:p>
    <w:p w14:paraId="5C81B7D8" w14:textId="77777777" w:rsidP="002C766A" w:rsidR="002C766A" w:rsidRDefault="002C766A">
      <w:pPr>
        <w:jc w:val="both"/>
        <w:rPr>
          <w:rFonts w:ascii="Arial" w:cs="Arial" w:hAnsi="Arial"/>
        </w:rPr>
      </w:pPr>
    </w:p>
    <w:p w14:paraId="7776BE9E" w14:textId="77777777" w:rsidP="002C766A" w:rsidR="002C766A" w:rsidRDefault="002C766A">
      <w:pPr>
        <w:pStyle w:val="Titre2"/>
        <w:jc w:val="both"/>
      </w:pPr>
      <w:r>
        <w:t>Article 4 – Date de versement de la prime</w:t>
      </w:r>
    </w:p>
    <w:p w14:paraId="217BBBD8" w14:textId="77777777" w:rsidP="002C766A" w:rsidR="002C766A" w:rsidRDefault="002C766A">
      <w:pPr>
        <w:jc w:val="both"/>
        <w:rPr>
          <w:rFonts w:ascii="Arial" w:cs="Arial" w:hAnsi="Arial"/>
        </w:rPr>
      </w:pPr>
    </w:p>
    <w:p w14:paraId="22E21E78" w14:textId="03F94D00" w:rsidP="002C766A" w:rsidR="002C766A" w:rsidRDefault="002C766A">
      <w:pPr>
        <w:jc w:val="both"/>
        <w:rPr>
          <w:rFonts w:ascii="Arial" w:cs="Arial" w:hAnsi="Arial"/>
        </w:rPr>
      </w:pPr>
      <w:r>
        <w:rPr>
          <w:rFonts w:ascii="Arial" w:cs="Arial" w:hAnsi="Arial"/>
        </w:rPr>
        <w:tab/>
        <w:t xml:space="preserve">La prime de </w:t>
      </w:r>
      <w:r w:rsidR="00246539">
        <w:rPr>
          <w:rFonts w:ascii="Arial" w:cs="Arial" w:hAnsi="Arial"/>
        </w:rPr>
        <w:t xml:space="preserve">partage de la valeur </w:t>
      </w:r>
      <w:r>
        <w:rPr>
          <w:rFonts w:ascii="Arial" w:cs="Arial" w:hAnsi="Arial"/>
        </w:rPr>
        <w:t>sera versée le</w:t>
      </w:r>
      <w:r w:rsidR="005B24B7">
        <w:rPr>
          <w:rFonts w:ascii="Arial" w:cs="Arial" w:hAnsi="Arial"/>
        </w:rPr>
        <w:t xml:space="preserve"> 3</w:t>
      </w:r>
      <w:r w:rsidR="00FD58B5">
        <w:rPr>
          <w:rFonts w:ascii="Arial" w:cs="Arial" w:hAnsi="Arial"/>
        </w:rPr>
        <w:t>1</w:t>
      </w:r>
      <w:r w:rsidR="005B24B7">
        <w:rPr>
          <w:rFonts w:ascii="Arial" w:cs="Arial" w:hAnsi="Arial"/>
        </w:rPr>
        <w:t xml:space="preserve"> </w:t>
      </w:r>
      <w:r w:rsidR="00FD58B5">
        <w:rPr>
          <w:rFonts w:ascii="Arial" w:cs="Arial" w:hAnsi="Arial"/>
        </w:rPr>
        <w:t>décembre</w:t>
      </w:r>
      <w:r w:rsidR="005B24B7">
        <w:rPr>
          <w:rFonts w:ascii="Arial" w:cs="Arial" w:hAnsi="Arial"/>
        </w:rPr>
        <w:t xml:space="preserve"> 2022</w:t>
      </w:r>
      <w:r>
        <w:rPr>
          <w:rFonts w:ascii="Arial" w:cs="Arial" w:hAnsi="Arial"/>
        </w:rPr>
        <w:t>.</w:t>
      </w:r>
    </w:p>
    <w:p w14:paraId="57B7A2A1" w14:textId="77777777" w:rsidP="002C766A" w:rsidR="002C766A" w:rsidRDefault="002C766A">
      <w:pPr>
        <w:jc w:val="both"/>
        <w:rPr>
          <w:rFonts w:ascii="Arial" w:cs="Arial" w:hAnsi="Arial"/>
        </w:rPr>
      </w:pPr>
    </w:p>
    <w:p w14:paraId="3AE6EDCE" w14:textId="589CCB85" w:rsidP="002C766A" w:rsidR="002C766A" w:rsidRDefault="002C766A">
      <w:pPr>
        <w:jc w:val="both"/>
        <w:rPr>
          <w:rFonts w:ascii="Arial" w:cs="Arial" w:hAnsi="Arial"/>
        </w:rPr>
      </w:pPr>
      <w:r>
        <w:rPr>
          <w:rFonts w:ascii="Arial" w:cs="Arial" w:hAnsi="Arial"/>
        </w:rPr>
        <w:tab/>
        <w:t>Elle figurera sur le bulletin de paie du mois de</w:t>
      </w:r>
      <w:r w:rsidR="005B24B7">
        <w:rPr>
          <w:rFonts w:ascii="Arial" w:cs="Arial" w:hAnsi="Arial"/>
        </w:rPr>
        <w:t xml:space="preserve"> </w:t>
      </w:r>
      <w:r w:rsidR="00FD58B5">
        <w:rPr>
          <w:rFonts w:ascii="Arial" w:cs="Arial" w:hAnsi="Arial"/>
        </w:rPr>
        <w:t>décem</w:t>
      </w:r>
      <w:r w:rsidR="005B24B7">
        <w:rPr>
          <w:rFonts w:ascii="Arial" w:cs="Arial" w:hAnsi="Arial"/>
        </w:rPr>
        <w:t>bre</w:t>
      </w:r>
      <w:r>
        <w:rPr>
          <w:rFonts w:ascii="Arial" w:cs="Arial" w:hAnsi="Arial"/>
        </w:rPr>
        <w:t>.</w:t>
      </w:r>
    </w:p>
    <w:p w14:paraId="483DC037" w14:textId="77777777" w:rsidP="002C766A" w:rsidR="002C766A" w:rsidRDefault="002C766A">
      <w:pPr>
        <w:jc w:val="both"/>
        <w:rPr>
          <w:rFonts w:ascii="Arial" w:cs="Arial" w:hAnsi="Arial"/>
        </w:rPr>
      </w:pPr>
    </w:p>
    <w:p w14:paraId="0403E9A8" w14:textId="77777777" w:rsidP="002C766A" w:rsidR="002C766A" w:rsidRDefault="002C766A">
      <w:pPr>
        <w:jc w:val="both"/>
        <w:rPr>
          <w:rFonts w:ascii="Arial" w:cs="Arial" w:hAnsi="Arial"/>
        </w:rPr>
      </w:pPr>
    </w:p>
    <w:p w14:paraId="2527862F" w14:textId="77777777" w:rsidP="002C766A" w:rsidR="002C766A" w:rsidRDefault="002C766A">
      <w:pPr>
        <w:pStyle w:val="Titre2"/>
        <w:jc w:val="both"/>
      </w:pPr>
      <w:r>
        <w:t>Article 5 – Régime social et fiscal</w:t>
      </w:r>
    </w:p>
    <w:p w14:paraId="78537CBB" w14:textId="77777777" w:rsidP="002C766A" w:rsidR="002C766A" w:rsidRDefault="002C766A">
      <w:pPr>
        <w:jc w:val="both"/>
        <w:rPr>
          <w:rFonts w:ascii="Arial" w:cs="Arial" w:hAnsi="Arial"/>
        </w:rPr>
      </w:pPr>
    </w:p>
    <w:p w14:paraId="35E512F6" w14:textId="77777777" w:rsidP="002C766A" w:rsidR="002C766A" w:rsidRDefault="002C766A">
      <w:pPr>
        <w:jc w:val="both"/>
        <w:rPr>
          <w:rFonts w:ascii="Arial" w:cs="Arial" w:hAnsi="Arial"/>
        </w:rPr>
      </w:pPr>
      <w:r>
        <w:rPr>
          <w:rFonts w:ascii="Arial" w:cs="Arial" w:hAnsi="Arial"/>
        </w:rPr>
        <w:tab/>
      </w:r>
      <w:r w:rsidRPr="003A78F4">
        <w:rPr>
          <w:rFonts w:ascii="Arial" w:cs="Arial" w:hAnsi="Arial"/>
        </w:rPr>
        <w:t>La PPV est exonérée, dans la limite de 3 000 € par bénéficiaire et par année civile, de toutes les cotisations sociales d'origine légale ou conventionnelle à la charge du salarié et de l'employeur ainsi que des participations, taxes et contributions prévues à l'article 235 bis du Code général des impôts et à l'article L. 6131-1 du Code du travail, dans leur rédaction en vigueur à la date de son versement.  Cette limite est portée à 6 000 € par bénéficiaire et par année civile pour les employeurs mettant en œuvre un accord d’intéressement pour les entreprises soumises à l’obligation de mettre en place un accord de participation ; un accord d’intéressement ou de participation volontaire pour les entreprises non soumises à l’obligation de mettre en place un accord de participation, à la date de versement de la PPV, ou ayant conclu, au titre du même exercice que celui du versement de cette prime.</w:t>
      </w:r>
    </w:p>
    <w:p w14:paraId="3015391E" w14:textId="77777777" w:rsidP="002C766A" w:rsidR="002C766A" w:rsidRDefault="002C766A" w:rsidRPr="003A78F4">
      <w:pPr>
        <w:jc w:val="both"/>
        <w:rPr>
          <w:rFonts w:ascii="Arial" w:cs="Arial" w:hAnsi="Arial"/>
        </w:rPr>
      </w:pPr>
    </w:p>
    <w:p w14:paraId="393CEDE5" w14:textId="77777777" w:rsidP="002C766A" w:rsidR="002C766A" w:rsidRDefault="002C766A" w:rsidRPr="003A78F4">
      <w:pPr>
        <w:jc w:val="both"/>
        <w:rPr>
          <w:rFonts w:ascii="Arial" w:cs="Arial" w:hAnsi="Arial"/>
        </w:rPr>
      </w:pPr>
      <w:r w:rsidRPr="003A78F4">
        <w:rPr>
          <w:rFonts w:ascii="Arial" w:cs="Arial" w:hAnsi="Arial"/>
        </w:rPr>
        <w:t>Lorsque, entre le 1er juillet 2022 et le 31 décembre 2023, la PPV est versée aux salariés ayant perçu, au cours des douze mois précédant son versement, une rémunération inférieure à trois fois la valeur annuelle du SMIC correspondant à la durée de travail prévue au contrat de travail, elle est exonérée d'impôt sur le revenu ainsi que la CSG et de la CRDS.</w:t>
      </w:r>
    </w:p>
    <w:p w14:paraId="50586FC2" w14:textId="77777777" w:rsidP="002C766A" w:rsidR="00246539" w:rsidRDefault="00246539">
      <w:pPr>
        <w:jc w:val="both"/>
        <w:rPr>
          <w:rFonts w:ascii="Arial" w:cs="Arial" w:hAnsi="Arial"/>
        </w:rPr>
      </w:pPr>
    </w:p>
    <w:p w14:paraId="717F344B" w14:textId="6E6FC153" w:rsidP="002C766A" w:rsidR="002C766A" w:rsidRDefault="002C766A">
      <w:pPr>
        <w:jc w:val="both"/>
        <w:rPr>
          <w:rFonts w:ascii="Arial" w:cs="Arial" w:hAnsi="Arial"/>
        </w:rPr>
      </w:pPr>
      <w:r w:rsidRPr="003A78F4">
        <w:rPr>
          <w:rFonts w:ascii="Arial" w:cs="Arial" w:hAnsi="Arial"/>
        </w:rPr>
        <w:t xml:space="preserve">La prime versée en 2022 et 2023 aux salariés rémunérés moins de 3 SMIC au cours des 12 mois précédant le versement est inclus dans le montant du revenu fiscal de référence défini au 1° du IV de l'article 1417 du Code général des impôts. </w:t>
      </w:r>
    </w:p>
    <w:p w14:paraId="380613BD" w14:textId="77777777" w:rsidP="002C766A" w:rsidR="002C766A" w:rsidRDefault="002C766A" w:rsidRPr="003A78F4">
      <w:pPr>
        <w:jc w:val="both"/>
        <w:rPr>
          <w:rFonts w:ascii="Arial" w:cs="Arial" w:hAnsi="Arial"/>
        </w:rPr>
      </w:pPr>
    </w:p>
    <w:p w14:paraId="5C30021D" w14:textId="77777777" w:rsidP="002C766A" w:rsidR="002C766A" w:rsidRDefault="002C766A">
      <w:pPr>
        <w:jc w:val="both"/>
        <w:rPr>
          <w:rFonts w:ascii="Arial" w:cs="Arial" w:hAnsi="Arial"/>
        </w:rPr>
      </w:pPr>
      <w:r w:rsidRPr="003A78F4">
        <w:rPr>
          <w:rFonts w:ascii="Arial" w:cs="Arial" w:hAnsi="Arial"/>
        </w:rPr>
        <w:t>En cas de cumul de la PPV avec la prime exceptionnelle de pouvoir d’achat (PEPA), le montant total exonéré d'impôt sur le revenu au titre des revenus de l'année 2022 ne peut excéder 6 000 €.</w:t>
      </w:r>
    </w:p>
    <w:p w14:paraId="38CE052D" w14:textId="6BC440D0" w:rsidP="002C766A" w:rsidR="002C766A" w:rsidRDefault="002C766A">
      <w:pPr>
        <w:jc w:val="both"/>
        <w:rPr>
          <w:rFonts w:ascii="Arial" w:cs="Arial" w:hAnsi="Arial"/>
        </w:rPr>
      </w:pPr>
    </w:p>
    <w:p w14:paraId="62F75582" w14:textId="53E8BB99" w:rsidR="008F7C8F" w:rsidRDefault="008F7C8F">
      <w:pPr>
        <w:spacing w:after="160" w:line="259" w:lineRule="auto"/>
        <w:rPr>
          <w:rFonts w:ascii="Arial" w:cs="Arial" w:hAnsi="Arial"/>
        </w:rPr>
      </w:pPr>
      <w:r>
        <w:rPr>
          <w:rFonts w:ascii="Arial" w:cs="Arial" w:hAnsi="Arial"/>
        </w:rPr>
        <w:br w:type="page"/>
      </w:r>
    </w:p>
    <w:p w14:paraId="2271CB67" w14:textId="77777777" w:rsidP="002C766A" w:rsidR="00246539" w:rsidRDefault="00246539">
      <w:pPr>
        <w:jc w:val="both"/>
        <w:rPr>
          <w:rFonts w:ascii="Arial" w:cs="Arial" w:hAnsi="Arial"/>
        </w:rPr>
      </w:pPr>
    </w:p>
    <w:p w14:paraId="52A965BD" w14:textId="77777777" w:rsidP="002C766A" w:rsidR="002C766A" w:rsidRDefault="002C766A">
      <w:pPr>
        <w:pStyle w:val="Titre2"/>
        <w:jc w:val="both"/>
      </w:pPr>
      <w:r>
        <w:t>Article 6 - Durée et entrée en vigueur de l’accord</w:t>
      </w:r>
    </w:p>
    <w:p w14:paraId="47B0EE0F" w14:textId="77777777" w:rsidP="002C766A" w:rsidR="002C766A" w:rsidRDefault="002C766A">
      <w:pPr>
        <w:jc w:val="both"/>
        <w:rPr>
          <w:rFonts w:ascii="Arial" w:cs="Arial" w:hAnsi="Arial"/>
        </w:rPr>
      </w:pPr>
    </w:p>
    <w:p w14:paraId="69A98C97" w14:textId="1A9A30D8" w:rsidP="002C766A" w:rsidR="002C766A" w:rsidRDefault="002C766A">
      <w:pPr>
        <w:jc w:val="both"/>
        <w:rPr>
          <w:rFonts w:ascii="Arial" w:cs="Arial" w:hAnsi="Arial"/>
        </w:rPr>
      </w:pPr>
      <w:r>
        <w:rPr>
          <w:rFonts w:ascii="Arial" w:cs="Arial" w:hAnsi="Arial"/>
        </w:rPr>
        <w:tab/>
        <w:t xml:space="preserve">Le présent accord est conclu pour une durée </w:t>
      </w:r>
      <w:r w:rsidRPr="00246539">
        <w:rPr>
          <w:rFonts w:ascii="Arial" w:cs="Arial" w:hAnsi="Arial"/>
        </w:rPr>
        <w:t>déterminée</w:t>
      </w:r>
      <w:r>
        <w:rPr>
          <w:rFonts w:ascii="Arial" w:cs="Arial" w:hAnsi="Arial"/>
        </w:rPr>
        <w:t xml:space="preserve">. Il entre en vigueur le </w:t>
      </w:r>
      <w:r w:rsidR="00DD283E">
        <w:rPr>
          <w:rFonts w:ascii="Arial" w:cs="Arial" w:hAnsi="Arial"/>
        </w:rPr>
        <w:t>1</w:t>
      </w:r>
      <w:r w:rsidR="00FF592E">
        <w:rPr>
          <w:rFonts w:ascii="Arial" w:cs="Arial" w:hAnsi="Arial"/>
        </w:rPr>
        <w:t>6</w:t>
      </w:r>
      <w:r w:rsidR="00DD283E">
        <w:rPr>
          <w:rFonts w:ascii="Arial" w:cs="Arial" w:hAnsi="Arial"/>
        </w:rPr>
        <w:t>/1</w:t>
      </w:r>
      <w:r w:rsidR="00FF592E">
        <w:rPr>
          <w:rFonts w:ascii="Arial" w:cs="Arial" w:hAnsi="Arial"/>
        </w:rPr>
        <w:t>2</w:t>
      </w:r>
      <w:r w:rsidR="00DD283E">
        <w:rPr>
          <w:rFonts w:ascii="Arial" w:cs="Arial" w:hAnsi="Arial"/>
        </w:rPr>
        <w:t>/2022</w:t>
      </w:r>
      <w:r>
        <w:rPr>
          <w:rFonts w:ascii="Arial" w:cs="Arial" w:hAnsi="Arial"/>
        </w:rPr>
        <w:t xml:space="preserve"> et cesse de produire ses effets à l’échéance de son terme, soit le </w:t>
      </w:r>
      <w:r w:rsidR="00DD283E">
        <w:rPr>
          <w:rFonts w:ascii="Arial" w:cs="Arial" w:hAnsi="Arial"/>
        </w:rPr>
        <w:t>31/12/2022.</w:t>
      </w:r>
    </w:p>
    <w:p w14:paraId="28836036" w14:textId="77777777" w:rsidP="002C766A" w:rsidR="002C766A" w:rsidRDefault="002C766A">
      <w:pPr>
        <w:jc w:val="both"/>
        <w:rPr>
          <w:rFonts w:ascii="Arial" w:cs="Arial" w:hAnsi="Arial"/>
        </w:rPr>
      </w:pPr>
    </w:p>
    <w:p w14:paraId="530ECBE9" w14:textId="77777777" w:rsidP="002C766A" w:rsidR="002C766A" w:rsidRDefault="002C766A">
      <w:pPr>
        <w:jc w:val="both"/>
        <w:rPr>
          <w:rFonts w:ascii="Arial" w:cs="Arial" w:hAnsi="Arial"/>
        </w:rPr>
      </w:pPr>
    </w:p>
    <w:p w14:paraId="79B190BE" w14:textId="77777777" w:rsidP="002C766A" w:rsidR="002C766A" w:rsidRDefault="002C766A">
      <w:pPr>
        <w:pStyle w:val="Titre2"/>
        <w:jc w:val="both"/>
      </w:pPr>
      <w:r>
        <w:t>Article 7 - Révision</w:t>
      </w:r>
    </w:p>
    <w:p w14:paraId="2C0AC6D4" w14:textId="77777777" w:rsidP="002C766A" w:rsidR="002C766A" w:rsidRDefault="002C766A">
      <w:pPr>
        <w:jc w:val="both"/>
        <w:rPr>
          <w:rFonts w:ascii="Arial" w:cs="Arial" w:hAnsi="Arial"/>
        </w:rPr>
      </w:pPr>
    </w:p>
    <w:p w14:paraId="347A8BF5" w14:textId="77777777" w:rsidP="002C766A" w:rsidR="002C766A" w:rsidRDefault="002C766A">
      <w:pPr>
        <w:jc w:val="both"/>
        <w:rPr>
          <w:rFonts w:ascii="Arial" w:cs="Arial" w:hAnsi="Arial"/>
        </w:rPr>
      </w:pPr>
      <w:r>
        <w:rPr>
          <w:rFonts w:ascii="Arial" w:cs="Arial" w:hAnsi="Arial"/>
        </w:rPr>
        <w:tab/>
      </w:r>
      <w:r w:rsidRPr="003A78F4">
        <w:rPr>
          <w:rFonts w:ascii="Arial" w:cs="Arial" w:hAnsi="Arial"/>
        </w:rPr>
        <w:t>Le présent accord peut être révisé dans les conditions prévues par les textes légaux et réglementaires.</w:t>
      </w:r>
    </w:p>
    <w:p w14:paraId="5C5800C8" w14:textId="4598566F" w:rsidP="002C766A" w:rsidR="002C766A" w:rsidRDefault="002C766A">
      <w:pPr>
        <w:jc w:val="both"/>
        <w:rPr>
          <w:rFonts w:ascii="Arial" w:cs="Arial" w:hAnsi="Arial"/>
        </w:rPr>
      </w:pPr>
    </w:p>
    <w:p w14:paraId="0038C3FC" w14:textId="77777777" w:rsidP="002C766A" w:rsidR="00246539" w:rsidRDefault="00246539">
      <w:pPr>
        <w:jc w:val="both"/>
        <w:rPr>
          <w:rFonts w:ascii="Arial" w:cs="Arial" w:hAnsi="Arial"/>
        </w:rPr>
      </w:pPr>
    </w:p>
    <w:p w14:paraId="3722DD23" w14:textId="77777777" w:rsidP="002C766A" w:rsidR="002C766A" w:rsidRDefault="002C766A">
      <w:pPr>
        <w:pStyle w:val="Titre2"/>
        <w:jc w:val="both"/>
      </w:pPr>
      <w:r>
        <w:t>Article 8 - Dénonciation</w:t>
      </w:r>
    </w:p>
    <w:p w14:paraId="4F8A5172" w14:textId="77777777" w:rsidP="002C766A" w:rsidR="002C766A" w:rsidRDefault="002C766A" w:rsidRPr="004075AA"/>
    <w:p w14:paraId="08635211" w14:textId="77777777" w:rsidP="002C766A" w:rsidR="002C766A" w:rsidRDefault="002C766A">
      <w:pPr>
        <w:ind w:firstLine="720"/>
        <w:jc w:val="both"/>
        <w:rPr>
          <w:rFonts w:ascii="Arial" w:cs="Arial" w:hAnsi="Arial"/>
        </w:rPr>
      </w:pPr>
      <w:r w:rsidRPr="004075AA">
        <w:rPr>
          <w:rFonts w:ascii="Arial" w:cs="Arial" w:hAnsi="Arial"/>
        </w:rPr>
        <w:t>Le présent accord peut être dénoncé dans les conditions prévues par les textes légaux et réglementaires.</w:t>
      </w:r>
    </w:p>
    <w:p w14:paraId="65500CDF" w14:textId="09C4EA28" w:rsidP="002C766A" w:rsidR="002C766A" w:rsidRDefault="002C766A">
      <w:pPr>
        <w:jc w:val="both"/>
        <w:rPr>
          <w:rFonts w:ascii="Arial" w:cs="Arial" w:hAnsi="Arial"/>
        </w:rPr>
      </w:pPr>
    </w:p>
    <w:p w14:paraId="6257A6AB" w14:textId="77777777" w:rsidP="002C766A" w:rsidR="00DD283E" w:rsidRDefault="00DD283E">
      <w:pPr>
        <w:jc w:val="both"/>
        <w:rPr>
          <w:rFonts w:ascii="Arial" w:cs="Arial" w:hAnsi="Arial"/>
        </w:rPr>
      </w:pPr>
    </w:p>
    <w:p w14:paraId="4B0AB7C7" w14:textId="77777777" w:rsidP="002C766A" w:rsidR="002C766A" w:rsidRDefault="002C766A">
      <w:pPr>
        <w:pStyle w:val="Titre2"/>
        <w:jc w:val="both"/>
      </w:pPr>
      <w:r>
        <w:t>Article 9 – Formalités de notification, publicité et de dépôt</w:t>
      </w:r>
    </w:p>
    <w:p w14:paraId="7539354A" w14:textId="77777777" w:rsidP="002C766A" w:rsidR="002C766A" w:rsidRDefault="002C766A">
      <w:pPr>
        <w:jc w:val="both"/>
        <w:rPr>
          <w:rFonts w:ascii="Arial" w:cs="Arial" w:hAnsi="Arial"/>
        </w:rPr>
      </w:pPr>
    </w:p>
    <w:p w14:paraId="2EBE5C95" w14:textId="77777777" w:rsidP="002C766A" w:rsidR="002C766A" w:rsidRDefault="002C766A">
      <w:pPr>
        <w:ind w:firstLine="720"/>
        <w:jc w:val="both"/>
        <w:rPr>
          <w:rFonts w:ascii="Arial" w:cs="Arial" w:hAnsi="Arial"/>
        </w:rPr>
      </w:pPr>
      <w:r w:rsidRPr="004075AA">
        <w:rPr>
          <w:rFonts w:ascii="Arial" w:cs="Arial" w:hAnsi="Arial"/>
        </w:rPr>
        <w:t>Conformément à l’article L. 2231-5 du Code du travail, le présent accord est notifié à chacune des organisations représentatives.</w:t>
      </w:r>
    </w:p>
    <w:p w14:paraId="57F28DFA" w14:textId="77777777" w:rsidP="002C766A" w:rsidR="002C766A" w:rsidRDefault="002C766A" w:rsidRPr="004075AA">
      <w:pPr>
        <w:ind w:firstLine="720"/>
        <w:jc w:val="both"/>
        <w:rPr>
          <w:rFonts w:ascii="Arial" w:cs="Arial" w:hAnsi="Arial"/>
        </w:rPr>
      </w:pPr>
    </w:p>
    <w:p w14:paraId="0F3DA576" w14:textId="4FEF2502" w:rsidP="002C766A" w:rsidR="002C766A" w:rsidRDefault="002C766A">
      <w:pPr>
        <w:ind w:firstLine="720"/>
        <w:jc w:val="both"/>
        <w:rPr>
          <w:rFonts w:ascii="Arial" w:cs="Arial" w:hAnsi="Arial"/>
        </w:rPr>
      </w:pPr>
      <w:r w:rsidRPr="004075AA">
        <w:rPr>
          <w:rFonts w:ascii="Arial" w:cs="Arial" w:hAnsi="Arial"/>
        </w:rPr>
        <w:t>Conformément aux articles L. 2231-5-1, L. 2231-6, D. 2231-2, D. 2231-4 du Code du travail, le présent accord est déposé sur la plateforme de téléprocédure du ministère du travail</w:t>
      </w:r>
      <w:r w:rsidR="00246539">
        <w:rPr>
          <w:rFonts w:ascii="Arial" w:cs="Arial" w:hAnsi="Arial"/>
        </w:rPr>
        <w:t>.</w:t>
      </w:r>
    </w:p>
    <w:p w14:paraId="4B015A16" w14:textId="38CB386A" w:rsidP="002C766A" w:rsidR="002C766A" w:rsidRDefault="002C766A">
      <w:pPr>
        <w:jc w:val="both"/>
        <w:rPr>
          <w:rFonts w:ascii="Arial" w:cs="Arial" w:hAnsi="Arial"/>
        </w:rPr>
      </w:pPr>
    </w:p>
    <w:p w14:paraId="673FFDB7" w14:textId="4BF183AA" w:rsidP="002C766A" w:rsidR="00A9521F" w:rsidRDefault="00A9521F">
      <w:pPr>
        <w:jc w:val="both"/>
        <w:rPr>
          <w:rFonts w:ascii="Arial" w:cs="Arial" w:hAnsi="Arial"/>
        </w:rPr>
      </w:pPr>
    </w:p>
    <w:p w14:paraId="0B54FB62" w14:textId="77777777" w:rsidP="002C766A" w:rsidR="0092511C" w:rsidRDefault="0092511C">
      <w:pPr>
        <w:jc w:val="both"/>
        <w:rPr>
          <w:rFonts w:ascii="Arial" w:cs="Arial" w:hAnsi="Arial"/>
        </w:rPr>
      </w:pPr>
    </w:p>
    <w:p w14:paraId="679E232F" w14:textId="77777777" w:rsidP="002C766A" w:rsidR="00246539" w:rsidRDefault="00246539">
      <w:pPr>
        <w:jc w:val="both"/>
        <w:rPr>
          <w:rFonts w:ascii="Arial" w:cs="Arial" w:hAnsi="Arial"/>
        </w:rPr>
      </w:pPr>
    </w:p>
    <w:p w14:paraId="0DE9DD01" w14:textId="507A4A67" w:rsidP="002C766A" w:rsidR="002C766A" w:rsidRDefault="002C766A">
      <w:pPr>
        <w:jc w:val="both"/>
        <w:rPr>
          <w:rFonts w:ascii="Arial" w:cs="Arial" w:hAnsi="Arial"/>
        </w:rPr>
      </w:pPr>
      <w:r>
        <w:rPr>
          <w:rFonts w:ascii="Arial" w:cs="Arial" w:hAnsi="Arial"/>
        </w:rPr>
        <w:t>Fait à</w:t>
      </w:r>
      <w:r w:rsidR="00864AD8">
        <w:rPr>
          <w:rFonts w:ascii="Arial" w:cs="Arial" w:hAnsi="Arial"/>
        </w:rPr>
        <w:t xml:space="preserve"> </w:t>
      </w:r>
      <w:r w:rsidR="0047131D">
        <w:rPr>
          <w:rFonts w:ascii="Arial" w:cs="Arial" w:hAnsi="Arial"/>
        </w:rPr>
        <w:t>Sain Bel</w:t>
      </w:r>
      <w:r>
        <w:rPr>
          <w:rFonts w:ascii="Arial" w:cs="Arial" w:hAnsi="Arial"/>
        </w:rPr>
        <w:t xml:space="preserve">, </w:t>
      </w:r>
    </w:p>
    <w:p w14:paraId="5FD02F20" w14:textId="50EB68FD" w:rsidP="002C766A" w:rsidR="002C766A" w:rsidRDefault="002C766A">
      <w:pPr>
        <w:jc w:val="both"/>
        <w:rPr>
          <w:rFonts w:ascii="Arial" w:cs="Arial" w:hAnsi="Arial"/>
        </w:rPr>
      </w:pPr>
      <w:r>
        <w:rPr>
          <w:rFonts w:ascii="Arial" w:cs="Arial" w:hAnsi="Arial"/>
        </w:rPr>
        <w:t xml:space="preserve">Le </w:t>
      </w:r>
      <w:r w:rsidR="00DD283E">
        <w:rPr>
          <w:rFonts w:ascii="Arial" w:cs="Arial" w:hAnsi="Arial"/>
        </w:rPr>
        <w:t>1</w:t>
      </w:r>
      <w:r w:rsidR="0047131D">
        <w:rPr>
          <w:rFonts w:ascii="Arial" w:cs="Arial" w:hAnsi="Arial"/>
        </w:rPr>
        <w:t>6</w:t>
      </w:r>
      <w:r>
        <w:rPr>
          <w:rFonts w:ascii="Arial" w:cs="Arial" w:hAnsi="Arial"/>
        </w:rPr>
        <w:t xml:space="preserve"> </w:t>
      </w:r>
      <w:r w:rsidR="0047131D">
        <w:rPr>
          <w:rFonts w:ascii="Arial" w:cs="Arial" w:hAnsi="Arial"/>
        </w:rPr>
        <w:t>décem</w:t>
      </w:r>
      <w:r>
        <w:rPr>
          <w:rFonts w:ascii="Arial" w:cs="Arial" w:hAnsi="Arial"/>
        </w:rPr>
        <w:t>bre 2022.</w:t>
      </w:r>
    </w:p>
    <w:p w14:paraId="50ACCE91" w14:textId="77777777" w:rsidP="002C766A" w:rsidR="002C766A" w:rsidRDefault="002C766A">
      <w:pPr>
        <w:jc w:val="both"/>
        <w:rPr>
          <w:rFonts w:ascii="Arial" w:cs="Arial" w:hAnsi="Arial"/>
        </w:rPr>
      </w:pPr>
    </w:p>
    <w:p w14:paraId="107D78C1" w14:textId="77777777" w:rsidP="002C766A" w:rsidR="002C766A" w:rsidRDefault="002C766A">
      <w:pPr>
        <w:jc w:val="both"/>
        <w:rPr>
          <w:rFonts w:ascii="Arial" w:cs="Arial" w:hAnsi="Arial"/>
        </w:rPr>
      </w:pPr>
    </w:p>
    <w:p w14:paraId="388E430E" w14:textId="5627F338" w:rsidP="002C766A" w:rsidR="002C766A" w:rsidRDefault="002C766A">
      <w:pPr>
        <w:tabs>
          <w:tab w:pos="4730" w:val="left"/>
        </w:tabs>
        <w:jc w:val="both"/>
        <w:rPr>
          <w:rFonts w:ascii="Arial" w:cs="Arial" w:hAnsi="Arial"/>
          <w:b/>
        </w:rPr>
      </w:pPr>
      <w:r>
        <w:rPr>
          <w:rFonts w:ascii="Arial" w:cs="Arial" w:hAnsi="Arial"/>
          <w:b/>
        </w:rPr>
        <w:t xml:space="preserve">Pour la Société </w:t>
      </w:r>
      <w:r w:rsidR="0047131D">
        <w:rPr>
          <w:rFonts w:ascii="Arial" w:cs="Arial" w:hAnsi="Arial"/>
          <w:b/>
        </w:rPr>
        <w:t>Comela</w:t>
      </w:r>
      <w:r>
        <w:rPr>
          <w:rFonts w:ascii="Arial" w:cs="Arial" w:hAnsi="Arial"/>
          <w:b/>
        </w:rPr>
        <w:t xml:space="preserve">, </w:t>
      </w:r>
      <w:r>
        <w:rPr>
          <w:rFonts w:ascii="Arial" w:cs="Arial" w:hAnsi="Arial"/>
          <w:b/>
        </w:rPr>
        <w:tab/>
      </w:r>
      <w:r w:rsidR="00372D66">
        <w:rPr>
          <w:rFonts w:ascii="Arial" w:cs="Arial" w:hAnsi="Arial"/>
          <w:b/>
        </w:rPr>
        <w:tab/>
      </w:r>
      <w:r w:rsidR="00372D66">
        <w:rPr>
          <w:rFonts w:ascii="Arial" w:cs="Arial" w:hAnsi="Arial"/>
          <w:b/>
        </w:rPr>
        <w:tab/>
      </w:r>
      <w:r>
        <w:rPr>
          <w:rFonts w:ascii="Arial" w:cs="Arial" w:hAnsi="Arial"/>
          <w:b/>
        </w:rPr>
        <w:t>Pour</w:t>
      </w:r>
      <w:r w:rsidR="0047131D">
        <w:rPr>
          <w:rFonts w:ascii="Arial" w:cs="Arial" w:hAnsi="Arial"/>
          <w:b/>
        </w:rPr>
        <w:t xml:space="preserve"> la CFDT</w:t>
      </w:r>
      <w:r>
        <w:rPr>
          <w:rFonts w:ascii="Arial" w:cs="Arial" w:hAnsi="Arial"/>
          <w:b/>
        </w:rPr>
        <w:t>,</w:t>
      </w:r>
    </w:p>
    <w:p w14:paraId="44AF39BE" w14:textId="69B9241B" w:rsidP="002C766A" w:rsidR="002C766A" w:rsidRDefault="00382E31">
      <w:pPr>
        <w:tabs>
          <w:tab w:pos="4730" w:val="left"/>
        </w:tabs>
        <w:jc w:val="both"/>
        <w:rPr>
          <w:rFonts w:ascii="Arial" w:cs="Arial" w:hAnsi="Arial"/>
        </w:rPr>
      </w:pPr>
      <w:r>
        <w:rPr>
          <w:rFonts w:ascii="Arial" w:cs="Arial" w:hAnsi="Arial"/>
        </w:rPr>
        <w:t>xxxxxxxxx</w:t>
      </w:r>
      <w:r w:rsidR="002C766A">
        <w:rPr>
          <w:rFonts w:ascii="Arial" w:cs="Arial" w:hAnsi="Arial"/>
        </w:rPr>
        <w:tab/>
      </w:r>
      <w:r w:rsidR="00372D66">
        <w:rPr>
          <w:rFonts w:ascii="Arial" w:cs="Arial" w:hAnsi="Arial"/>
        </w:rPr>
        <w:tab/>
      </w:r>
      <w:r w:rsidR="00372D66">
        <w:rPr>
          <w:rFonts w:ascii="Arial" w:cs="Arial" w:hAnsi="Arial"/>
        </w:rPr>
        <w:tab/>
      </w:r>
      <w:r>
        <w:rPr>
          <w:rFonts w:ascii="Arial" w:cs="Arial" w:hAnsi="Arial"/>
        </w:rPr>
        <w:t>xxxxxxxxxx</w:t>
      </w:r>
      <w:bookmarkStart w:id="0" w:name="_GoBack"/>
      <w:bookmarkEnd w:id="0"/>
    </w:p>
    <w:p w14:paraId="14A34742" w14:textId="77777777" w:rsidR="00FA0D16" w:rsidRDefault="00FA0D16"/>
    <w:sectPr w:rsidR="00FA0D16">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60799" w14:textId="77777777" w:rsidR="003D035D" w:rsidRDefault="003D035D" w:rsidP="002C766A">
      <w:r>
        <w:separator/>
      </w:r>
    </w:p>
  </w:endnote>
  <w:endnote w:type="continuationSeparator" w:id="0">
    <w:p w14:paraId="26650919" w14:textId="77777777" w:rsidR="003D035D" w:rsidRDefault="003D035D" w:rsidP="002C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029633524"/>
      <w:docPartObj>
        <w:docPartGallery w:val="Page Numbers (Bottom of Page)"/>
        <w:docPartUnique/>
      </w:docPartObj>
    </w:sdtPr>
    <w:sdtEndPr/>
    <w:sdtContent>
      <w:p w14:paraId="6510D936" w14:textId="642697EF" w:rsidR="002C766A" w:rsidRDefault="002C766A">
        <w:pPr>
          <w:pStyle w:val="Pieddepage"/>
          <w:jc w:val="right"/>
        </w:pPr>
        <w:r>
          <w:fldChar w:fldCharType="begin"/>
        </w:r>
        <w:r>
          <w:instrText>PAGE   \* MERGEFORMAT</w:instrText>
        </w:r>
        <w:r>
          <w:fldChar w:fldCharType="separate"/>
        </w:r>
        <w:r w:rsidR="00382E31">
          <w:rPr>
            <w:noProof/>
          </w:rPr>
          <w:t>3</w:t>
        </w:r>
        <w:r>
          <w:fldChar w:fldCharType="end"/>
        </w:r>
      </w:p>
    </w:sdtContent>
  </w:sdt>
  <w:p w14:paraId="3BCD9A02" w14:textId="77777777" w:rsidR="002C766A" w:rsidRDefault="002C766A">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F4BF415" w14:textId="77777777" w:rsidP="002C766A" w:rsidR="003D035D" w:rsidRDefault="003D035D">
      <w:r>
        <w:separator/>
      </w:r>
    </w:p>
  </w:footnote>
  <w:footnote w:id="0" w:type="continuationSeparator">
    <w:p w14:paraId="0DB7F080" w14:textId="77777777" w:rsidP="002C766A" w:rsidR="003D035D" w:rsidRDefault="003D035D">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5097700C"/>
    <w:multiLevelType w:val="hybridMultilevel"/>
    <w:tmpl w:val="3446ADCC"/>
    <w:lvl w:ilvl="0" w:tplc="9B26AA50">
      <w:numFmt w:val="bullet"/>
      <w:lvlText w:val="-"/>
      <w:lvlJc w:val="left"/>
      <w:pPr>
        <w:ind w:hanging="360" w:left="720"/>
      </w:pPr>
      <w:rPr>
        <w:rFonts w:ascii="Arial" w:cs="Arial" w:eastAsia="Times New Roman" w:hAnsi="Arial"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5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6A"/>
    <w:rsid w:val="000B4388"/>
    <w:rsid w:val="00161DF5"/>
    <w:rsid w:val="00166500"/>
    <w:rsid w:val="001D53D3"/>
    <w:rsid w:val="001E6ED9"/>
    <w:rsid w:val="00213597"/>
    <w:rsid w:val="00215DDA"/>
    <w:rsid w:val="00246539"/>
    <w:rsid w:val="002C766A"/>
    <w:rsid w:val="00300EEE"/>
    <w:rsid w:val="00372D66"/>
    <w:rsid w:val="00382E31"/>
    <w:rsid w:val="003D035D"/>
    <w:rsid w:val="003D5614"/>
    <w:rsid w:val="00467567"/>
    <w:rsid w:val="0047131D"/>
    <w:rsid w:val="00557800"/>
    <w:rsid w:val="005B24B7"/>
    <w:rsid w:val="006B76D9"/>
    <w:rsid w:val="00864AD8"/>
    <w:rsid w:val="008B4D7F"/>
    <w:rsid w:val="008F7C8F"/>
    <w:rsid w:val="0092511C"/>
    <w:rsid w:val="0098344F"/>
    <w:rsid w:val="009911F9"/>
    <w:rsid w:val="009A078F"/>
    <w:rsid w:val="00A671B5"/>
    <w:rsid w:val="00A9521F"/>
    <w:rsid w:val="00B154FD"/>
    <w:rsid w:val="00BD69E7"/>
    <w:rsid w:val="00BF6952"/>
    <w:rsid w:val="00C163B2"/>
    <w:rsid w:val="00C32C76"/>
    <w:rsid w:val="00C7206E"/>
    <w:rsid w:val="00C865CA"/>
    <w:rsid w:val="00CC7310"/>
    <w:rsid w:val="00D027E5"/>
    <w:rsid w:val="00DD283E"/>
    <w:rsid w:val="00DE4938"/>
    <w:rsid w:val="00FA0D16"/>
    <w:rsid w:val="00FD58B5"/>
    <w:rsid w:val="00FF592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063A4BC3"/>
  <w15:chartTrackingRefBased/>
  <w15:docId w15:val="{6F195B08-6684-4803-BFF1-7E3AEC85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C766A"/>
    <w:pPr>
      <w:spacing w:after="0" w:line="240" w:lineRule="auto"/>
    </w:pPr>
    <w:rPr>
      <w:rFonts w:ascii="Garamond" w:cs="Garamond" w:eastAsia="Times New Roman" w:hAnsi="Garamond"/>
      <w:lang w:eastAsia="nl-NL"/>
    </w:rPr>
  </w:style>
  <w:style w:styleId="Titre2" w:type="paragraph">
    <w:name w:val="heading 2"/>
    <w:basedOn w:val="Normal"/>
    <w:next w:val="Normal"/>
    <w:link w:val="Titre2Car"/>
    <w:qFormat/>
    <w:rsid w:val="002C766A"/>
    <w:pPr>
      <w:keepNext/>
      <w:outlineLvl w:val="1"/>
    </w:pPr>
    <w:rPr>
      <w:rFonts w:ascii="Arial" w:cs="Arial" w:hAnsi="Arial"/>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rsid w:val="002C766A"/>
    <w:rPr>
      <w:rFonts w:ascii="Arial" w:cs="Arial" w:eastAsia="Times New Roman" w:hAnsi="Arial"/>
      <w:b/>
      <w:bCs/>
      <w:lang w:eastAsia="nl-NL"/>
    </w:rPr>
  </w:style>
  <w:style w:styleId="En-tte" w:type="paragraph">
    <w:name w:val="header"/>
    <w:basedOn w:val="Normal"/>
    <w:link w:val="En-tteCar"/>
    <w:uiPriority w:val="99"/>
    <w:unhideWhenUsed/>
    <w:rsid w:val="002C766A"/>
    <w:pPr>
      <w:tabs>
        <w:tab w:pos="4536" w:val="center"/>
        <w:tab w:pos="9072" w:val="right"/>
      </w:tabs>
    </w:pPr>
  </w:style>
  <w:style w:customStyle="1" w:styleId="En-tteCar" w:type="character">
    <w:name w:val="En-tête Car"/>
    <w:basedOn w:val="Policepardfaut"/>
    <w:link w:val="En-tte"/>
    <w:uiPriority w:val="99"/>
    <w:rsid w:val="002C766A"/>
    <w:rPr>
      <w:rFonts w:ascii="Garamond" w:cs="Garamond" w:eastAsia="Times New Roman" w:hAnsi="Garamond"/>
      <w:lang w:eastAsia="nl-NL"/>
    </w:rPr>
  </w:style>
  <w:style w:styleId="Pieddepage" w:type="paragraph">
    <w:name w:val="footer"/>
    <w:basedOn w:val="Normal"/>
    <w:link w:val="PieddepageCar"/>
    <w:uiPriority w:val="99"/>
    <w:unhideWhenUsed/>
    <w:rsid w:val="002C766A"/>
    <w:pPr>
      <w:tabs>
        <w:tab w:pos="4536" w:val="center"/>
        <w:tab w:pos="9072" w:val="right"/>
      </w:tabs>
    </w:pPr>
  </w:style>
  <w:style w:customStyle="1" w:styleId="PieddepageCar" w:type="character">
    <w:name w:val="Pied de page Car"/>
    <w:basedOn w:val="Policepardfaut"/>
    <w:link w:val="Pieddepage"/>
    <w:uiPriority w:val="99"/>
    <w:rsid w:val="002C766A"/>
    <w:rPr>
      <w:rFonts w:ascii="Garamond" w:cs="Garamond" w:eastAsia="Times New Roman" w:hAnsi="Garamond"/>
      <w:lang w:eastAsia="nl-NL"/>
    </w:rPr>
  </w:style>
  <w:style w:styleId="Appelnotedebasdep" w:type="character">
    <w:name w:val="footnote reference"/>
    <w:basedOn w:val="Policepardfaut"/>
    <w:semiHidden/>
    <w:rsid w:val="0098344F"/>
    <w:rPr>
      <w:sz w:val="20"/>
      <w:szCs w:val="20"/>
    </w:rPr>
  </w:style>
  <w:style w:styleId="Notedebasdepage" w:type="paragraph">
    <w:name w:val="footnote text"/>
    <w:basedOn w:val="Normal"/>
    <w:link w:val="NotedebasdepageCar"/>
    <w:rsid w:val="0098344F"/>
    <w:pPr>
      <w:spacing w:before="240" w:line="240" w:lineRule="atLeast"/>
      <w:jc w:val="both"/>
    </w:pPr>
    <w:rPr>
      <w:rFonts w:ascii="Arial" w:cs="Times New Roman" w:hAnsi="Arial"/>
      <w:bCs/>
      <w:color w:val="424241"/>
      <w:sz w:val="24"/>
      <w:szCs w:val="20"/>
      <w:lang w:eastAsia="fr-FR"/>
    </w:rPr>
  </w:style>
  <w:style w:customStyle="1" w:styleId="NotedebasdepageCar" w:type="character">
    <w:name w:val="Note de bas de page Car"/>
    <w:basedOn w:val="Policepardfaut"/>
    <w:link w:val="Notedebasdepage"/>
    <w:rsid w:val="0098344F"/>
    <w:rPr>
      <w:rFonts w:ascii="Arial" w:cs="Times New Roman" w:eastAsia="Times New Roman" w:hAnsi="Arial"/>
      <w:bCs/>
      <w:color w:val="424241"/>
      <w:sz w:val="24"/>
      <w:szCs w:val="20"/>
      <w:lang w:eastAsia="fr-FR"/>
    </w:rPr>
  </w:style>
  <w:style w:styleId="Paragraphedeliste" w:type="paragraph">
    <w:name w:val="List Paragraph"/>
    <w:basedOn w:val="Normal"/>
    <w:uiPriority w:val="34"/>
    <w:qFormat/>
    <w:rsid w:val="006B76D9"/>
    <w:pPr>
      <w:ind w:left="720"/>
      <w:contextualSpacing/>
    </w:pPr>
  </w:style>
  <w:style w:customStyle="1" w:styleId="ElAppp" w:type="paragraph">
    <w:name w:val="ElApp_p"/>
    <w:basedOn w:val="Normal"/>
    <w:rsid w:val="00A671B5"/>
    <w:rPr>
      <w:rFonts w:ascii="Arial" w:cs="Arial" w:eastAsia="Arial" w:hAnsi="Arial"/>
      <w:sz w:val="15"/>
      <w:szCs w:val="15"/>
      <w:lang w:eastAsia="fr-FR"/>
    </w:rPr>
  </w:style>
  <w:style w:styleId="Corpsdetexte" w:type="paragraph">
    <w:name w:val="Body Text"/>
    <w:basedOn w:val="Normal"/>
    <w:link w:val="CorpsdetexteCar"/>
    <w:semiHidden/>
    <w:rsid w:val="00C7206E"/>
    <w:pPr>
      <w:tabs>
        <w:tab w:pos="142" w:val="left"/>
        <w:tab w:pos="1701" w:val="left"/>
        <w:tab w:pos="7371" w:val="right"/>
      </w:tabs>
      <w:jc w:val="both"/>
    </w:pPr>
    <w:rPr>
      <w:rFonts w:ascii="Arial" w:cs="Times New Roman" w:eastAsia="Calibri" w:hAnsi="Arial"/>
      <w:lang w:eastAsia="en-US"/>
    </w:rPr>
  </w:style>
  <w:style w:customStyle="1" w:styleId="CorpsdetexteCar" w:type="character">
    <w:name w:val="Corps de texte Car"/>
    <w:basedOn w:val="Policepardfaut"/>
    <w:link w:val="Corpsdetexte"/>
    <w:semiHidden/>
    <w:rsid w:val="00C7206E"/>
    <w:rPr>
      <w:rFonts w:ascii="Arial" w:cs="Times New Roman" w:eastAsia="Calibri"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3965</Characters>
  <Application>Microsoft Office Word</Application>
  <DocSecurity>0</DocSecurity>
  <Lines>33</Lines>
  <Paragraphs>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2023-01-19T08:40:00Z</dcterms:created>
  <cp:lastPrinted>2022-11-18T11:07:00Z</cp:lastPrinted>
  <dcterms:modified xsi:type="dcterms:W3CDTF">2023-01-19T08:40:00Z</dcterms:modified>
  <cp:revision>2</cp:revision>
</cp:coreProperties>
</file>