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Arial"/>
          <w:sz w:val="20"/>
          <w:szCs w:val="22"/>
        </w:rPr>
      </w:pPr>
      <w:r>
        <w:rPr>
          <w:rFonts w:cs="Arial" w:ascii="Calibri" w:hAnsi="Calibri"/>
          <w:sz w:val="20"/>
          <w:szCs w:val="22"/>
        </w:rPr>
      </w:r>
    </w:p>
    <w:p>
      <w:pPr>
        <w:pStyle w:val="Normal"/>
        <w:rPr>
          <w:rFonts w:ascii="Calibri" w:hAnsi="Calibri" w:cs="Arial"/>
          <w:sz w:val="20"/>
          <w:szCs w:val="22"/>
        </w:rPr>
      </w:pPr>
      <w:r>
        <w:rPr>
          <w:rFonts w:cs="Arial" w:ascii="Calibri" w:hAnsi="Calibri"/>
          <w:sz w:val="20"/>
          <w:szCs w:val="22"/>
        </w:rPr>
      </w:r>
    </w:p>
    <w:p>
      <w:pPr>
        <w:pStyle w:val="Normal"/>
        <w:rPr>
          <w:rFonts w:ascii="Calibri" w:hAnsi="Calibri" w:cs="Arial"/>
          <w:sz w:val="20"/>
          <w:szCs w:val="22"/>
          <w:lang w:val="en-GB" w:eastAsia="en-GB"/>
        </w:rPr>
      </w:pPr>
      <w:r>
        <w:rPr>
          <w:rFonts w:cs="Arial" w:ascii="Calibri" w:hAnsi="Calibri"/>
          <w:sz w:val="20"/>
          <w:szCs w:val="22"/>
          <w:lang w:val="en-GB" w:eastAsia="en-GB"/>
        </w:rPr>
      </w:r>
      <w:r>
        <mc:AlternateContent>
          <mc:Choice Requires="wps">
            <w:drawing>
              <wp:anchor behindDoc="0" distT="0" distB="0" distL="114935" distR="114935" simplePos="0" locked="0" layoutInCell="1" allowOverlap="1" relativeHeight="10">
                <wp:simplePos x="0" y="0"/>
                <wp:positionH relativeFrom="column">
                  <wp:posOffset>-118745</wp:posOffset>
                </wp:positionH>
                <wp:positionV relativeFrom="paragraph">
                  <wp:posOffset>131445</wp:posOffset>
                </wp:positionV>
                <wp:extent cx="5624195" cy="842010"/>
                <wp:effectExtent l="0" t="0" r="0" b="0"/>
                <wp:wrapNone/>
                <wp:docPr id="1" name="Frame1"/>
                <a:graphic xmlns:a="http://schemas.openxmlformats.org/drawingml/2006/main">
                  <a:graphicData uri="http://schemas.microsoft.com/office/word/2010/wordprocessingShape">
                    <wps:wsp>
                      <wps:cNvSpPr txBox="1"/>
                      <wps:spPr>
                        <a:xfrm>
                          <a:off x="0" y="0"/>
                          <a:ext cx="5624195" cy="842010"/>
                        </a:xfrm>
                        <a:prstGeom prst="rect"/>
                        <a:solidFill>
                          <a:srgbClr val="C0C0C0"/>
                        </a:solidFill>
                        <a:ln w="9525">
                          <a:solidFill>
                            <a:srgbClr val="000000"/>
                          </a:solidFill>
                        </a:ln>
                      </wps:spPr>
                      <wps:txbx>
                        <w:txbxContent>
                          <w:p>
                            <w:pPr>
                              <w:pStyle w:val="Normal"/>
                              <w:jc w:val="center"/>
                              <w:rPr>
                                <w:rFonts w:ascii="Arial" w:hAnsi="Arial" w:cs="Arial"/>
                                <w:sz w:val="40"/>
                                <w:szCs w:val="40"/>
                              </w:rPr>
                            </w:pPr>
                            <w:r>
                              <w:rPr>
                                <w:rFonts w:cs="Arial" w:ascii="Arial" w:hAnsi="Arial"/>
                                <w:b/>
                                <w:bCs/>
                                <w:sz w:val="32"/>
                                <w:szCs w:val="32"/>
                              </w:rPr>
                              <w:t>Accord concluant la négociation annuelle sur les salaires, la durée et l’aménagement du temps de travail pour l’année 2022</w:t>
                            </w:r>
                          </w:p>
                        </w:txbxContent>
                      </wps:txbx>
                      <wps:bodyPr anchor="t" lIns="91440" tIns="45720" rIns="91440" bIns="45720">
                        <a:noAutofit/>
                      </wps:bodyPr>
                    </wps:wsp>
                  </a:graphicData>
                </a:graphic>
              </wp:anchor>
            </w:drawing>
          </mc:Choice>
          <mc:Fallback>
            <w:pict>
              <v:rect fillcolor="#C0C0C0" strokecolor="#000000" strokeweight="0pt" style="position:absolute;rotation:0;width:442.85pt;height:66.3pt;mso-wrap-distance-left:9.05pt;mso-wrap-distance-right:9.05pt;margin-top:10.35pt;mso-position-vertical-relative:text;margin-left:-9.35pt;mso-position-horizontal-relative:text">
                <v:textbox>
                  <w:txbxContent>
                    <w:p>
                      <w:pPr>
                        <w:pStyle w:val="Normal"/>
                        <w:jc w:val="center"/>
                        <w:rPr>
                          <w:rFonts w:ascii="Arial" w:hAnsi="Arial" w:cs="Arial"/>
                          <w:sz w:val="40"/>
                          <w:szCs w:val="40"/>
                        </w:rPr>
                      </w:pPr>
                      <w:r>
                        <w:rPr>
                          <w:rFonts w:cs="Arial" w:ascii="Arial" w:hAnsi="Arial"/>
                          <w:b/>
                          <w:bCs/>
                          <w:sz w:val="32"/>
                          <w:szCs w:val="32"/>
                        </w:rPr>
                        <w:t>Accord concluant la négociation annuelle sur les salaires, la durée et l’aménagement du temps de travail pour l’année 2022</w:t>
                      </w:r>
                    </w:p>
                  </w:txbxContent>
                </v:textbox>
              </v:rect>
            </w:pict>
          </mc:Fallback>
        </mc:AlternateContent>
      </w:r>
    </w:p>
    <w:p>
      <w:pPr>
        <w:pStyle w:val="Normal"/>
        <w:rPr>
          <w:rFonts w:ascii="Calibri" w:hAnsi="Calibri" w:cs="Arial"/>
          <w:sz w:val="20"/>
          <w:szCs w:val="22"/>
        </w:rPr>
      </w:pPr>
      <w:r>
        <w:rPr>
          <w:rFonts w:cs="Arial" w:ascii="Calibri" w:hAnsi="Calibri"/>
          <w:sz w:val="20"/>
          <w:szCs w:val="22"/>
        </w:rPr>
      </w:r>
    </w:p>
    <w:p>
      <w:pPr>
        <w:pStyle w:val="Normal"/>
        <w:rPr>
          <w:rFonts w:ascii="Calibri" w:hAnsi="Calibri" w:cs="Arial"/>
          <w:sz w:val="20"/>
          <w:szCs w:val="22"/>
        </w:rPr>
      </w:pPr>
      <w:r>
        <w:rPr>
          <w:rFonts w:cs="Arial" w:ascii="Calibri" w:hAnsi="Calibri"/>
          <w:sz w:val="20"/>
          <w:szCs w:val="22"/>
        </w:rPr>
      </w:r>
    </w:p>
    <w:p>
      <w:pPr>
        <w:pStyle w:val="Normal"/>
        <w:jc w:val="both"/>
        <w:rPr>
          <w:rFonts w:ascii="Calibri" w:hAnsi="Calibri" w:cs="Arial"/>
          <w:sz w:val="20"/>
          <w:szCs w:val="22"/>
        </w:rPr>
      </w:pPr>
      <w:r>
        <w:rPr>
          <w:rFonts w:cs="Arial" w:ascii="Calibri" w:hAnsi="Calibri"/>
          <w:sz w:val="20"/>
          <w:szCs w:val="22"/>
        </w:rPr>
      </w:r>
    </w:p>
    <w:p>
      <w:pPr>
        <w:pStyle w:val="Normal"/>
        <w:jc w:val="both"/>
        <w:rPr>
          <w:rFonts w:ascii="Calibri" w:hAnsi="Calibri" w:cs="Arial"/>
          <w:sz w:val="20"/>
          <w:szCs w:val="22"/>
        </w:rPr>
      </w:pPr>
      <w:r>
        <w:rPr>
          <w:rFonts w:cs="Arial" w:ascii="Calibri" w:hAnsi="Calibri"/>
          <w:sz w:val="20"/>
          <w:szCs w:val="22"/>
        </w:rPr>
      </w:r>
    </w:p>
    <w:p>
      <w:pPr>
        <w:pStyle w:val="Normal"/>
        <w:jc w:val="both"/>
        <w:rPr>
          <w:rFonts w:ascii="Calibri" w:hAnsi="Calibri" w:cs="Arial"/>
          <w:sz w:val="20"/>
          <w:szCs w:val="22"/>
        </w:rPr>
      </w:pPr>
      <w:r>
        <w:rPr>
          <w:rFonts w:cs="Arial" w:ascii="Calibri" w:hAnsi="Calibri"/>
          <w:sz w:val="20"/>
          <w:szCs w:val="22"/>
        </w:rPr>
      </w:r>
    </w:p>
    <w:p>
      <w:pPr>
        <w:pStyle w:val="Normal"/>
        <w:jc w:val="both"/>
        <w:rPr>
          <w:rFonts w:ascii="Calibri" w:hAnsi="Calibri" w:cs="Arial"/>
          <w:sz w:val="20"/>
          <w:szCs w:val="22"/>
        </w:rPr>
      </w:pPr>
      <w:r>
        <w:rPr>
          <w:rFonts w:cs="Arial" w:ascii="Calibri" w:hAnsi="Calibri"/>
          <w:sz w:val="20"/>
          <w:szCs w:val="22"/>
        </w:rPr>
      </w:r>
    </w:p>
    <w:p>
      <w:pPr>
        <w:pStyle w:val="Normal"/>
        <w:jc w:val="both"/>
        <w:rPr>
          <w:rFonts w:ascii="Calibri" w:hAnsi="Calibri" w:cs="Arial"/>
          <w:sz w:val="20"/>
          <w:szCs w:val="22"/>
        </w:rPr>
      </w:pPr>
      <w:r>
        <w:rPr>
          <w:rFonts w:cs="Arial" w:ascii="Calibri" w:hAnsi="Calibri"/>
          <w:sz w:val="20"/>
          <w:szCs w:val="22"/>
        </w:rPr>
      </w:r>
    </w:p>
    <w:p>
      <w:pPr>
        <w:pStyle w:val="Normal"/>
        <w:jc w:val="both"/>
        <w:rPr>
          <w:rFonts w:ascii="Calibri" w:hAnsi="Calibri" w:cs="Arial"/>
          <w:sz w:val="20"/>
          <w:szCs w:val="22"/>
        </w:rPr>
      </w:pPr>
      <w:r>
        <w:rPr>
          <w:rFonts w:cs="Arial" w:ascii="Calibri" w:hAnsi="Calibri"/>
          <w:sz w:val="20"/>
          <w:szCs w:val="22"/>
        </w:rPr>
      </w:r>
    </w:p>
    <w:p>
      <w:pPr>
        <w:pStyle w:val="Normal"/>
        <w:spacing w:lineRule="exact" w:line="240"/>
        <w:jc w:val="both"/>
        <w:rPr>
          <w:rFonts w:ascii="Arial" w:hAnsi="Arial" w:cs="Arial"/>
          <w:i/>
          <w:i/>
          <w:iCs/>
          <w:sz w:val="22"/>
          <w:szCs w:val="22"/>
        </w:rPr>
      </w:pPr>
      <w:r>
        <w:rPr>
          <w:rFonts w:cs="Arial" w:ascii="Arial" w:hAnsi="Arial"/>
          <w:i/>
          <w:iCs/>
          <w:sz w:val="22"/>
          <w:szCs w:val="22"/>
        </w:rPr>
        <w:t>Entre les soussignés :</w:t>
      </w:r>
    </w:p>
    <w:p>
      <w:pPr>
        <w:pStyle w:val="Normal"/>
        <w:jc w:val="both"/>
        <w:rPr>
          <w:rFonts w:ascii="Arial" w:hAnsi="Arial" w:cs="Arial"/>
          <w:i/>
          <w:i/>
          <w:iCs/>
          <w:sz w:val="22"/>
          <w:szCs w:val="22"/>
        </w:rPr>
      </w:pPr>
      <w:r>
        <w:rPr>
          <w:rFonts w:cs="Arial" w:ascii="Arial" w:hAnsi="Arial"/>
          <w:i/>
          <w:iCs/>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La société ESE FRANCE, dont le siège social est situé à : 42, rue Paul Sabatier, 71108 CHALON SUR SAONE</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Représentée par M agissant en qualité de Président,</w:t>
      </w:r>
    </w:p>
    <w:p>
      <w:pPr>
        <w:pStyle w:val="P14"/>
        <w:overflowPunct w:val="true"/>
        <w:autoSpaceDE w:val="true"/>
        <w:spacing w:lineRule="exact" w:line="240"/>
        <w:textAlignment w:val="auto"/>
        <w:rPr>
          <w:rFonts w:ascii="Arial" w:hAnsi="Arial" w:cs="Arial"/>
          <w:sz w:val="22"/>
          <w:szCs w:val="22"/>
        </w:rPr>
      </w:pPr>
      <w:r>
        <w:rPr>
          <w:rFonts w:cs="Arial" w:ascii="Arial" w:hAnsi="Arial"/>
          <w:sz w:val="22"/>
          <w:szCs w:val="22"/>
        </w:rPr>
      </w:r>
    </w:p>
    <w:p>
      <w:pPr>
        <w:pStyle w:val="P14"/>
        <w:overflowPunct w:val="true"/>
        <w:autoSpaceDE w:val="true"/>
        <w:spacing w:lineRule="exact" w:line="240"/>
        <w:textAlignment w:val="auto"/>
        <w:rPr>
          <w:rFonts w:ascii="Arial" w:hAnsi="Arial" w:cs="Arial"/>
          <w:sz w:val="22"/>
          <w:szCs w:val="22"/>
        </w:rPr>
      </w:pPr>
      <w:r>
        <w:rPr>
          <w:rFonts w:cs="Arial" w:ascii="Arial" w:hAnsi="Arial"/>
          <w:sz w:val="22"/>
          <w:szCs w:val="22"/>
        </w:rPr>
      </w:r>
    </w:p>
    <w:p>
      <w:pPr>
        <w:pStyle w:val="Normal"/>
        <w:spacing w:lineRule="exact" w:line="240"/>
        <w:jc w:val="both"/>
        <w:rPr>
          <w:rFonts w:ascii="Arial" w:hAnsi="Arial" w:cs="Arial"/>
          <w:i/>
          <w:i/>
          <w:iCs/>
          <w:sz w:val="22"/>
          <w:szCs w:val="22"/>
        </w:rPr>
      </w:pPr>
      <w:r>
        <w:rPr>
          <w:rFonts w:cs="Arial" w:ascii="Arial" w:hAnsi="Arial"/>
          <w:i/>
          <w:iCs/>
          <w:sz w:val="22"/>
          <w:szCs w:val="22"/>
        </w:rPr>
        <w:t>d'une part,</w:t>
      </w:r>
    </w:p>
    <w:p>
      <w:pPr>
        <w:pStyle w:val="Normal"/>
        <w:spacing w:lineRule="exact" w:line="240"/>
        <w:jc w:val="both"/>
        <w:rPr>
          <w:rFonts w:ascii="Arial" w:hAnsi="Arial" w:cs="Arial"/>
          <w:i/>
          <w:i/>
          <w:iCs/>
          <w:sz w:val="22"/>
          <w:szCs w:val="22"/>
        </w:rPr>
      </w:pPr>
      <w:r>
        <w:rPr>
          <w:rFonts w:cs="Arial" w:ascii="Arial" w:hAnsi="Arial"/>
          <w:i/>
          <w:iCs/>
          <w:sz w:val="22"/>
          <w:szCs w:val="22"/>
        </w:rPr>
      </w:r>
    </w:p>
    <w:p>
      <w:pPr>
        <w:pStyle w:val="Normal"/>
        <w:spacing w:lineRule="exact" w:line="240"/>
        <w:jc w:val="both"/>
        <w:rPr>
          <w:rFonts w:ascii="Arial" w:hAnsi="Arial" w:cs="Arial"/>
          <w:i/>
          <w:i/>
          <w:iCs/>
          <w:sz w:val="22"/>
          <w:szCs w:val="22"/>
        </w:rPr>
      </w:pPr>
      <w:r>
        <w:rPr>
          <w:rFonts w:cs="Arial" w:ascii="Arial" w:hAnsi="Arial"/>
          <w:i/>
          <w:iCs/>
          <w:sz w:val="22"/>
          <w:szCs w:val="22"/>
        </w:rPr>
      </w:r>
    </w:p>
    <w:p>
      <w:pPr>
        <w:pStyle w:val="Normal"/>
        <w:numPr>
          <w:ilvl w:val="0"/>
          <w:numId w:val="0"/>
        </w:numPr>
        <w:outlineLvl w:val="0"/>
        <w:rPr/>
      </w:pPr>
      <w:r>
        <w:rPr>
          <w:rFonts w:cs="Arial" w:ascii="Arial" w:hAnsi="Arial"/>
          <w:sz w:val="22"/>
          <w:szCs w:val="22"/>
        </w:rPr>
        <w:t>Sud Solidaire, représentée par M          - Délégué syndical</w:t>
      </w:r>
    </w:p>
    <w:p>
      <w:pPr>
        <w:pStyle w:val="Normal"/>
        <w:numPr>
          <w:ilvl w:val="0"/>
          <w:numId w:val="0"/>
        </w:numPr>
        <w:outlineLvl w:val="0"/>
        <w:rPr/>
      </w:pPr>
      <w:r>
        <w:rPr>
          <w:rFonts w:cs="Arial" w:ascii="Arial" w:hAnsi="Arial"/>
          <w:sz w:val="22"/>
          <w:szCs w:val="22"/>
        </w:rPr>
        <w:t>Force Ouvrière, représentée par M - Délégué syndical</w:t>
      </w:r>
    </w:p>
    <w:p>
      <w:pPr>
        <w:pStyle w:val="Normal"/>
        <w:numPr>
          <w:ilvl w:val="0"/>
          <w:numId w:val="0"/>
        </w:numPr>
        <w:outlineLvl w:val="0"/>
        <w:rPr>
          <w:rFonts w:ascii="Arial" w:hAnsi="Arial" w:cs="Arial"/>
          <w:sz w:val="22"/>
          <w:szCs w:val="22"/>
        </w:rPr>
      </w:pPr>
      <w:r>
        <w:rPr>
          <w:rFonts w:cs="Arial" w:ascii="Arial" w:hAnsi="Arial"/>
          <w:sz w:val="22"/>
          <w:szCs w:val="22"/>
        </w:rPr>
      </w:r>
    </w:p>
    <w:p>
      <w:pPr>
        <w:pStyle w:val="Normal"/>
        <w:spacing w:lineRule="exact" w:line="240"/>
        <w:jc w:val="both"/>
        <w:rPr>
          <w:rFonts w:ascii="Arial" w:hAnsi="Arial" w:cs="Arial"/>
          <w:sz w:val="22"/>
          <w:szCs w:val="22"/>
        </w:rPr>
      </w:pPr>
      <w:r>
        <w:rPr>
          <w:rFonts w:cs="Arial" w:ascii="Arial" w:hAnsi="Arial"/>
          <w:sz w:val="22"/>
          <w:szCs w:val="22"/>
        </w:rPr>
      </w:r>
    </w:p>
    <w:p>
      <w:pPr>
        <w:pStyle w:val="Normal"/>
        <w:spacing w:lineRule="exact" w:line="240"/>
        <w:jc w:val="both"/>
        <w:rPr>
          <w:rFonts w:ascii="Arial" w:hAnsi="Arial" w:cs="Arial"/>
          <w:i/>
          <w:i/>
          <w:iCs/>
          <w:sz w:val="22"/>
          <w:szCs w:val="22"/>
        </w:rPr>
      </w:pPr>
      <w:r>
        <w:rPr>
          <w:rFonts w:cs="Arial" w:ascii="Arial" w:hAnsi="Arial"/>
          <w:i/>
          <w:iCs/>
          <w:sz w:val="22"/>
          <w:szCs w:val="22"/>
        </w:rPr>
        <w:t>d'autre part.</w:t>
      </w:r>
    </w:p>
    <w:p>
      <w:pPr>
        <w:pStyle w:val="Normal"/>
        <w:jc w:val="both"/>
        <w:rPr>
          <w:rFonts w:ascii="Arial" w:hAnsi="Arial" w:cs="Arial"/>
          <w:b/>
          <w:b/>
          <w:bCs/>
          <w:i/>
          <w:i/>
          <w:iCs/>
          <w:sz w:val="22"/>
          <w:szCs w:val="22"/>
        </w:rPr>
      </w:pPr>
      <w:r>
        <w:rPr>
          <w:rFonts w:cs="Arial" w:ascii="Arial" w:hAnsi="Arial"/>
          <w:b/>
          <w:bCs/>
          <w:i/>
          <w:i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sz w:val="22"/>
          <w:szCs w:val="22"/>
        </w:rPr>
      </w:pPr>
      <w:r>
        <w:rPr>
          <w:rFonts w:cs="Arial" w:ascii="Arial" w:hAnsi="Arial"/>
          <w:b/>
          <w:sz w:val="22"/>
          <w:szCs w:val="22"/>
        </w:rPr>
        <w:t>Préambule</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sz w:val="22"/>
          <w:szCs w:val="22"/>
        </w:rPr>
      </w:pPr>
      <w:r>
        <w:rPr>
          <w:rFonts w:cs="Arial" w:ascii="Arial" w:hAnsi="Arial"/>
          <w:sz w:val="22"/>
          <w:szCs w:val="22"/>
        </w:rPr>
        <w:t xml:space="preserve">Ces négociations se sont déroulées au travers des réunions bilatérales tenues les 12, 19 et 31 janvier 2021 entre </w:t>
      </w:r>
    </w:p>
    <w:p>
      <w:pPr>
        <w:pStyle w:val="Normal"/>
        <w:jc w:val="both"/>
        <w:rPr>
          <w:rFonts w:ascii="Arial" w:hAnsi="Arial" w:cs="Arial"/>
          <w:sz w:val="22"/>
          <w:szCs w:val="22"/>
        </w:rPr>
      </w:pPr>
      <w:r>
        <w:rPr>
          <w:rFonts w:cs="Arial" w:ascii="Arial" w:hAnsi="Arial"/>
          <w:sz w:val="22"/>
          <w:szCs w:val="22"/>
        </w:rPr>
      </w:r>
    </w:p>
    <w:p>
      <w:pPr>
        <w:pStyle w:val="Normal"/>
        <w:numPr>
          <w:ilvl w:val="0"/>
          <w:numId w:val="0"/>
        </w:numPr>
        <w:outlineLvl w:val="0"/>
        <w:rPr/>
      </w:pPr>
      <w:r>
        <w:rPr>
          <w:rFonts w:cs="Arial" w:ascii="Arial" w:hAnsi="Arial"/>
          <w:sz w:val="22"/>
          <w:szCs w:val="22"/>
        </w:rPr>
        <w:t xml:space="preserve">Sud Solidaire, représentée par M  </w:t>
        <w:tab/>
        <w:t>- Délégué syndical</w:t>
      </w:r>
    </w:p>
    <w:p>
      <w:pPr>
        <w:pStyle w:val="Normal"/>
        <w:numPr>
          <w:ilvl w:val="0"/>
          <w:numId w:val="0"/>
        </w:numPr>
        <w:outlineLvl w:val="0"/>
        <w:rPr>
          <w:rFonts w:ascii="Arial" w:hAnsi="Arial" w:cs="Arial"/>
          <w:sz w:val="22"/>
          <w:szCs w:val="22"/>
        </w:rPr>
      </w:pPr>
      <w:r>
        <w:rPr>
          <w:rFonts w:cs="Arial" w:ascii="Arial" w:hAnsi="Arial"/>
          <w:sz w:val="22"/>
          <w:szCs w:val="22"/>
        </w:rPr>
        <w:t>Force Ouvrière, représentée par M  - Délégué syndical</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et la Direction représentée par M, Président assisté de Mme, Directrice des Ressources Humaines.</w:t>
      </w:r>
    </w:p>
    <w:p>
      <w:pPr>
        <w:pStyle w:val="Normal"/>
        <w:jc w:val="both"/>
        <w:rPr>
          <w:rFonts w:ascii="Arial" w:hAnsi="Arial" w:cs="Arial"/>
          <w:bCs/>
          <w:sz w:val="22"/>
          <w:szCs w:val="22"/>
        </w:rPr>
      </w:pPr>
      <w:r>
        <w:rPr>
          <w:rFonts w:cs="Arial" w:ascii="Arial" w:hAnsi="Arial"/>
          <w:bCs/>
          <w:sz w:val="22"/>
          <w:szCs w:val="22"/>
        </w:rPr>
      </w:r>
    </w:p>
    <w:p>
      <w:pPr>
        <w:pStyle w:val="Normal"/>
        <w:jc w:val="both"/>
        <w:rPr/>
      </w:pPr>
      <w:r>
        <w:rPr>
          <w:rFonts w:cs="Arial" w:ascii="Arial" w:hAnsi="Arial"/>
          <w:bCs/>
          <w:sz w:val="22"/>
          <w:szCs w:val="22"/>
        </w:rPr>
        <w:t>Les partenaires sociaux conviennent de faire évoluer les rémunérations de la façon suivante :</w:t>
      </w:r>
    </w:p>
    <w:p>
      <w:pPr>
        <w:pStyle w:val="Normal"/>
        <w:jc w:val="both"/>
        <w:rPr>
          <w:rFonts w:ascii="Arial" w:hAnsi="Arial" w:cs="Arial"/>
          <w:bCs/>
          <w:sz w:val="22"/>
          <w:szCs w:val="22"/>
        </w:rPr>
      </w:pPr>
      <w:r>
        <w:rPr>
          <w:rFonts w:cs="Arial" w:ascii="Arial" w:hAnsi="Arial"/>
          <w:bCs/>
          <w:sz w:val="22"/>
          <w:szCs w:val="22"/>
        </w:rPr>
      </w:r>
      <w:r>
        <w:br w:type="page"/>
      </w:r>
    </w:p>
    <w:p>
      <w:pPr>
        <w:pStyle w:val="Normal"/>
        <w:jc w:val="both"/>
        <w:rPr>
          <w:rFonts w:ascii="Arial" w:hAnsi="Arial" w:cs="Arial"/>
          <w:bCs/>
          <w:sz w:val="22"/>
          <w:szCs w:val="22"/>
        </w:rPr>
      </w:pPr>
      <w:r>
        <w:rPr>
          <w:rFonts w:cs="Arial" w:ascii="Arial" w:hAnsi="Arial"/>
          <w:bCs/>
          <w:sz w:val="22"/>
          <w:szCs w:val="22"/>
        </w:rPr>
      </w:r>
    </w:p>
    <w:p>
      <w:pPr>
        <w:pStyle w:val="Normal"/>
        <w:jc w:val="both"/>
        <w:rPr/>
      </w:pPr>
      <w:r>
        <w:rPr>
          <w:rFonts w:cs="Arial" w:ascii="Arial" w:hAnsi="Arial"/>
          <w:bCs/>
          <w:sz w:val="22"/>
          <w:szCs w:val="22"/>
        </w:rPr>
        <w:t>Pour l’année 2022, les mesures suivantes sont applicables :</w:t>
      </w:r>
    </w:p>
    <w:p>
      <w:pPr>
        <w:pStyle w:val="Heading2"/>
        <w:numPr>
          <w:ilvl w:val="1"/>
          <w:numId w:val="1"/>
        </w:numPr>
        <w:spacing w:before="480" w:after="60"/>
        <w:rPr>
          <w:i w:val="false"/>
          <w:i w:val="false"/>
          <w:sz w:val="22"/>
          <w:szCs w:val="22"/>
        </w:rPr>
      </w:pPr>
      <w:r>
        <w:rPr>
          <w:i w:val="false"/>
          <w:sz w:val="22"/>
          <w:szCs w:val="22"/>
        </w:rPr>
        <w:t>Article 1 - Augmentation du salaire de base</w:t>
      </w:r>
    </w:p>
    <w:p>
      <w:pPr>
        <w:pStyle w:val="Normal"/>
        <w:jc w:val="both"/>
        <w:rPr>
          <w:rFonts w:ascii="Arial" w:hAnsi="Arial" w:cs="Arial"/>
          <w:i/>
          <w:i/>
          <w:sz w:val="22"/>
          <w:szCs w:val="22"/>
        </w:rPr>
      </w:pPr>
      <w:r>
        <w:rPr>
          <w:rFonts w:cs="Arial" w:ascii="Arial" w:hAnsi="Arial"/>
          <w:i/>
          <w:sz w:val="22"/>
          <w:szCs w:val="22"/>
        </w:rPr>
      </w:r>
    </w:p>
    <w:p>
      <w:pPr>
        <w:pStyle w:val="Normal"/>
        <w:numPr>
          <w:ilvl w:val="0"/>
          <w:numId w:val="3"/>
        </w:numPr>
        <w:jc w:val="both"/>
        <w:rPr/>
      </w:pPr>
      <w:r>
        <w:rPr>
          <w:rFonts w:cs="Arial" w:ascii="Arial" w:hAnsi="Arial"/>
          <w:sz w:val="22"/>
          <w:szCs w:val="22"/>
        </w:rPr>
        <w:t xml:space="preserve">Une augmentation collective </w:t>
      </w:r>
      <w:bookmarkStart w:id="0" w:name="_Hlk509339354"/>
      <w:r>
        <w:rPr>
          <w:rFonts w:cs="Arial" w:ascii="Arial" w:hAnsi="Arial"/>
          <w:sz w:val="22"/>
          <w:szCs w:val="22"/>
        </w:rPr>
        <w:t>pour les salariés de ESE France qui ont un coefficient compris entre 700 et 830</w:t>
      </w:r>
      <w:bookmarkEnd w:id="0"/>
      <w:r>
        <w:rPr>
          <w:rFonts w:cs="Arial" w:ascii="Arial" w:hAnsi="Arial"/>
          <w:sz w:val="22"/>
          <w:szCs w:val="22"/>
        </w:rPr>
        <w:t xml:space="preserve"> inclus :</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 compter du 1</w:t>
      </w:r>
      <w:r>
        <w:rPr>
          <w:rFonts w:cs="Arial" w:ascii="Arial" w:hAnsi="Arial"/>
          <w:sz w:val="22"/>
          <w:szCs w:val="22"/>
          <w:vertAlign w:val="superscript"/>
        </w:rPr>
        <w:t>ier</w:t>
      </w:r>
      <w:r>
        <w:rPr>
          <w:rFonts w:cs="Arial" w:ascii="Arial" w:hAnsi="Arial"/>
          <w:sz w:val="22"/>
          <w:szCs w:val="22"/>
        </w:rPr>
        <w:t xml:space="preserve"> janvier 2022, une augmentation générale du salaire de base de 2,7% sera appliquée pour les salariés concernés.</w:t>
      </w:r>
    </w:p>
    <w:p>
      <w:pPr>
        <w:pStyle w:val="Normal"/>
        <w:jc w:val="both"/>
        <w:rPr>
          <w:rFonts w:ascii="Arial" w:hAnsi="Arial" w:cs="Arial"/>
          <w:sz w:val="22"/>
          <w:szCs w:val="22"/>
        </w:rPr>
      </w:pPr>
      <w:r>
        <w:rPr>
          <w:rFonts w:cs="Arial" w:ascii="Arial" w:hAnsi="Arial"/>
          <w:sz w:val="22"/>
          <w:szCs w:val="22"/>
        </w:rPr>
        <w:t>Afin de favoriser les « bas salaires », un talon de 50 € sera attribué. Le montant considéré sera le montant total du salaire de base plus la prime d’ancienneté.</w:t>
      </w:r>
    </w:p>
    <w:p>
      <w:pPr>
        <w:pStyle w:val="Normal"/>
        <w:jc w:val="both"/>
        <w:rPr>
          <w:rFonts w:ascii="Arial" w:hAnsi="Arial" w:cs="Arial"/>
          <w:sz w:val="22"/>
          <w:szCs w:val="22"/>
        </w:rPr>
      </w:pPr>
      <w:r>
        <w:rPr>
          <w:rFonts w:cs="Arial" w:ascii="Arial" w:hAnsi="Arial"/>
          <w:sz w:val="22"/>
          <w:szCs w:val="22"/>
        </w:rPr>
      </w:r>
    </w:p>
    <w:p>
      <w:pPr>
        <w:pStyle w:val="Normal"/>
        <w:numPr>
          <w:ilvl w:val="0"/>
          <w:numId w:val="3"/>
        </w:numPr>
        <w:jc w:val="both"/>
        <w:rPr/>
      </w:pPr>
      <w:r>
        <w:rPr>
          <w:rFonts w:cs="Arial" w:ascii="Arial" w:hAnsi="Arial"/>
          <w:sz w:val="22"/>
          <w:szCs w:val="22"/>
        </w:rPr>
        <w:t>Une augmentation individuelle pour les salariés de ESE FRANCE dont le coefficient est supérieur ou égal à 900 :</w:t>
      </w:r>
    </w:p>
    <w:p>
      <w:pPr>
        <w:pStyle w:val="Normal"/>
        <w:ind w:left="360" w:hanging="0"/>
        <w:jc w:val="both"/>
        <w:rPr>
          <w:rFonts w:ascii="Arial" w:hAnsi="Arial" w:cs="Arial"/>
          <w:sz w:val="22"/>
          <w:szCs w:val="22"/>
        </w:rPr>
      </w:pPr>
      <w:r>
        <w:rPr>
          <w:rFonts w:cs="Arial" w:ascii="Arial" w:hAnsi="Arial"/>
          <w:sz w:val="22"/>
          <w:szCs w:val="22"/>
        </w:rPr>
      </w:r>
    </w:p>
    <w:p>
      <w:pPr>
        <w:pStyle w:val="Normal"/>
        <w:jc w:val="both"/>
        <w:rPr>
          <w:rFonts w:ascii="Arial" w:hAnsi="Arial" w:cs="Arial"/>
          <w:bCs/>
          <w:sz w:val="22"/>
          <w:szCs w:val="22"/>
        </w:rPr>
      </w:pPr>
      <w:r>
        <w:rPr>
          <w:rFonts w:cs="Arial" w:ascii="Arial" w:hAnsi="Arial"/>
          <w:bCs/>
          <w:sz w:val="22"/>
          <w:szCs w:val="22"/>
        </w:rPr>
        <w:t>A compter du 1</w:t>
      </w:r>
      <w:r>
        <w:rPr>
          <w:rFonts w:cs="Arial" w:ascii="Arial" w:hAnsi="Arial"/>
          <w:bCs/>
          <w:sz w:val="22"/>
          <w:szCs w:val="22"/>
          <w:vertAlign w:val="superscript"/>
        </w:rPr>
        <w:t>ier</w:t>
      </w:r>
      <w:r>
        <w:rPr>
          <w:rFonts w:cs="Arial" w:ascii="Arial" w:hAnsi="Arial"/>
          <w:bCs/>
          <w:sz w:val="22"/>
          <w:szCs w:val="22"/>
        </w:rPr>
        <w:t xml:space="preserve"> janvier 2022, une augmentation au mérite représentant un niveau maximal de 2,7% de la masse salariale de la population considérée.</w:t>
      </w:r>
    </w:p>
    <w:p>
      <w:pPr>
        <w:pStyle w:val="Heading2"/>
        <w:numPr>
          <w:ilvl w:val="1"/>
          <w:numId w:val="1"/>
        </w:numPr>
        <w:spacing w:before="480" w:after="60"/>
        <w:rPr>
          <w:i w:val="false"/>
          <w:i w:val="false"/>
          <w:sz w:val="22"/>
          <w:szCs w:val="22"/>
        </w:rPr>
      </w:pPr>
      <w:r>
        <w:rPr>
          <w:i w:val="false"/>
          <w:sz w:val="22"/>
          <w:szCs w:val="22"/>
        </w:rPr>
        <w:t>Article 2 – Passage au forfait jour des salariés assimilés cadres coefficients 830 et certains salariés du coefficient 820</w:t>
      </w:r>
    </w:p>
    <w:p>
      <w:pPr>
        <w:pStyle w:val="Normal"/>
        <w:rPr>
          <w:i/>
          <w:i/>
          <w:sz w:val="22"/>
          <w:szCs w:val="22"/>
        </w:rPr>
      </w:pPr>
      <w:r>
        <w:rPr>
          <w:i/>
          <w:sz w:val="22"/>
          <w:szCs w:val="22"/>
        </w:rPr>
      </w:r>
    </w:p>
    <w:p>
      <w:pPr>
        <w:pStyle w:val="Normal"/>
        <w:rPr>
          <w:rFonts w:ascii="Arial" w:hAnsi="Arial" w:cs="Arial"/>
          <w:sz w:val="22"/>
          <w:szCs w:val="22"/>
        </w:rPr>
      </w:pPr>
      <w:r>
        <w:rPr>
          <w:rFonts w:cs="Arial" w:ascii="Arial" w:hAnsi="Arial"/>
          <w:sz w:val="22"/>
          <w:szCs w:val="22"/>
        </w:rPr>
        <w:t>Il est convenu d’étendre le forfait annuel en jours aux assimilés cadres coefficient 830 et certains salariés du coefficient 820 qui disposent d’une  réelle autonomie dans l’organisation de leur emploi du temps pour l’exercice des responsabilités qui leur sont confiées.</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Il est convenu qu’une majoration de 3% du salaire serait appliquée aux salariés signataires de la convention individuelle à la date d’effet indiquée par celle-ci.</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Salariés concernés :</w:t>
      </w:r>
    </w:p>
    <w:p>
      <w:pPr>
        <w:pStyle w:val="Normal"/>
        <w:rPr>
          <w:rFonts w:ascii="Arial" w:hAnsi="Arial" w:cs="Arial"/>
          <w:sz w:val="22"/>
          <w:szCs w:val="22"/>
        </w:rPr>
      </w:pPr>
      <w:r>
        <w:rPr>
          <w:rFonts w:eastAsia="Arial" w:cs="Arial" w:ascii="Arial" w:hAnsi="Arial"/>
          <w:sz w:val="22"/>
          <w:szCs w:val="22"/>
        </w:rPr>
        <w:t xml:space="preserve"> </w:t>
      </w:r>
      <w:r>
        <w:rPr>
          <w:rFonts w:cs="Arial" w:ascii="Arial" w:hAnsi="Arial"/>
          <w:sz w:val="22"/>
          <w:szCs w:val="22"/>
        </w:rPr>
        <w:t xml:space="preserve">Il s’agit de l’ensemble des assimilés cadre plus les postes  de techniciens des services support à la production ou à l’exploitation : </w:t>
      </w:r>
    </w:p>
    <w:p>
      <w:pPr>
        <w:pStyle w:val="Normal"/>
        <w:numPr>
          <w:ilvl w:val="0"/>
          <w:numId w:val="2"/>
        </w:numPr>
        <w:rPr>
          <w:rFonts w:ascii="Arial" w:hAnsi="Arial" w:cs="Arial"/>
          <w:sz w:val="22"/>
          <w:szCs w:val="22"/>
        </w:rPr>
      </w:pPr>
      <w:r>
        <w:rPr>
          <w:rFonts w:cs="Arial" w:ascii="Arial" w:hAnsi="Arial"/>
          <w:sz w:val="22"/>
          <w:szCs w:val="22"/>
        </w:rPr>
        <w:t>Animateurs QHSE, animateurs méthodes et amélioration continue</w:t>
      </w:r>
    </w:p>
    <w:p>
      <w:pPr>
        <w:pStyle w:val="Normal"/>
        <w:numPr>
          <w:ilvl w:val="0"/>
          <w:numId w:val="2"/>
        </w:numPr>
        <w:rPr/>
      </w:pPr>
      <w:r>
        <w:rPr>
          <w:rFonts w:cs="Arial" w:ascii="Arial" w:hAnsi="Arial"/>
          <w:sz w:val="22"/>
          <w:szCs w:val="22"/>
        </w:rPr>
        <w:t xml:space="preserve">Techniciens des métiers informatique, techniciens process, techniciens de la logistique </w:t>
      </w:r>
    </w:p>
    <w:p>
      <w:pPr>
        <w:pStyle w:val="Normal"/>
        <w:numPr>
          <w:ilvl w:val="0"/>
          <w:numId w:val="2"/>
        </w:numPr>
        <w:rPr/>
      </w:pPr>
      <w:r>
        <w:rPr>
          <w:rFonts w:cs="Arial" w:ascii="Arial" w:hAnsi="Arial"/>
          <w:sz w:val="22"/>
          <w:szCs w:val="22"/>
        </w:rPr>
        <w:t>Superviseurs process, maintenance et logistique</w:t>
      </w:r>
    </w:p>
    <w:p>
      <w:pPr>
        <w:pStyle w:val="Normal"/>
        <w:numPr>
          <w:ilvl w:val="0"/>
          <w:numId w:val="2"/>
        </w:numPr>
        <w:rPr>
          <w:rFonts w:ascii="Arial" w:hAnsi="Arial" w:cs="Arial"/>
          <w:sz w:val="22"/>
          <w:szCs w:val="22"/>
        </w:rPr>
      </w:pPr>
      <w:r>
        <w:rPr>
          <w:rFonts w:cs="Arial" w:ascii="Arial" w:hAnsi="Arial"/>
          <w:sz w:val="22"/>
          <w:szCs w:val="22"/>
        </w:rPr>
        <w:t xml:space="preserve">Chargé de paie, chargé emploi et formation </w:t>
      </w:r>
    </w:p>
    <w:p>
      <w:pPr>
        <w:pStyle w:val="Normal"/>
        <w:numPr>
          <w:ilvl w:val="0"/>
          <w:numId w:val="2"/>
        </w:numPr>
        <w:rPr>
          <w:rFonts w:ascii="Arial" w:hAnsi="Arial" w:cs="Arial"/>
          <w:sz w:val="22"/>
          <w:szCs w:val="22"/>
        </w:rPr>
      </w:pPr>
      <w:r>
        <w:rPr>
          <w:rFonts w:cs="Arial" w:ascii="Arial" w:hAnsi="Arial"/>
          <w:sz w:val="22"/>
          <w:szCs w:val="22"/>
        </w:rPr>
        <w:t>Chargés d’études appels d’offres</w:t>
      </w:r>
    </w:p>
    <w:p>
      <w:pPr>
        <w:pStyle w:val="Normal"/>
        <w:numPr>
          <w:ilvl w:val="0"/>
          <w:numId w:val="2"/>
        </w:numPr>
        <w:rPr>
          <w:rFonts w:ascii="Arial" w:hAnsi="Arial" w:cs="Arial"/>
          <w:sz w:val="22"/>
          <w:szCs w:val="22"/>
        </w:rPr>
      </w:pPr>
      <w:r>
        <w:rPr>
          <w:rFonts w:cs="Arial" w:ascii="Arial" w:hAnsi="Arial"/>
          <w:sz w:val="22"/>
          <w:szCs w:val="22"/>
        </w:rPr>
        <w:t>Techniciens de services itinérant, responsables d’exploitation</w:t>
      </w:r>
    </w:p>
    <w:p>
      <w:pPr>
        <w:pStyle w:val="Normal"/>
        <w:rPr>
          <w:rFonts w:ascii="Lucida Sans Unicode" w:hAnsi="Lucida Sans Unicode" w:cs="Lucida Sans Unicode"/>
          <w:color w:val="333333"/>
          <w:sz w:val="22"/>
          <w:szCs w:val="22"/>
          <w:shd w:fill="FFFFFF" w:val="clear"/>
        </w:rPr>
      </w:pPr>
      <w:r>
        <w:rPr>
          <w:rFonts w:cs="Lucida Sans Unicode" w:ascii="Lucida Sans Unicode" w:hAnsi="Lucida Sans Unicode"/>
          <w:color w:val="333333"/>
          <w:sz w:val="22"/>
          <w:szCs w:val="22"/>
          <w:shd w:fill="FFFFFF" w:val="clear"/>
        </w:rPr>
      </w:r>
    </w:p>
    <w:p>
      <w:pPr>
        <w:pStyle w:val="Normal"/>
        <w:rPr>
          <w:rFonts w:ascii="Arial" w:hAnsi="Arial" w:cs="Arial"/>
          <w:b/>
          <w:b/>
          <w:bCs/>
          <w:sz w:val="22"/>
          <w:szCs w:val="22"/>
        </w:rPr>
      </w:pPr>
      <w:r>
        <w:rPr>
          <w:rFonts w:cs="Arial" w:ascii="Arial" w:hAnsi="Arial"/>
          <w:b/>
          <w:bCs/>
          <w:sz w:val="22"/>
          <w:szCs w:val="22"/>
        </w:rPr>
        <w:t>Nombre de jours travaillés</w:t>
      </w:r>
    </w:p>
    <w:p>
      <w:pPr>
        <w:pStyle w:val="Normal"/>
        <w:rPr>
          <w:rFonts w:ascii="Arial" w:hAnsi="Arial" w:cs="Arial"/>
          <w:bCs/>
          <w:sz w:val="22"/>
          <w:szCs w:val="22"/>
        </w:rPr>
      </w:pPr>
      <w:r>
        <w:rPr>
          <w:rFonts w:cs="Arial" w:ascii="Arial" w:hAnsi="Arial"/>
          <w:bCs/>
          <w:sz w:val="22"/>
          <w:szCs w:val="22"/>
        </w:rPr>
        <w:t xml:space="preserve">Le décompte du temps de travail se fera en jours sur l’année. Il est convenu que le nombre de jours travaillés par an n’excédera pas 212 jours auxquels viendra s’ajouter la journée de solidarité. </w:t>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Cs/>
          <w:sz w:val="22"/>
          <w:szCs w:val="22"/>
        </w:rPr>
      </w:pPr>
      <w:r>
        <w:rPr>
          <w:rFonts w:cs="Arial" w:ascii="Arial" w:hAnsi="Arial"/>
          <w:bCs/>
          <w:sz w:val="22"/>
          <w:szCs w:val="22"/>
        </w:rPr>
        <w:t>Le nombre de jours de RTT sera fixé annuellement en fonction du calcul suivant :</w:t>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Cs/>
          <w:sz w:val="22"/>
          <w:szCs w:val="22"/>
        </w:rPr>
      </w:pPr>
      <w:r>
        <w:rPr>
          <w:rFonts w:cs="Arial" w:ascii="Arial" w:hAnsi="Arial"/>
          <w:bCs/>
          <w:sz w:val="22"/>
          <w:szCs w:val="22"/>
        </w:rPr>
        <w:t>Nombre de jours calendaires de l’année (365) – Nombre de week-ends (104) – Nombre de jours fériés (variable en fonction de l’année) – nombre de jours de CP (25) – Nombre de jours travaillés par an (212+1).</w:t>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Cs/>
          <w:sz w:val="22"/>
          <w:szCs w:val="22"/>
        </w:rPr>
      </w:pPr>
      <w:r>
        <w:rPr>
          <w:rFonts w:cs="Arial" w:ascii="Arial" w:hAnsi="Arial"/>
          <w:bCs/>
          <w:sz w:val="22"/>
          <w:szCs w:val="22"/>
        </w:rPr>
        <w:t xml:space="preserve">Le nombre de jours de RTT variera en fonction du nombre de jours fériés dans l’année et du nombre de jours effectifs de travail réalisé au cours de l’année. </w:t>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Cs/>
          <w:sz w:val="22"/>
          <w:szCs w:val="22"/>
        </w:rPr>
      </w:pPr>
      <w:r>
        <w:rPr>
          <w:rFonts w:cs="Arial" w:ascii="Arial" w:hAnsi="Arial"/>
          <w:bCs/>
          <w:sz w:val="22"/>
          <w:szCs w:val="22"/>
        </w:rPr>
        <w:t>La possibilité de rachat de jours de RTT est maintenue dans les conditions énoncées dans l’accord des 35 h du 10 janvier 2014 portant ainsi le nombre maximal de jours travaillés à 218 jours.</w:t>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
          <w:b/>
          <w:sz w:val="22"/>
          <w:szCs w:val="22"/>
        </w:rPr>
      </w:pPr>
      <w:r>
        <w:rPr>
          <w:rFonts w:cs="Arial" w:ascii="Arial" w:hAnsi="Arial"/>
          <w:b/>
          <w:sz w:val="22"/>
          <w:szCs w:val="22"/>
        </w:rPr>
        <w:t>Evaluation et suivi régulier de la charge de travail :</w:t>
      </w:r>
    </w:p>
    <w:p>
      <w:pPr>
        <w:pStyle w:val="Normal"/>
        <w:rPr>
          <w:rFonts w:ascii="Arial" w:hAnsi="Arial" w:cs="Arial"/>
          <w:b/>
          <w:b/>
          <w:bCs/>
          <w:sz w:val="22"/>
          <w:szCs w:val="22"/>
        </w:rPr>
      </w:pPr>
      <w:r>
        <w:rPr>
          <w:rFonts w:cs="Arial" w:ascii="Arial" w:hAnsi="Arial"/>
          <w:b/>
          <w:bCs/>
          <w:sz w:val="22"/>
          <w:szCs w:val="22"/>
        </w:rPr>
      </w:r>
    </w:p>
    <w:p>
      <w:pPr>
        <w:pStyle w:val="Normal"/>
        <w:rPr/>
      </w:pPr>
      <w:r>
        <w:rPr>
          <w:rFonts w:cs="Arial" w:ascii="Arial" w:hAnsi="Arial"/>
          <w:bCs/>
          <w:sz w:val="22"/>
          <w:szCs w:val="22"/>
        </w:rPr>
        <w:t>Les salariés concernés devront déclarer leurs demi-journées et journées de travail dans le système de gestion des temps.</w:t>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Cs/>
          <w:sz w:val="22"/>
          <w:szCs w:val="22"/>
        </w:rPr>
      </w:pPr>
      <w:bookmarkStart w:id="1" w:name="_Hlk94535678"/>
      <w:bookmarkEnd w:id="1"/>
      <w:r>
        <w:rPr>
          <w:rFonts w:cs="Arial" w:ascii="Arial" w:hAnsi="Arial"/>
          <w:bCs/>
          <w:sz w:val="22"/>
          <w:szCs w:val="22"/>
        </w:rPr>
        <w:t>Afin d’assurer une charge de travail raisonnable et une bonne répartition de ce travail dans le temps, un suivi régulier sera réalisé par le biais d’un entretien annuel au cours duquel l’équilibre vie personnelle vie professionnelle sera traité.</w:t>
      </w:r>
    </w:p>
    <w:p>
      <w:pPr>
        <w:pStyle w:val="Normal"/>
        <w:rPr>
          <w:rFonts w:ascii="Arial" w:hAnsi="Arial" w:cs="Arial"/>
          <w:bCs/>
          <w:sz w:val="22"/>
          <w:szCs w:val="22"/>
        </w:rPr>
      </w:pPr>
      <w:r>
        <w:rPr>
          <w:rFonts w:cs="Arial" w:ascii="Arial" w:hAnsi="Arial"/>
          <w:bCs/>
          <w:sz w:val="22"/>
          <w:szCs w:val="22"/>
        </w:rPr>
      </w:r>
    </w:p>
    <w:p>
      <w:pPr>
        <w:pStyle w:val="Normal"/>
        <w:rPr/>
      </w:pPr>
      <w:r>
        <w:rPr>
          <w:rFonts w:cs="Arial" w:ascii="Arial" w:hAnsi="Arial"/>
          <w:bCs/>
          <w:sz w:val="22"/>
          <w:szCs w:val="22"/>
        </w:rPr>
        <w:t xml:space="preserve">Bien que non soumis aux durées maximales du temps de travail, il est rappelé que les salariés doivent observer un temps de repos quotidien de 11 heures et hebdomadaire de 35 heures. </w:t>
      </w:r>
    </w:p>
    <w:p>
      <w:pPr>
        <w:pStyle w:val="Normal"/>
        <w:rPr>
          <w:rFonts w:ascii="Arial" w:hAnsi="Arial" w:cs="Arial"/>
          <w:bCs/>
          <w:sz w:val="22"/>
          <w:szCs w:val="22"/>
        </w:rPr>
      </w:pPr>
      <w:r>
        <w:rPr>
          <w:rFonts w:cs="Arial" w:ascii="Arial" w:hAnsi="Arial"/>
          <w:bCs/>
          <w:sz w:val="22"/>
          <w:szCs w:val="22"/>
        </w:rPr>
      </w:r>
    </w:p>
    <w:p>
      <w:pPr>
        <w:pStyle w:val="Normal"/>
        <w:rPr/>
      </w:pPr>
      <w:r>
        <w:rPr>
          <w:rFonts w:cs="Arial" w:ascii="Arial" w:hAnsi="Arial"/>
          <w:bCs/>
          <w:sz w:val="22"/>
          <w:szCs w:val="22"/>
        </w:rPr>
        <w:t>Certaines activités nécessitant la continuité de service ou de production, les parties conviennent que la durée de travail ne peut être supérieure à 9 h consécutives.</w:t>
      </w:r>
    </w:p>
    <w:p>
      <w:pPr>
        <w:pStyle w:val="Normal"/>
        <w:rPr>
          <w:rFonts w:ascii="Lucida Sans Unicode" w:hAnsi="Lucida Sans Unicode" w:cs="Lucida Sans Unicode"/>
          <w:bCs/>
          <w:color w:val="333333"/>
          <w:sz w:val="22"/>
          <w:szCs w:val="22"/>
          <w:shd w:fill="FFFFFF" w:val="clear"/>
        </w:rPr>
      </w:pPr>
      <w:r>
        <w:rPr>
          <w:rFonts w:cs="Lucida Sans Unicode" w:ascii="Lucida Sans Unicode" w:hAnsi="Lucida Sans Unicode"/>
          <w:bCs/>
          <w:color w:val="333333"/>
          <w:sz w:val="22"/>
          <w:szCs w:val="22"/>
          <w:shd w:fill="FFFFFF" w:val="clear"/>
        </w:rPr>
      </w:r>
    </w:p>
    <w:p>
      <w:pPr>
        <w:pStyle w:val="Normal"/>
        <w:rPr>
          <w:rFonts w:ascii="Arial" w:hAnsi="Arial" w:cs="Arial"/>
          <w:bCs/>
          <w:sz w:val="22"/>
          <w:szCs w:val="22"/>
        </w:rPr>
      </w:pPr>
      <w:r>
        <w:rPr>
          <w:rFonts w:cs="Arial" w:ascii="Arial" w:hAnsi="Arial"/>
          <w:bCs/>
          <w:sz w:val="22"/>
          <w:szCs w:val="22"/>
        </w:rPr>
        <w:t>Un avenant au contrat de travail sera établi dans lequel il sera précisé  les termes de cet accord en matière</w:t>
      </w:r>
    </w:p>
    <w:p>
      <w:pPr>
        <w:pStyle w:val="Normal"/>
        <w:numPr>
          <w:ilvl w:val="0"/>
          <w:numId w:val="2"/>
        </w:numPr>
        <w:rPr>
          <w:rFonts w:ascii="Arial" w:hAnsi="Arial" w:cs="Arial"/>
          <w:bCs/>
          <w:sz w:val="22"/>
          <w:szCs w:val="22"/>
        </w:rPr>
      </w:pPr>
      <w:r>
        <w:rPr>
          <w:rFonts w:cs="Arial" w:ascii="Arial" w:hAnsi="Arial"/>
          <w:bCs/>
          <w:sz w:val="22"/>
          <w:szCs w:val="22"/>
        </w:rPr>
        <w:t xml:space="preserve">de temps de travail, </w:t>
      </w:r>
    </w:p>
    <w:p>
      <w:pPr>
        <w:pStyle w:val="Normal"/>
        <w:numPr>
          <w:ilvl w:val="0"/>
          <w:numId w:val="2"/>
        </w:numPr>
        <w:rPr>
          <w:rFonts w:ascii="Arial" w:hAnsi="Arial" w:cs="Arial"/>
          <w:bCs/>
          <w:sz w:val="22"/>
          <w:szCs w:val="22"/>
        </w:rPr>
      </w:pPr>
      <w:r>
        <w:rPr>
          <w:rFonts w:cs="Arial" w:ascii="Arial" w:hAnsi="Arial"/>
          <w:bCs/>
          <w:sz w:val="22"/>
          <w:szCs w:val="22"/>
        </w:rPr>
        <w:t xml:space="preserve">d’évaluation de la charge de travail, </w:t>
      </w:r>
    </w:p>
    <w:p>
      <w:pPr>
        <w:pStyle w:val="Normal"/>
        <w:numPr>
          <w:ilvl w:val="0"/>
          <w:numId w:val="2"/>
        </w:numPr>
        <w:rPr>
          <w:rFonts w:ascii="Arial" w:hAnsi="Arial" w:cs="Arial"/>
          <w:bCs/>
          <w:sz w:val="22"/>
          <w:szCs w:val="22"/>
        </w:rPr>
      </w:pPr>
      <w:r>
        <w:rPr>
          <w:rFonts w:cs="Arial" w:ascii="Arial" w:hAnsi="Arial"/>
          <w:bCs/>
          <w:sz w:val="22"/>
          <w:szCs w:val="22"/>
        </w:rPr>
        <w:t xml:space="preserve">l’articulation entre son activité professionnelle et sa vie personnelle </w:t>
      </w:r>
    </w:p>
    <w:p>
      <w:pPr>
        <w:pStyle w:val="Normal"/>
        <w:numPr>
          <w:ilvl w:val="0"/>
          <w:numId w:val="2"/>
        </w:numPr>
        <w:rPr>
          <w:rFonts w:ascii="Arial" w:hAnsi="Arial" w:cs="Arial"/>
          <w:bCs/>
          <w:sz w:val="22"/>
          <w:szCs w:val="22"/>
        </w:rPr>
      </w:pPr>
      <w:r>
        <w:rPr>
          <w:rFonts w:cs="Arial" w:ascii="Arial" w:hAnsi="Arial"/>
          <w:bCs/>
          <w:sz w:val="22"/>
          <w:szCs w:val="22"/>
        </w:rPr>
        <w:t xml:space="preserve">sa rémunération et organisation du travail. </w:t>
      </w:r>
    </w:p>
    <w:p>
      <w:pPr>
        <w:pStyle w:val="Normal"/>
        <w:numPr>
          <w:ilvl w:val="0"/>
          <w:numId w:val="2"/>
        </w:numPr>
        <w:rPr>
          <w:rFonts w:ascii="Arial" w:hAnsi="Arial" w:cs="Arial"/>
          <w:bCs/>
          <w:sz w:val="22"/>
          <w:szCs w:val="22"/>
        </w:rPr>
      </w:pPr>
      <w:r>
        <w:rPr>
          <w:rFonts w:cs="Arial" w:ascii="Arial" w:hAnsi="Arial"/>
          <w:bCs/>
          <w:sz w:val="22"/>
          <w:szCs w:val="22"/>
        </w:rPr>
        <w:t xml:space="preserve">son droit à la déconnexion </w:t>
      </w:r>
    </w:p>
    <w:p>
      <w:pPr>
        <w:pStyle w:val="Heading2"/>
        <w:numPr>
          <w:ilvl w:val="1"/>
          <w:numId w:val="1"/>
        </w:numPr>
        <w:spacing w:before="480" w:after="60"/>
        <w:rPr/>
      </w:pPr>
      <w:bookmarkStart w:id="2" w:name="_Hlk94535678"/>
      <w:bookmarkEnd w:id="2"/>
      <w:r>
        <w:rPr>
          <w:i w:val="false"/>
          <w:sz w:val="22"/>
          <w:szCs w:val="22"/>
        </w:rPr>
        <w:t>Article 3 – Contingent heures supplémentaires</w:t>
      </w:r>
    </w:p>
    <w:p>
      <w:pPr>
        <w:pStyle w:val="Normal"/>
        <w:rPr>
          <w:i/>
          <w:i/>
          <w:sz w:val="22"/>
          <w:szCs w:val="22"/>
        </w:rPr>
      </w:pPr>
      <w:r>
        <w:rPr>
          <w:i/>
          <w:sz w:val="22"/>
          <w:szCs w:val="22"/>
        </w:rPr>
      </w:r>
    </w:p>
    <w:p>
      <w:pPr>
        <w:pStyle w:val="Normal"/>
        <w:rPr>
          <w:rFonts w:ascii="Arial" w:hAnsi="Arial" w:cs="Arial"/>
          <w:bCs/>
          <w:sz w:val="22"/>
          <w:szCs w:val="22"/>
        </w:rPr>
      </w:pPr>
      <w:r>
        <w:rPr>
          <w:rFonts w:cs="Arial" w:ascii="Arial" w:hAnsi="Arial"/>
          <w:bCs/>
          <w:sz w:val="22"/>
          <w:szCs w:val="22"/>
        </w:rPr>
        <w:t xml:space="preserve">L’activité service requiert une grande disponibilité de la part de nos agents affectés à l’activité lavage de bacs, pose de colonnes et maintenance de produits d’apport volontaire. L’activité se réalisant sur des chantiers éloignés du lieu de travail, les parties conviennent de porter le contingent annuel d’heures supplémentaires à 300 heures par an. </w:t>
      </w:r>
    </w:p>
    <w:p>
      <w:pPr>
        <w:pStyle w:val="Normal"/>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rPr>
      </w:pPr>
      <w:r>
        <w:rPr>
          <w:rFonts w:cs="Arial" w:ascii="Arial" w:hAnsi="Arial"/>
          <w:sz w:val="22"/>
          <w:szCs w:val="22"/>
        </w:rPr>
        <w:t>La rémunération des heures supplémentaires reste inchangée.</w:t>
      </w:r>
    </w:p>
    <w:p>
      <w:pPr>
        <w:pStyle w:val="Normal"/>
        <w:jc w:val="both"/>
        <w:rPr>
          <w:rFonts w:ascii="Arial" w:hAnsi="Arial" w:cs="Arial"/>
          <w:sz w:val="22"/>
          <w:szCs w:val="22"/>
        </w:rPr>
      </w:pPr>
      <w:r>
        <w:rPr>
          <w:rFonts w:cs="Arial" w:ascii="Arial" w:hAnsi="Arial"/>
          <w:sz w:val="22"/>
          <w:szCs w:val="22"/>
        </w:rPr>
      </w:r>
    </w:p>
    <w:p>
      <w:pPr>
        <w:pStyle w:val="Normal"/>
        <w:rPr/>
      </w:pPr>
      <w:r>
        <w:rPr>
          <w:rFonts w:cs="Arial" w:ascii="Arial" w:hAnsi="Arial"/>
          <w:b/>
          <w:sz w:val="22"/>
          <w:szCs w:val="22"/>
        </w:rPr>
        <w:t xml:space="preserve">Article 4 – Prime Panier </w:t>
      </w:r>
    </w:p>
    <w:p>
      <w:pPr>
        <w:pStyle w:val="Normal"/>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t>Il est convenu de faire évoluer le montant de la prime panier jour/nuit/chantier de la façon suivante :</w:t>
      </w:r>
    </w:p>
    <w:p>
      <w:pPr>
        <w:pStyle w:val="Normal"/>
        <w:jc w:val="both"/>
        <w:rPr>
          <w:rFonts w:ascii="Arial" w:hAnsi="Arial" w:cs="Arial"/>
          <w:sz w:val="22"/>
          <w:szCs w:val="22"/>
        </w:rPr>
      </w:pPr>
      <w:r>
        <w:rPr>
          <w:rFonts w:cs="Arial" w:ascii="Arial" w:hAnsi="Arial"/>
          <w:sz w:val="22"/>
          <w:szCs w:val="22"/>
        </w:rPr>
      </w:r>
    </w:p>
    <w:p>
      <w:pPr>
        <w:pStyle w:val="Normal"/>
        <w:numPr>
          <w:ilvl w:val="0"/>
          <w:numId w:val="4"/>
        </w:numPr>
        <w:jc w:val="both"/>
        <w:rPr/>
      </w:pPr>
      <w:r>
        <w:rPr>
          <w:rFonts w:cs="Arial" w:ascii="Arial" w:hAnsi="Arial"/>
          <w:sz w:val="22"/>
          <w:szCs w:val="22"/>
        </w:rPr>
        <w:t>Panier jour : 6,80€ au lieu de 6.70€ soit une augmentation de 0,10 centimes</w:t>
      </w:r>
    </w:p>
    <w:p>
      <w:pPr>
        <w:pStyle w:val="Normal"/>
        <w:numPr>
          <w:ilvl w:val="0"/>
          <w:numId w:val="4"/>
        </w:numPr>
        <w:jc w:val="both"/>
        <w:rPr/>
      </w:pPr>
      <w:r>
        <w:rPr>
          <w:rFonts w:cs="Arial" w:ascii="Arial" w:hAnsi="Arial"/>
          <w:sz w:val="22"/>
          <w:szCs w:val="22"/>
        </w:rPr>
        <w:t>Panier nuit : 6,80€ au lieu de 6.70€ soit une augmentation de 0,10 centimes</w:t>
      </w:r>
    </w:p>
    <w:p>
      <w:pPr>
        <w:pStyle w:val="Normal"/>
        <w:numPr>
          <w:ilvl w:val="0"/>
          <w:numId w:val="4"/>
        </w:numPr>
        <w:jc w:val="both"/>
        <w:rPr/>
      </w:pPr>
      <w:r>
        <w:rPr>
          <w:rFonts w:cs="Arial" w:ascii="Arial" w:hAnsi="Arial"/>
          <w:sz w:val="22"/>
          <w:szCs w:val="22"/>
        </w:rPr>
        <w:t>Panier chantier : 9,50€ au lieu de 9,40 € soit une augmentation de 0,10 centimes</w:t>
      </w:r>
    </w:p>
    <w:p>
      <w:pPr>
        <w:pStyle w:val="Normal"/>
        <w:jc w:val="both"/>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Article 5 – Tickets restaurant</w:t>
      </w:r>
    </w:p>
    <w:p>
      <w:pPr>
        <w:pStyle w:val="Normal"/>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t>La valeur du ticket restaurant sera augmentée de 0,15 centimes (à compter du 1</w:t>
      </w:r>
      <w:r>
        <w:rPr>
          <w:rFonts w:cs="Arial" w:ascii="Arial" w:hAnsi="Arial"/>
          <w:sz w:val="22"/>
          <w:szCs w:val="22"/>
          <w:vertAlign w:val="superscript"/>
        </w:rPr>
        <w:t>er</w:t>
      </w:r>
      <w:r>
        <w:rPr>
          <w:rFonts w:cs="Arial" w:ascii="Arial" w:hAnsi="Arial"/>
          <w:sz w:val="22"/>
          <w:szCs w:val="22"/>
        </w:rPr>
        <w:t xml:space="preserve"> février).</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Les parties conviennent de la nécessité de revoir l’accord sur l’équilibre femme homme et le droit à la déconnexion, de négocier un accord d’entreprise sur la mise en place du télétravail, des astreintes, d’un PERCO avec avenant à l’accord sur le Compte Epargne Temps.</w:t>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Fait à Crissey, le 31 janvier 2022 – en trois exemplaires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Pour la société ESE FRANCE</w:t>
        <w:tab/>
        <w:tab/>
      </w:r>
      <w:r>
        <w:rPr>
          <w:rFonts w:cs="Arial" w:ascii="Arial" w:hAnsi="Arial"/>
          <w:b/>
          <w:bCs/>
          <w:sz w:val="22"/>
          <w:szCs w:val="22"/>
        </w:rPr>
        <w:tab/>
        <w:tab/>
        <w:t xml:space="preserve">      </w:t>
        <w:tab/>
      </w:r>
    </w:p>
    <w:p>
      <w:pPr>
        <w:pStyle w:val="Normal"/>
        <w:ind w:left="708" w:hanging="708"/>
        <w:rPr>
          <w:rFonts w:ascii="Arial" w:hAnsi="Arial" w:cs="Arial"/>
          <w:b/>
          <w:b/>
          <w:bCs/>
          <w:sz w:val="22"/>
          <w:szCs w:val="22"/>
        </w:rPr>
      </w:pPr>
      <w:r>
        <w:rPr>
          <w:rFonts w:cs="Arial" w:ascii="Arial" w:hAnsi="Arial"/>
          <w:b/>
          <w:bCs/>
          <w:sz w:val="22"/>
          <w:szCs w:val="22"/>
        </w:rPr>
        <w:tab/>
        <w:tab/>
        <w:tab/>
      </w:r>
    </w:p>
    <w:p>
      <w:pPr>
        <w:pStyle w:val="Normal"/>
        <w:ind w:left="708" w:hanging="708"/>
        <w:rPr>
          <w:rFonts w:ascii="Arial" w:hAnsi="Arial" w:cs="Arial"/>
          <w:b/>
          <w:b/>
          <w:bCs/>
          <w:sz w:val="22"/>
          <w:szCs w:val="22"/>
        </w:rPr>
      </w:pPr>
      <w:r>
        <w:rPr>
          <w:rFonts w:cs="Arial" w:ascii="Arial" w:hAnsi="Arial"/>
          <w:b/>
          <w:bCs/>
          <w:sz w:val="22"/>
          <w:szCs w:val="22"/>
        </w:rPr>
      </w:r>
    </w:p>
    <w:p>
      <w:pPr>
        <w:pStyle w:val="Normal"/>
        <w:ind w:left="708" w:hanging="708"/>
        <w:rPr>
          <w:rFonts w:ascii="Arial" w:hAnsi="Arial" w:cs="Arial"/>
          <w:bCs/>
          <w:sz w:val="22"/>
          <w:szCs w:val="22"/>
        </w:rPr>
      </w:pPr>
      <w:r>
        <w:rPr>
          <w:rFonts w:cs="Arial" w:ascii="Arial" w:hAnsi="Arial"/>
          <w:bCs/>
          <w:sz w:val="22"/>
          <w:szCs w:val="22"/>
        </w:rPr>
        <w:tab/>
        <w:tab/>
        <w:tab/>
        <w:tab/>
        <w:tab/>
        <w:tab/>
      </w:r>
    </w:p>
    <w:p>
      <w:pPr>
        <w:pStyle w:val="Normal"/>
        <w:jc w:val="both"/>
        <w:rPr>
          <w:rFonts w:ascii="Arial" w:hAnsi="Arial" w:cs="Arial"/>
          <w:sz w:val="22"/>
          <w:szCs w:val="22"/>
        </w:rPr>
      </w:pPr>
      <w:r>
        <w:rPr>
          <w:rFonts w:cs="Arial" w:ascii="Arial" w:hAnsi="Arial"/>
          <w:b/>
          <w:sz w:val="22"/>
          <w:szCs w:val="22"/>
        </w:rPr>
        <w:t>Pour Sud Solidaires</w:t>
        <w:tab/>
        <w:tab/>
        <w:tab/>
        <w:tab/>
        <w:tab/>
        <w:tab/>
        <w:tab/>
      </w:r>
      <w:r>
        <w:rPr>
          <w:rFonts w:cs="Arial" w:ascii="Arial" w:hAnsi="Arial"/>
          <w:b/>
          <w:bCs/>
          <w:sz w:val="22"/>
          <w:szCs w:val="22"/>
        </w:rPr>
        <w:t>Pour Force Ouvrière</w:t>
      </w:r>
    </w:p>
    <w:p>
      <w:pPr>
        <w:pStyle w:val="Normal"/>
        <w:rPr>
          <w:rFonts w:ascii="Arial" w:hAnsi="Arial" w:cs="Arial"/>
          <w:b/>
          <w:b/>
          <w:sz w:val="22"/>
          <w:szCs w:val="22"/>
        </w:rPr>
      </w:pPr>
      <w:r>
        <w:rPr>
          <w:rFonts w:cs="Arial" w:ascii="Arial" w:hAnsi="Arial"/>
          <w:b/>
          <w:bCs/>
          <w:sz w:val="22"/>
          <w:szCs w:val="22"/>
        </w:rPr>
        <w:t>Le délégué syndical</w:t>
      </w:r>
      <w:r>
        <w:rPr>
          <w:rFonts w:cs="Arial" w:ascii="Arial" w:hAnsi="Arial"/>
          <w:sz w:val="22"/>
          <w:szCs w:val="22"/>
        </w:rPr>
        <w:tab/>
        <w:tab/>
        <w:tab/>
        <w:tab/>
        <w:tab/>
        <w:tab/>
        <w:tab/>
      </w:r>
      <w:r>
        <w:rPr>
          <w:rFonts w:cs="Arial" w:ascii="Arial" w:hAnsi="Arial"/>
          <w:b/>
          <w:sz w:val="22"/>
          <w:szCs w:val="22"/>
        </w:rPr>
        <w:t>Le délégué syndical</w:t>
      </w:r>
    </w:p>
    <w:p>
      <w:pPr>
        <w:pStyle w:val="Normal"/>
        <w:jc w:val="both"/>
        <w:rPr>
          <w:rFonts w:ascii="Arial" w:hAnsi="Arial" w:cs="Arial"/>
          <w:sz w:val="20"/>
          <w:szCs w:val="22"/>
        </w:rPr>
      </w:pPr>
      <w:r>
        <w:rPr>
          <w:rFonts w:cs="Arial" w:ascii="Arial" w:hAnsi="Arial"/>
          <w:sz w:val="22"/>
          <w:szCs w:val="22"/>
        </w:rPr>
        <w:tab/>
        <w:tab/>
      </w:r>
      <w:r>
        <w:rPr>
          <w:rFonts w:cs="Arial" w:ascii="Arial" w:hAnsi="Arial"/>
          <w:sz w:val="20"/>
          <w:szCs w:val="22"/>
        </w:rPr>
        <w:tab/>
        <w:tab/>
        <w:tab/>
      </w:r>
    </w:p>
    <w:sectPr>
      <w:headerReference w:type="default" r:id="rId2"/>
      <w:footerReference w:type="default" r:id="rId3"/>
      <w:type w:val="nextPage"/>
      <w:pgSz w:w="11906" w:h="16838"/>
      <w:pgMar w:left="1417" w:right="1417" w:header="709" w:top="1417" w:footer="709"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Segoe UI">
    <w:charset w:val="00"/>
    <w:family w:val="swiss"/>
    <w:pitch w:val="variable"/>
  </w:font>
  <w:font w:name="Liberation Sans">
    <w:altName w:val="Arial"/>
    <w:charset w:val="01"/>
    <w:family w:val="swiss"/>
    <w:pitch w:val="variable"/>
  </w:font>
  <w:font w:name="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color w:val="808080"/>
        <w:sz w:val="18"/>
        <w:szCs w:val="18"/>
      </w:rPr>
      <w:t xml:space="preserve"> </w:t>
    </w:r>
    <w:r>
      <w:rPr>
        <w:color w:val="808080"/>
        <w:sz w:val="18"/>
        <w:szCs w:val="18"/>
      </w:rPr>
      <w:t xml:space="preserve">42 rue Paul Sabatier - B.P 40329 - 71108 CHALON SUR SAONE CEDEX -  Tel : 03.85.47.27.00 - Fax : 03.85.47.27.19 </w:t>
    </w:r>
    <w:r>
      <w:rPr>
        <w:color w:val="808080"/>
        <w:sz w:val="20"/>
        <w:szCs w:val="20"/>
      </w:rPr>
      <w:t xml:space="preserve"> S.A. au capital  de 16 221 900 € - RCS CHALON SUR SAONE  321 819 112 - SIRET 321 819 112 00483 - APE 4669B TVA intracommunautaire : FR 52 321 819 112</w:t>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3"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4</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447.5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inline distT="0" distB="0" distL="0" distR="0">
          <wp:extent cx="1925955" cy="61912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1"/>
                  <a:srcRect l="-10" t="-32" r="-10" b="-32"/>
                  <a:stretch>
                    <a:fillRect/>
                  </a:stretch>
                </pic:blipFill>
                <pic:spPr bwMode="auto">
                  <a:xfrm>
                    <a:off x="0" y="0"/>
                    <a:ext cx="1925955" cy="6191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ind w:left="720" w:hanging="360"/>
      </w:pPr>
      <w:rPr>
        <w:rFonts w:ascii="Arial" w:hAnsi="Arial" w:cs="Arial" w:hint="default"/>
        <w:sz w:val="22"/>
        <w:szCs w:val="22"/>
        <w:rFonts w:cs="Arial"/>
      </w:rPr>
    </w:lvl>
  </w:abstractNum>
  <w:abstractNum w:abstractNumId="3">
    <w:lvl w:ilvl="0">
      <w:start w:val="1"/>
      <w:numFmt w:val="bullet"/>
      <w:lvlText w:val=""/>
      <w:lvlJc w:val="left"/>
      <w:pPr>
        <w:tabs>
          <w:tab w:val="num" w:pos="720"/>
        </w:tabs>
        <w:ind w:left="720" w:hanging="360"/>
      </w:pPr>
      <w:rPr>
        <w:rFonts w:ascii="Symbol" w:hAnsi="Symbol" w:cs="Symbol" w:hint="default"/>
        <w:sz w:val="22"/>
        <w:szCs w:val="22"/>
        <w:rFonts w:cs="Symbol"/>
      </w:rPr>
    </w:lvl>
  </w:abstractNum>
  <w:abstractNum w:abstractNumId="4">
    <w:lvl w:ilvl="0">
      <w:start w:val="6"/>
      <w:numFmt w:val="bullet"/>
      <w:lvlText w:val="-"/>
      <w:lvlJc w:val="left"/>
      <w:pPr>
        <w:ind w:left="720" w:hanging="360"/>
      </w:pPr>
      <w:rPr>
        <w:rFonts w:ascii="Calibri" w:hAnsi="Calibri" w:cs="Calibri" w:hint="default"/>
        <w:sz w:val="22"/>
        <w:szCs w:val="22"/>
        <w:rFonts w:cs="Calibri"/>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Times New Roman" w:cs="Arial"/>
      <w:sz w:val="22"/>
      <w:szCs w:val="22"/>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Calibri" w:hAnsi="Calibri" w:eastAsia="Times New Roman" w:cs="Calibri"/>
      <w:sz w:val="22"/>
      <w:szCs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Policepardfaut">
    <w:name w:val="Police par défaut"/>
    <w:qFormat/>
    <w:rPr/>
  </w:style>
  <w:style w:type="character" w:styleId="PageNumber">
    <w:name w:val="Page Number"/>
    <w:basedOn w:val="Policepardfaut"/>
    <w:rPr/>
  </w:style>
  <w:style w:type="character" w:styleId="St1">
    <w:name w:val="st1"/>
    <w:basedOn w:val="Policepardfaut"/>
    <w:qFormat/>
    <w:rPr/>
  </w:style>
  <w:style w:type="character" w:styleId="EntteCar">
    <w:name w:val="En-tête Car"/>
    <w:qFormat/>
    <w:rPr>
      <w:sz w:val="24"/>
      <w:szCs w:val="24"/>
    </w:rPr>
  </w:style>
  <w:style w:type="character" w:styleId="TextedebullesCar">
    <w:name w:val="Texte de bulles Car"/>
    <w:qFormat/>
    <w:rPr>
      <w:rFonts w:ascii="Segoe UI" w:hAnsi="Segoe UI" w:cs="Segoe UI"/>
      <w:sz w:val="18"/>
      <w:szCs w:val="18"/>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P14">
    <w:name w:val="p14"/>
    <w:basedOn w:val="Normal"/>
    <w:qFormat/>
    <w:pPr>
      <w:tabs>
        <w:tab w:val="left" w:pos="720" w:leader="none"/>
      </w:tabs>
      <w:overflowPunct w:val="false"/>
      <w:autoSpaceDE w:val="false"/>
      <w:spacing w:lineRule="atLeast" w:line="260"/>
      <w:jc w:val="both"/>
      <w:textAlignment w:val="baseline"/>
    </w:pPr>
    <w:rPr>
      <w:szCs w:val="20"/>
    </w:rPr>
  </w:style>
  <w:style w:type="paragraph" w:styleId="Header">
    <w:name w:val="Header"/>
    <w:basedOn w:val="Normal"/>
    <w:pPr>
      <w:tabs>
        <w:tab w:val="center" w:pos="4536" w:leader="none"/>
        <w:tab w:val="right" w:pos="9072" w:leader="none"/>
      </w:tabs>
    </w:pPr>
    <w:rPr/>
  </w:style>
  <w:style w:type="paragraph" w:styleId="Textedebulles">
    <w:name w:val="Texte de bulles"/>
    <w:basedOn w:val="Normal"/>
    <w:qFormat/>
    <w:pPr/>
    <w:rPr>
      <w:rFonts w:ascii="Segoe UI" w:hAnsi="Segoe UI" w:cs="Segoe UI"/>
      <w:sz w:val="18"/>
      <w:szCs w:val="18"/>
    </w:rPr>
  </w:style>
  <w:style w:type="paragraph" w:styleId="NormalWeb">
    <w:name w:val="Normal (Web)"/>
    <w:basedOn w:val="Normal"/>
    <w:qFormat/>
    <w:pPr>
      <w:spacing w:before="280" w:after="28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2022-02-10T17:40:00Z</dcterms:created>
  <dc:creator/>
  <dc:description/>
  <dc:language>en-GB</dc:language>
  <cp:lastModifiedBy/>
  <cp:lastPrinted>2022-01-31T09:43:00Z</cp:lastPrinted>
  <dcterms:modified xsi:type="dcterms:W3CDTF">2022-02-10T17:40:00Z</dcterms:modified>
  <cp:revision>3</cp:revision>
  <dc:subject/>
  <dc:title>CITEC ENVIRONNEMENT</dc:title>
</cp:coreProperties>
</file>