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pPr>
      <w:r>
        <w:rPr/>
      </w:r>
    </w:p>
    <w:p>
      <w:pPr>
        <w:pStyle w:val="Heading1"/>
        <w:numPr>
          <w:ilvl w:val="0"/>
          <w:numId w:val="1"/>
        </w:numPr>
        <w:rPr/>
      </w:pPr>
      <w:r>
        <w:rPr>
          <w:rFonts w:eastAsia="Century"/>
        </w:rPr>
        <w:t xml:space="preserve">      </w:t>
      </w:r>
      <w:r>
        <w:rPr/>
        <w:t>Négociations Annuelles Obligatoires 2022       Protocole d’Accord préliminaire</w:t>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rPr>
      </w:r>
    </w:p>
    <w:p>
      <w:pPr>
        <w:pStyle w:val="Normal"/>
        <w:rPr>
          <w:rFonts w:ascii="Century" w:hAnsi="Century" w:cs="Century"/>
          <w:b/>
          <w:b/>
          <w:u w:val="single"/>
        </w:rPr>
      </w:pPr>
      <w:r>
        <w:rPr>
          <w:rFonts w:cs="Century" w:ascii="Century" w:hAnsi="Century"/>
          <w:b/>
          <w:u w:val="single"/>
        </w:rPr>
        <w:t>Entre :</w:t>
      </w:r>
    </w:p>
    <w:p>
      <w:pPr>
        <w:pStyle w:val="Normal"/>
        <w:rPr>
          <w:rFonts w:ascii="Century" w:hAnsi="Century" w:cs="Century"/>
          <w:b/>
          <w:b/>
          <w:sz w:val="20"/>
          <w:szCs w:val="20"/>
          <w:u w:val="single"/>
        </w:rPr>
      </w:pPr>
      <w:r>
        <w:rPr>
          <w:rFonts w:cs="Century" w:ascii="Century" w:hAnsi="Century"/>
          <w:b/>
          <w:sz w:val="20"/>
          <w:szCs w:val="20"/>
          <w:u w:val="single"/>
        </w:rPr>
      </w:r>
    </w:p>
    <w:p>
      <w:pPr>
        <w:pStyle w:val="Normal"/>
        <w:jc w:val="both"/>
        <w:rPr>
          <w:rFonts w:ascii="Century" w:hAnsi="Century" w:cs="Century"/>
          <w:b/>
          <w:b/>
        </w:rPr>
      </w:pPr>
      <w:r>
        <w:rPr>
          <w:rFonts w:cs="Century" w:ascii="Century" w:hAnsi="Century"/>
          <w:b/>
        </w:rPr>
        <w:t xml:space="preserve">, </w:t>
      </w:r>
      <w:r>
        <w:rPr>
          <w:rFonts w:cs="Century" w:ascii="Century" w:hAnsi="Century"/>
        </w:rPr>
        <w:t>Société Anonyme</w:t>
      </w:r>
      <w:r>
        <w:rPr>
          <w:rFonts w:cs="Century" w:ascii="Century" w:hAnsi="Century"/>
          <w:b/>
        </w:rPr>
        <w:t xml:space="preserve">, </w:t>
      </w:r>
      <w:r>
        <w:rPr>
          <w:rFonts w:cs="Century" w:ascii="Century" w:hAnsi="Century"/>
        </w:rPr>
        <w:t>dont le siège social est situé ci-après désignée « la Direction ».</w:t>
      </w:r>
    </w:p>
    <w:p>
      <w:pPr>
        <w:pStyle w:val="Normal"/>
        <w:jc w:val="both"/>
        <w:rPr>
          <w:rFonts w:ascii="Century" w:hAnsi="Century" w:cs="Century"/>
          <w:b/>
          <w:b/>
        </w:rPr>
      </w:pPr>
      <w:r>
        <w:rPr>
          <w:rFonts w:cs="Century" w:ascii="Century" w:hAnsi="Century"/>
          <w:b/>
        </w:rPr>
      </w:r>
    </w:p>
    <w:p>
      <w:pPr>
        <w:pStyle w:val="Normal"/>
        <w:jc w:val="both"/>
        <w:rPr>
          <w:rFonts w:ascii="Century" w:hAnsi="Century" w:cs="Century"/>
        </w:rPr>
      </w:pPr>
      <w:r>
        <w:rPr>
          <w:rFonts w:cs="Century" w:ascii="Century" w:hAnsi="Century"/>
        </w:rPr>
        <w:t>Représentée par Monsieur, expressément mandaté par le Conseil d’Administration de aux fins de mener la négociation annuelle obligatoire 2022  et de signer le présent procès-verbal d’accord.</w:t>
      </w:r>
    </w:p>
    <w:p>
      <w:pPr>
        <w:pStyle w:val="Normal"/>
        <w:rPr>
          <w:rFonts w:ascii="Century" w:hAnsi="Century" w:cs="Century"/>
        </w:rPr>
      </w:pPr>
      <w:r>
        <w:rPr>
          <w:rFonts w:cs="Century" w:ascii="Century" w:hAnsi="Century"/>
        </w:rPr>
      </w:r>
    </w:p>
    <w:p>
      <w:pPr>
        <w:pStyle w:val="Normal"/>
        <w:jc w:val="right"/>
        <w:rPr>
          <w:rFonts w:ascii="Century" w:hAnsi="Century" w:cs="Century"/>
          <w:b/>
          <w:b/>
          <w:i/>
          <w:i/>
        </w:rPr>
      </w:pPr>
      <w:r>
        <w:rPr>
          <w:rFonts w:cs="Century" w:ascii="Century" w:hAnsi="Century"/>
          <w:b/>
          <w:i/>
        </w:rPr>
        <w:tab/>
        <w:t>D’une part,</w:t>
      </w:r>
    </w:p>
    <w:p>
      <w:pPr>
        <w:pStyle w:val="Normal"/>
        <w:rPr>
          <w:rFonts w:ascii="Century" w:hAnsi="Century" w:cs="Century"/>
          <w:b/>
          <w:b/>
          <w:i/>
          <w:i/>
        </w:rPr>
      </w:pPr>
      <w:r>
        <w:rPr>
          <w:rFonts w:cs="Century" w:ascii="Century" w:hAnsi="Century"/>
          <w:b/>
          <w:i/>
        </w:rPr>
      </w:r>
    </w:p>
    <w:p>
      <w:pPr>
        <w:pStyle w:val="Normal"/>
        <w:rPr>
          <w:rFonts w:ascii="Century" w:hAnsi="Century" w:cs="Century"/>
          <w:b/>
          <w:b/>
          <w:u w:val="single"/>
        </w:rPr>
      </w:pPr>
      <w:r>
        <w:rPr>
          <w:rFonts w:cs="Century" w:ascii="Century" w:hAnsi="Century"/>
          <w:b/>
          <w:u w:val="single"/>
        </w:rPr>
        <w:t>Et :</w:t>
      </w:r>
    </w:p>
    <w:p>
      <w:pPr>
        <w:pStyle w:val="Normal"/>
        <w:rPr>
          <w:rFonts w:ascii="Century" w:hAnsi="Century" w:cs="Century"/>
          <w:b/>
          <w:b/>
          <w:sz w:val="20"/>
          <w:szCs w:val="20"/>
          <w:u w:val="single"/>
        </w:rPr>
      </w:pPr>
      <w:r>
        <w:rPr>
          <w:rFonts w:cs="Century" w:ascii="Century" w:hAnsi="Century"/>
          <w:b/>
          <w:sz w:val="20"/>
          <w:szCs w:val="20"/>
          <w:u w:val="single"/>
        </w:rPr>
      </w:r>
    </w:p>
    <w:p>
      <w:pPr>
        <w:pStyle w:val="Normal"/>
        <w:rPr>
          <w:rFonts w:ascii="Century" w:hAnsi="Century" w:cs="Century"/>
          <w:b/>
          <w:b/>
        </w:rPr>
      </w:pPr>
      <w:r>
        <w:rPr>
          <w:rFonts w:cs="Century" w:ascii="Century" w:hAnsi="Century"/>
          <w:b/>
        </w:rPr>
        <w:t>L’organisation syndicale</w:t>
      </w:r>
    </w:p>
    <w:p>
      <w:pPr>
        <w:pStyle w:val="Normal"/>
        <w:rPr>
          <w:rFonts w:ascii="Century" w:hAnsi="Century" w:cs="Century"/>
        </w:rPr>
      </w:pPr>
      <w:r>
        <w:rPr>
          <w:rFonts w:cs="Century" w:ascii="Century" w:hAnsi="Century"/>
        </w:rPr>
        <w:t>Représentée par Monsieur , Délégué Syndical.</w:t>
      </w:r>
    </w:p>
    <w:p>
      <w:pPr>
        <w:pStyle w:val="Normal"/>
        <w:rPr>
          <w:rFonts w:ascii="Century" w:hAnsi="Century" w:cs="Century"/>
        </w:rPr>
      </w:pPr>
      <w:r>
        <w:rPr>
          <w:rFonts w:cs="Century" w:ascii="Century" w:hAnsi="Century"/>
        </w:rPr>
      </w:r>
    </w:p>
    <w:p>
      <w:pPr>
        <w:pStyle w:val="Normal"/>
        <w:jc w:val="right"/>
        <w:rPr>
          <w:rFonts w:ascii="Century" w:hAnsi="Century" w:cs="Century"/>
          <w:b/>
          <w:b/>
          <w:i/>
          <w:i/>
        </w:rPr>
      </w:pPr>
      <w:r>
        <w:rPr>
          <w:rFonts w:cs="Century" w:ascii="Century" w:hAnsi="Century"/>
          <w:b/>
          <w:i/>
        </w:rPr>
        <w:t>D’autre part,</w:t>
      </w:r>
    </w:p>
    <w:p>
      <w:pPr>
        <w:pStyle w:val="Normal"/>
        <w:rPr>
          <w:rFonts w:ascii="Century" w:hAnsi="Century" w:cs="Century"/>
          <w:b/>
          <w:b/>
          <w:i/>
          <w:i/>
        </w:rPr>
      </w:pPr>
      <w:r>
        <w:rPr>
          <w:rFonts w:cs="Century" w:ascii="Century" w:hAnsi="Century"/>
          <w:b/>
          <w:i/>
        </w:rPr>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b/>
          <w:bCs/>
          <w:u w:val="single"/>
        </w:rPr>
        <w:t>Préambule :</w:t>
      </w:r>
    </w:p>
    <w:p>
      <w:pPr>
        <w:pStyle w:val="Normal"/>
        <w:jc w:val="both"/>
        <w:rPr>
          <w:rFonts w:ascii="Century" w:hAnsi="Century" w:cs="Century"/>
        </w:rPr>
      </w:pPr>
      <w:r>
        <w:rPr>
          <w:rFonts w:cs="Century" w:ascii="Century" w:hAnsi="Century"/>
        </w:rPr>
      </w:r>
    </w:p>
    <w:p>
      <w:pPr>
        <w:pStyle w:val="Normal"/>
        <w:jc w:val="both"/>
        <w:rPr>
          <w:rFonts w:ascii="Century" w:hAnsi="Century" w:cs="Century"/>
        </w:rPr>
      </w:pPr>
      <w:r>
        <w:rPr>
          <w:rFonts w:cs="Century" w:ascii="Century" w:hAnsi="Century"/>
        </w:rPr>
      </w:r>
    </w:p>
    <w:p>
      <w:pPr>
        <w:pStyle w:val="Normal"/>
        <w:jc w:val="both"/>
        <w:rPr>
          <w:rFonts w:ascii="Century" w:hAnsi="Century" w:cs="Century"/>
        </w:rPr>
      </w:pPr>
      <w:r>
        <w:rPr>
          <w:rFonts w:cs="Century" w:ascii="Century" w:hAnsi="Century"/>
        </w:rPr>
        <w:t>L’organisation syndicale  représentative dans l’entreprise a été invitée à cette Négociation Annuelle Obligatoire par lettre remise en mains propres auprès de son délégué syndical en date du 06 janvier 2022.</w:t>
      </w:r>
    </w:p>
    <w:p>
      <w:pPr>
        <w:pStyle w:val="Normal"/>
        <w:jc w:val="both"/>
        <w:rPr>
          <w:rFonts w:ascii="Century" w:hAnsi="Century" w:cs="Century"/>
        </w:rPr>
      </w:pPr>
      <w:r>
        <w:rPr>
          <w:rFonts w:cs="Century" w:ascii="Century" w:hAnsi="Century"/>
        </w:rPr>
      </w:r>
    </w:p>
    <w:p>
      <w:pPr>
        <w:pStyle w:val="Normal"/>
        <w:jc w:val="both"/>
        <w:rPr>
          <w:rFonts w:ascii="Century" w:hAnsi="Century" w:cs="Century"/>
        </w:rPr>
      </w:pPr>
      <w:r>
        <w:rPr>
          <w:rFonts w:cs="Century" w:ascii="Century" w:hAnsi="Century"/>
        </w:rPr>
        <w:t>Dans le cadre de la négociation annuelle obligatoire 2022 prévue aux articles L.2242-8 et l.2242-11 du Code du Travail, la direction et la délégation de l’organisation syndicale CGT se sont rencontrées lors de la 1</w:t>
      </w:r>
      <w:r>
        <w:rPr>
          <w:rFonts w:cs="Century" w:ascii="Century" w:hAnsi="Century"/>
          <w:vertAlign w:val="superscript"/>
        </w:rPr>
        <w:t>ère</w:t>
      </w:r>
      <w:r>
        <w:rPr>
          <w:rFonts w:cs="Century" w:ascii="Century" w:hAnsi="Century"/>
        </w:rPr>
        <w:t xml:space="preserve"> réunion le 21 janvier 2022.</w:t>
      </w:r>
    </w:p>
    <w:p>
      <w:pPr>
        <w:pStyle w:val="Normal"/>
        <w:jc w:val="both"/>
        <w:rPr>
          <w:rFonts w:ascii="Century" w:hAnsi="Century" w:cs="Century"/>
        </w:rPr>
      </w:pPr>
      <w:r>
        <w:rPr>
          <w:rFonts w:cs="Century" w:ascii="Century" w:hAnsi="Century"/>
        </w:rPr>
      </w:r>
    </w:p>
    <w:p>
      <w:pPr>
        <w:pStyle w:val="Normal"/>
        <w:jc w:val="both"/>
        <w:rPr>
          <w:rFonts w:ascii="Century" w:hAnsi="Century" w:cs="Century"/>
          <w:bCs/>
        </w:rPr>
      </w:pPr>
      <w:r>
        <w:rPr>
          <w:rFonts w:cs="Century" w:ascii="Century" w:hAnsi="Century"/>
          <w:bCs/>
        </w:rPr>
        <w:t xml:space="preserve">Avant d’entamer ces négociations, les parties ont convenu cet accord préliminaire. </w:t>
      </w:r>
    </w:p>
    <w:p>
      <w:pPr>
        <w:pStyle w:val="Normal"/>
        <w:jc w:val="both"/>
        <w:rPr>
          <w:rFonts w:ascii="Century" w:hAnsi="Century" w:cs="Century"/>
          <w:bCs/>
          <w:strike/>
        </w:rPr>
      </w:pPr>
      <w:r>
        <w:rPr>
          <w:rFonts w:cs="Century" w:ascii="Century" w:hAnsi="Century"/>
          <w:bCs/>
          <w:strike/>
        </w:rPr>
      </w:r>
    </w:p>
    <w:p>
      <w:pPr>
        <w:pStyle w:val="Normal"/>
        <w:jc w:val="both"/>
        <w:rPr>
          <w:rFonts w:ascii="Century" w:hAnsi="Century" w:cs="Century"/>
        </w:rPr>
      </w:pPr>
      <w:r>
        <w:rPr>
          <w:rFonts w:cs="Century" w:ascii="Century" w:hAnsi="Century"/>
        </w:rPr>
        <w:t>Le présent procès-verbal d’accord a donc été établi en application des dispositions de l’article L 2242-4 du Code du Travail.</w:t>
      </w:r>
    </w:p>
    <w:p>
      <w:pPr>
        <w:pStyle w:val="Normal"/>
        <w:jc w:val="both"/>
        <w:rPr>
          <w:rFonts w:ascii="Century" w:hAnsi="Century" w:cs="Century"/>
        </w:rPr>
      </w:pPr>
      <w:r>
        <w:rPr>
          <w:rFonts w:cs="Century" w:ascii="Century" w:hAnsi="Century"/>
        </w:rPr>
      </w:r>
    </w:p>
    <w:p>
      <w:pPr>
        <w:pStyle w:val="Normal"/>
        <w:rPr>
          <w:rFonts w:ascii="Century" w:hAnsi="Century" w:cs="Century"/>
          <w:bCs/>
        </w:rPr>
      </w:pPr>
      <w:r>
        <w:rPr>
          <w:rFonts w:cs="Century" w:ascii="Century" w:hAnsi="Century"/>
          <w:bCs/>
        </w:rPr>
      </w:r>
    </w:p>
    <w:p>
      <w:pPr>
        <w:pStyle w:val="Normal"/>
        <w:rPr/>
      </w:pPr>
      <w:r>
        <w:rPr>
          <w:rFonts w:cs="Century" w:ascii="Century" w:hAnsi="Century"/>
          <w:bCs/>
        </w:rPr>
        <w:t>Au cours de cette 1</w:t>
      </w:r>
      <w:r>
        <w:rPr>
          <w:rFonts w:cs="Century" w:ascii="Century" w:hAnsi="Century"/>
          <w:bCs/>
          <w:vertAlign w:val="superscript"/>
        </w:rPr>
        <w:t>ère</w:t>
      </w:r>
      <w:r>
        <w:rPr>
          <w:rFonts w:cs="Century" w:ascii="Century" w:hAnsi="Century"/>
          <w:bCs/>
        </w:rPr>
        <w:t xml:space="preserve"> réunion, la direction a présenté l’impact de l’augmentation du Smic du 1</w:t>
      </w:r>
      <w:r>
        <w:rPr>
          <w:rFonts w:cs="Century" w:ascii="Century" w:hAnsi="Century"/>
          <w:bCs/>
          <w:vertAlign w:val="superscript"/>
        </w:rPr>
        <w:t>er</w:t>
      </w:r>
      <w:r>
        <w:rPr>
          <w:rFonts w:cs="Century" w:ascii="Century" w:hAnsi="Century"/>
          <w:bCs/>
        </w:rPr>
        <w:t xml:space="preserve"> janvier 2022 sur la grille des rémunérations.</w:t>
      </w:r>
    </w:p>
    <w:p>
      <w:pPr>
        <w:pStyle w:val="Normal"/>
        <w:rPr>
          <w:rFonts w:ascii="Century" w:hAnsi="Century" w:cs="Century"/>
          <w:bCs/>
        </w:rPr>
      </w:pPr>
      <w:r>
        <w:rPr>
          <w:rFonts w:cs="Century" w:ascii="Century" w:hAnsi="Century"/>
          <w:bCs/>
        </w:rPr>
      </w:r>
    </w:p>
    <w:p>
      <w:pPr>
        <w:pStyle w:val="Normal"/>
        <w:rPr/>
      </w:pPr>
      <w:r>
        <w:rPr>
          <w:rFonts w:cs="Century" w:ascii="Century" w:hAnsi="Century"/>
          <w:bCs/>
        </w:rPr>
        <w:t>Compte tenu de l’accord relatif aux Négociations Annuelles Obligatoires du 21 mai 2021, cette indexation du Smic de + 0,90% entraîne une hausse de +0,20% (0,90 – 0,70) pour la seule phase 1 ; toutes les autres phases demeurent inchangées.</w:t>
      </w:r>
    </w:p>
    <w:p>
      <w:pPr>
        <w:pStyle w:val="Normal"/>
        <w:rPr>
          <w:rFonts w:ascii="Century" w:hAnsi="Century" w:cs="Century"/>
          <w:bCs/>
        </w:rPr>
      </w:pPr>
      <w:r>
        <w:rPr>
          <w:rFonts w:cs="Century" w:ascii="Century" w:hAnsi="Century"/>
          <w:bCs/>
        </w:rPr>
      </w:r>
    </w:p>
    <w:p>
      <w:pPr>
        <w:pStyle w:val="Normal"/>
        <w:rPr>
          <w:rFonts w:ascii="Century" w:hAnsi="Century" w:cs="Century"/>
          <w:bCs/>
        </w:rPr>
      </w:pPr>
      <w:r>
        <w:rPr>
          <w:rFonts w:cs="Century" w:ascii="Century" w:hAnsi="Century"/>
          <w:bCs/>
        </w:rPr>
        <w:t>Par ailleurs, la prime « inflation » de 100€ octroyée par le gouvernement et versée en décembre 2021 reste ponctuelle et peut être jugée inéquitable dans ses critères d’attribution.</w:t>
      </w:r>
    </w:p>
    <w:p>
      <w:pPr>
        <w:pStyle w:val="Normal"/>
        <w:rPr>
          <w:rFonts w:ascii="Century" w:hAnsi="Century" w:cs="Century"/>
          <w:bCs/>
        </w:rPr>
      </w:pPr>
      <w:r>
        <w:rPr>
          <w:rFonts w:cs="Century" w:ascii="Century" w:hAnsi="Century"/>
          <w:bCs/>
        </w:rPr>
      </w:r>
    </w:p>
    <w:p>
      <w:pPr>
        <w:pStyle w:val="Normal"/>
        <w:rPr>
          <w:rFonts w:ascii="Century" w:hAnsi="Century" w:cs="Century"/>
          <w:bCs/>
        </w:rPr>
      </w:pPr>
      <w:r>
        <w:rPr>
          <w:rFonts w:cs="Century" w:ascii="Century" w:hAnsi="Century"/>
          <w:bCs/>
        </w:rPr>
      </w:r>
    </w:p>
    <w:p>
      <w:pPr>
        <w:pStyle w:val="Normal"/>
        <w:rPr/>
      </w:pPr>
      <w:r>
        <w:rPr>
          <w:rFonts w:cs="Century" w:ascii="Century" w:hAnsi="Century"/>
          <w:bCs/>
        </w:rPr>
        <w:t>Dans ces conditions, avant même d’engager les négociations 2022 sur le fond, la direction propose à l’organisation syndicale CGT – qui l’accepte – une évolution globale et générale de + 1,00% à compter du 1</w:t>
      </w:r>
      <w:r>
        <w:rPr>
          <w:rFonts w:cs="Century" w:ascii="Century" w:hAnsi="Century"/>
          <w:bCs/>
          <w:vertAlign w:val="superscript"/>
        </w:rPr>
        <w:t>er</w:t>
      </w:r>
      <w:r>
        <w:rPr>
          <w:rFonts w:cs="Century" w:ascii="Century" w:hAnsi="Century"/>
          <w:bCs/>
        </w:rPr>
        <w:t xml:space="preserve"> janvier 2022.</w:t>
      </w:r>
    </w:p>
    <w:p>
      <w:pPr>
        <w:pStyle w:val="Normal"/>
        <w:rPr>
          <w:rFonts w:ascii="Century" w:hAnsi="Century" w:cs="Century"/>
          <w:bCs/>
        </w:rPr>
      </w:pPr>
      <w:r>
        <w:rPr>
          <w:rFonts w:cs="Century" w:ascii="Century" w:hAnsi="Century"/>
          <w:bCs/>
        </w:rPr>
      </w:r>
    </w:p>
    <w:p>
      <w:pPr>
        <w:pStyle w:val="Normal"/>
        <w:rPr>
          <w:rFonts w:ascii="Century" w:hAnsi="Century" w:cs="Century"/>
          <w:bCs/>
        </w:rPr>
      </w:pPr>
      <w:r>
        <w:rPr>
          <w:rFonts w:cs="Century" w:ascii="Century" w:hAnsi="Century"/>
          <w:bCs/>
        </w:rPr>
        <w:t>Ainsi, dès la 1</w:t>
      </w:r>
      <w:r>
        <w:rPr>
          <w:rFonts w:cs="Century" w:ascii="Century" w:hAnsi="Century"/>
          <w:bCs/>
          <w:vertAlign w:val="superscript"/>
        </w:rPr>
        <w:t>ère</w:t>
      </w:r>
      <w:r>
        <w:rPr>
          <w:rFonts w:cs="Century" w:ascii="Century" w:hAnsi="Century"/>
          <w:bCs/>
        </w:rPr>
        <w:t xml:space="preserve"> réunion du 21 janvier 2022</w:t>
      </w:r>
      <w:r>
        <w:rPr>
          <w:rFonts w:cs="Century" w:ascii="Century" w:hAnsi="Century"/>
        </w:rPr>
        <w:t>, la répartition qui a été proposée est :</w:t>
      </w:r>
    </w:p>
    <w:p>
      <w:pPr>
        <w:pStyle w:val="Normal"/>
        <w:ind w:right="-108" w:hanging="0"/>
        <w:jc w:val="both"/>
        <w:rPr>
          <w:rFonts w:ascii="Century" w:hAnsi="Century" w:cs="Century"/>
          <w:bCs/>
        </w:rPr>
      </w:pPr>
      <w:r>
        <w:rPr>
          <w:rFonts w:cs="Century" w:ascii="Century" w:hAnsi="Century"/>
          <w:bCs/>
        </w:rPr>
      </w:r>
    </w:p>
    <w:p>
      <w:pPr>
        <w:pStyle w:val="Normal"/>
        <w:ind w:left="1134" w:right="-108" w:hanging="0"/>
        <w:jc w:val="both"/>
        <w:rPr/>
      </w:pPr>
      <w:r>
        <w:rPr>
          <w:rFonts w:cs="Century" w:ascii="Century" w:hAnsi="Century"/>
        </w:rPr>
        <w:t>1.00% pour la phase 1</w:t>
      </w:r>
    </w:p>
    <w:p>
      <w:pPr>
        <w:pStyle w:val="Normal"/>
        <w:ind w:left="1134" w:right="-108" w:hanging="0"/>
        <w:jc w:val="both"/>
        <w:rPr/>
      </w:pPr>
      <w:r>
        <w:rPr>
          <w:rFonts w:cs="Century" w:ascii="Century" w:hAnsi="Century"/>
        </w:rPr>
        <w:t>1.00% pour la phase 2</w:t>
      </w:r>
    </w:p>
    <w:p>
      <w:pPr>
        <w:pStyle w:val="Normal"/>
        <w:ind w:left="1134" w:right="-108" w:hanging="0"/>
        <w:jc w:val="both"/>
        <w:rPr/>
      </w:pPr>
      <w:r>
        <w:rPr>
          <w:rFonts w:cs="Century" w:ascii="Century" w:hAnsi="Century"/>
        </w:rPr>
        <w:t>1.00% pour la phase 3</w:t>
      </w:r>
    </w:p>
    <w:p>
      <w:pPr>
        <w:pStyle w:val="Normal"/>
        <w:ind w:left="1134" w:right="-108" w:hanging="0"/>
        <w:jc w:val="both"/>
        <w:rPr/>
      </w:pPr>
      <w:r>
        <w:rPr>
          <w:rFonts w:cs="Century" w:ascii="Century" w:hAnsi="Century"/>
        </w:rPr>
        <w:t>1.00% pour la phase 4</w:t>
      </w:r>
    </w:p>
    <w:p>
      <w:pPr>
        <w:pStyle w:val="Normal"/>
        <w:ind w:left="1134" w:right="-108" w:hanging="0"/>
        <w:jc w:val="both"/>
        <w:rPr/>
      </w:pPr>
      <w:r>
        <w:rPr>
          <w:rFonts w:cs="Century" w:ascii="Century" w:hAnsi="Century"/>
        </w:rPr>
        <w:t>1.00% pour la phase 5</w:t>
      </w:r>
    </w:p>
    <w:p>
      <w:pPr>
        <w:pStyle w:val="Normal"/>
        <w:ind w:left="1134" w:right="-108" w:hanging="0"/>
        <w:jc w:val="both"/>
        <w:rPr/>
      </w:pPr>
      <w:r>
        <w:rPr>
          <w:rFonts w:cs="Century" w:ascii="Century" w:hAnsi="Century"/>
        </w:rPr>
        <w:t>1.00% pour la phase 6</w:t>
      </w:r>
    </w:p>
    <w:p>
      <w:pPr>
        <w:pStyle w:val="Normal"/>
        <w:ind w:left="1134" w:right="-108" w:hanging="0"/>
        <w:jc w:val="both"/>
        <w:rPr/>
      </w:pPr>
      <w:r>
        <w:rPr>
          <w:rFonts w:cs="Century" w:ascii="Century" w:hAnsi="Century"/>
        </w:rPr>
        <w:t>1.00% pour la phase 7</w:t>
      </w:r>
    </w:p>
    <w:p>
      <w:pPr>
        <w:pStyle w:val="Normal"/>
        <w:ind w:right="-108" w:hanging="0"/>
        <w:jc w:val="both"/>
        <w:rPr>
          <w:rFonts w:ascii="Century" w:hAnsi="Century" w:cs="Century"/>
        </w:rPr>
      </w:pPr>
      <w:r>
        <w:rPr>
          <w:rFonts w:cs="Century" w:ascii="Century" w:hAnsi="Century"/>
        </w:rPr>
      </w:r>
    </w:p>
    <w:p>
      <w:pPr>
        <w:pStyle w:val="Normal"/>
        <w:rPr/>
      </w:pPr>
      <w:r>
        <w:rPr>
          <w:rFonts w:cs="Century" w:ascii="Century" w:hAnsi="Century"/>
        </w:rPr>
        <w:t>Et de proposer une évolution pour les agents de maîtrise de 1.00% et pour les cadres de 1.00%.</w:t>
      </w:r>
    </w:p>
    <w:p>
      <w:pPr>
        <w:pStyle w:val="Normal"/>
        <w:ind w:right="-108" w:hanging="0"/>
        <w:jc w:val="both"/>
        <w:rPr>
          <w:rFonts w:ascii="Century" w:hAnsi="Century" w:cs="Century"/>
        </w:rPr>
      </w:pPr>
      <w:r>
        <w:rPr>
          <w:rFonts w:cs="Century" w:ascii="Century" w:hAnsi="Century"/>
        </w:rPr>
      </w:r>
    </w:p>
    <w:p>
      <w:pPr>
        <w:pStyle w:val="Normal"/>
        <w:ind w:right="-108" w:hanging="0"/>
        <w:jc w:val="both"/>
        <w:rPr>
          <w:rFonts w:ascii="Century" w:hAnsi="Century" w:cs="Century"/>
        </w:rPr>
      </w:pPr>
      <w:r>
        <w:rPr>
          <w:rFonts w:cs="Century" w:ascii="Century" w:hAnsi="Century"/>
        </w:rPr>
      </w:r>
    </w:p>
    <w:p>
      <w:pPr>
        <w:pStyle w:val="Normal"/>
        <w:ind w:right="-108" w:hanging="0"/>
        <w:jc w:val="both"/>
        <w:rPr/>
      </w:pPr>
      <w:r>
        <w:rPr>
          <w:rFonts w:cs="Century" w:ascii="Century" w:hAnsi="Century"/>
        </w:rPr>
        <w:t>A l’issue de la dernière réunion du 21 janvier 2021, les partenaires sociaux sont convenus de ce qui suit.</w:t>
      </w:r>
    </w:p>
    <w:p>
      <w:pPr>
        <w:pStyle w:val="Normal"/>
        <w:ind w:right="-108" w:hanging="0"/>
        <w:jc w:val="both"/>
        <w:rPr>
          <w:rFonts w:ascii="Century" w:hAnsi="Century" w:cs="Century"/>
        </w:rPr>
      </w:pPr>
      <w:r>
        <w:rPr>
          <w:rFonts w:cs="Century" w:ascii="Century" w:hAnsi="Century"/>
        </w:rPr>
      </w:r>
    </w:p>
    <w:p>
      <w:pPr>
        <w:pStyle w:val="Normal"/>
        <w:ind w:right="-108" w:hanging="0"/>
        <w:jc w:val="both"/>
        <w:rPr>
          <w:rFonts w:ascii="Century" w:hAnsi="Century" w:cs="Century"/>
        </w:rPr>
      </w:pPr>
      <w:r>
        <w:rPr>
          <w:rFonts w:cs="Century" w:ascii="Century" w:hAnsi="Century"/>
        </w:rPr>
      </w:r>
    </w:p>
    <w:p>
      <w:pPr>
        <w:pStyle w:val="Normal"/>
        <w:rPr>
          <w:rFonts w:ascii="Century" w:hAnsi="Century" w:cs="Century"/>
          <w:b/>
          <w:b/>
          <w:bCs/>
          <w:u w:val="single"/>
        </w:rPr>
      </w:pPr>
      <w:r>
        <w:rPr>
          <w:rFonts w:cs="Century" w:ascii="Century" w:hAnsi="Century"/>
          <w:b/>
          <w:bCs/>
          <w:u w:val="single"/>
        </w:rPr>
        <w:t>Accord préliminaire</w:t>
      </w:r>
    </w:p>
    <w:p>
      <w:pPr>
        <w:pStyle w:val="Normal"/>
        <w:ind w:left="708" w:right="-108" w:hanging="0"/>
        <w:jc w:val="both"/>
        <w:rPr>
          <w:rFonts w:ascii="Century" w:hAnsi="Century" w:cs="Century"/>
          <w:b/>
          <w:b/>
          <w:bCs/>
          <w:u w:val="single"/>
        </w:rPr>
      </w:pPr>
      <w:r>
        <w:rPr>
          <w:rFonts w:cs="Century" w:ascii="Century" w:hAnsi="Century"/>
          <w:b/>
          <w:bCs/>
          <w:u w:val="single"/>
        </w:rPr>
      </w:r>
    </w:p>
    <w:p>
      <w:pPr>
        <w:pStyle w:val="Normal"/>
        <w:ind w:left="708" w:right="-108" w:hanging="0"/>
        <w:jc w:val="both"/>
        <w:rPr/>
      </w:pPr>
      <w:r>
        <w:rPr>
          <w:rFonts w:cs="Century" w:ascii="Century" w:hAnsi="Century"/>
        </w:rPr>
        <w:t xml:space="preserve">Avant d’entamer les discussions dans le cadre des NAO 2022, en fonction du calendrier proposé, lors des prochaines réunions prévues les 10 février, 25 février et 25 mars 2022, les parties sont donc parvenues à un accord préliminaire sur le point suivant : </w:t>
      </w:r>
    </w:p>
    <w:p>
      <w:pPr>
        <w:pStyle w:val="Normal"/>
        <w:ind w:left="1410" w:hanging="0"/>
        <w:jc w:val="both"/>
        <w:rPr>
          <w:rFonts w:ascii="Century" w:hAnsi="Century" w:cs="Century"/>
        </w:rPr>
      </w:pPr>
      <w:r>
        <w:rPr>
          <w:rFonts w:cs="Century" w:ascii="Century" w:hAnsi="Century"/>
        </w:rPr>
      </w:r>
    </w:p>
    <w:p>
      <w:pPr>
        <w:pStyle w:val="Normal"/>
        <w:ind w:left="1410" w:hanging="0"/>
        <w:jc w:val="both"/>
        <w:rPr>
          <w:rFonts w:ascii="Century" w:hAnsi="Century" w:cs="Century"/>
          <w:b/>
          <w:b/>
          <w:sz w:val="28"/>
          <w:szCs w:val="28"/>
        </w:rPr>
      </w:pPr>
      <w:r>
        <w:rPr>
          <w:rFonts w:eastAsia="Century" w:cs="Century" w:ascii="Century" w:hAnsi="Century"/>
          <w:b/>
        </w:rPr>
        <w:t xml:space="preserve">             </w:t>
      </w:r>
      <w:r>
        <w:rPr>
          <w:rFonts w:cs="Century" w:ascii="Century" w:hAnsi="Century"/>
          <w:b/>
          <w:sz w:val="28"/>
          <w:szCs w:val="28"/>
        </w:rPr>
        <w:t>La phase 1 sera augmentée de 1.00%</w:t>
      </w:r>
    </w:p>
    <w:p>
      <w:pPr>
        <w:pStyle w:val="Normal"/>
        <w:ind w:left="1410" w:hanging="0"/>
        <w:jc w:val="both"/>
        <w:rPr>
          <w:rFonts w:ascii="Century" w:hAnsi="Century" w:cs="Century"/>
          <w:b/>
          <w:b/>
          <w:sz w:val="28"/>
          <w:szCs w:val="28"/>
        </w:rPr>
      </w:pPr>
      <w:r>
        <w:rPr>
          <w:rFonts w:eastAsia="Century" w:cs="Century" w:ascii="Century" w:hAnsi="Century"/>
          <w:b/>
          <w:sz w:val="28"/>
          <w:szCs w:val="28"/>
        </w:rPr>
        <w:t xml:space="preserve">           </w:t>
      </w:r>
      <w:r>
        <w:rPr>
          <w:rFonts w:cs="Century" w:ascii="Century" w:hAnsi="Century"/>
          <w:b/>
          <w:sz w:val="28"/>
          <w:szCs w:val="28"/>
        </w:rPr>
        <w:t>La phase 2 sera augmentée de 1.00%</w:t>
      </w:r>
    </w:p>
    <w:p>
      <w:pPr>
        <w:pStyle w:val="Normal"/>
        <w:ind w:left="1410" w:hanging="0"/>
        <w:jc w:val="both"/>
        <w:rPr>
          <w:rFonts w:ascii="Century" w:hAnsi="Century" w:cs="Century"/>
          <w:b/>
          <w:b/>
          <w:sz w:val="28"/>
          <w:szCs w:val="28"/>
        </w:rPr>
      </w:pPr>
      <w:r>
        <w:rPr>
          <w:rFonts w:eastAsia="Century" w:cs="Century" w:ascii="Century" w:hAnsi="Century"/>
          <w:b/>
          <w:sz w:val="28"/>
          <w:szCs w:val="28"/>
        </w:rPr>
        <w:t xml:space="preserve">           </w:t>
      </w:r>
      <w:r>
        <w:rPr>
          <w:rFonts w:cs="Century" w:ascii="Century" w:hAnsi="Century"/>
          <w:b/>
          <w:sz w:val="28"/>
          <w:szCs w:val="28"/>
        </w:rPr>
        <w:t>La phase 3 sera augmentée de 1.00%</w:t>
      </w:r>
    </w:p>
    <w:p>
      <w:pPr>
        <w:pStyle w:val="Normal"/>
        <w:ind w:left="1410" w:hanging="0"/>
        <w:jc w:val="both"/>
        <w:rPr>
          <w:rFonts w:ascii="Century" w:hAnsi="Century" w:cs="Century"/>
          <w:b/>
          <w:b/>
          <w:sz w:val="28"/>
          <w:szCs w:val="28"/>
        </w:rPr>
      </w:pPr>
      <w:r>
        <w:rPr>
          <w:rFonts w:eastAsia="Century" w:cs="Century" w:ascii="Century" w:hAnsi="Century"/>
          <w:b/>
          <w:sz w:val="28"/>
          <w:szCs w:val="28"/>
        </w:rPr>
        <w:t xml:space="preserve">           </w:t>
      </w:r>
      <w:r>
        <w:rPr>
          <w:rFonts w:cs="Century" w:ascii="Century" w:hAnsi="Century"/>
          <w:b/>
          <w:sz w:val="28"/>
          <w:szCs w:val="28"/>
        </w:rPr>
        <w:t>La phase 4 sera augmentée de 1.00%</w:t>
      </w:r>
    </w:p>
    <w:p>
      <w:pPr>
        <w:pStyle w:val="Normal"/>
        <w:ind w:left="1410" w:hanging="0"/>
        <w:jc w:val="both"/>
        <w:rPr/>
      </w:pPr>
      <w:r>
        <w:rPr>
          <w:rFonts w:eastAsia="Century" w:cs="Century" w:ascii="Century" w:hAnsi="Century"/>
          <w:b/>
          <w:sz w:val="28"/>
          <w:szCs w:val="28"/>
        </w:rPr>
        <w:t xml:space="preserve">           </w:t>
      </w:r>
      <w:r>
        <w:rPr>
          <w:rFonts w:cs="Century" w:ascii="Century" w:hAnsi="Century"/>
          <w:b/>
          <w:sz w:val="28"/>
          <w:szCs w:val="28"/>
        </w:rPr>
        <w:t>La phase 5 sera augmentée de 1.00%</w:t>
      </w:r>
    </w:p>
    <w:p>
      <w:pPr>
        <w:pStyle w:val="Normal"/>
        <w:ind w:left="1410" w:hanging="0"/>
        <w:jc w:val="both"/>
        <w:rPr>
          <w:rFonts w:ascii="Century" w:hAnsi="Century" w:cs="Century"/>
          <w:b/>
          <w:b/>
          <w:sz w:val="28"/>
          <w:szCs w:val="28"/>
        </w:rPr>
      </w:pPr>
      <w:r>
        <w:rPr>
          <w:rFonts w:eastAsia="Century" w:cs="Century" w:ascii="Century" w:hAnsi="Century"/>
          <w:b/>
          <w:sz w:val="28"/>
          <w:szCs w:val="28"/>
        </w:rPr>
        <w:t xml:space="preserve">           </w:t>
      </w:r>
      <w:r>
        <w:rPr>
          <w:rFonts w:cs="Century" w:ascii="Century" w:hAnsi="Century"/>
          <w:b/>
          <w:sz w:val="28"/>
          <w:szCs w:val="28"/>
        </w:rPr>
        <w:t>La phase 6 sera augmentée de 1.00%</w:t>
      </w:r>
    </w:p>
    <w:p>
      <w:pPr>
        <w:pStyle w:val="Normal"/>
        <w:ind w:left="1410" w:hanging="0"/>
        <w:jc w:val="both"/>
        <w:rPr>
          <w:rFonts w:ascii="Century" w:hAnsi="Century" w:cs="Century"/>
          <w:b/>
          <w:b/>
          <w:sz w:val="28"/>
          <w:szCs w:val="28"/>
        </w:rPr>
      </w:pPr>
      <w:r>
        <w:rPr>
          <w:rFonts w:eastAsia="Century" w:cs="Century" w:ascii="Century" w:hAnsi="Century"/>
          <w:b/>
          <w:sz w:val="28"/>
          <w:szCs w:val="28"/>
        </w:rPr>
        <w:t xml:space="preserve">           </w:t>
      </w:r>
      <w:r>
        <w:rPr>
          <w:rFonts w:cs="Century" w:ascii="Century" w:hAnsi="Century"/>
          <w:b/>
          <w:sz w:val="28"/>
          <w:szCs w:val="28"/>
        </w:rPr>
        <w:t>La phase 7 sera augmentée de 1.00%</w:t>
      </w:r>
    </w:p>
    <w:p>
      <w:pPr>
        <w:pStyle w:val="Normal"/>
        <w:jc w:val="both"/>
        <w:rPr>
          <w:rFonts w:ascii="Century" w:hAnsi="Century" w:cs="Century"/>
          <w:b/>
          <w:b/>
          <w:sz w:val="28"/>
          <w:szCs w:val="28"/>
        </w:rPr>
      </w:pPr>
      <w:r>
        <w:rPr>
          <w:rFonts w:cs="Century" w:ascii="Century" w:hAnsi="Century"/>
          <w:b/>
          <w:sz w:val="28"/>
          <w:szCs w:val="28"/>
        </w:rPr>
      </w:r>
    </w:p>
    <w:p>
      <w:pPr>
        <w:pStyle w:val="Corpsdetexte2"/>
        <w:ind w:left="708" w:hanging="0"/>
        <w:rPr>
          <w:rFonts w:ascii="Century" w:hAnsi="Century" w:cs="Century"/>
        </w:rPr>
      </w:pPr>
      <w:r>
        <w:rPr>
          <w:rFonts w:cs="Century" w:ascii="Century" w:hAnsi="Century"/>
        </w:rPr>
        <w:t>Cette hausse des salaires pour le collège des employés sera applicable à compter du 1</w:t>
      </w:r>
      <w:r>
        <w:rPr>
          <w:rFonts w:cs="Century" w:ascii="Century" w:hAnsi="Century"/>
          <w:vertAlign w:val="superscript"/>
        </w:rPr>
        <w:t>er</w:t>
      </w:r>
      <w:r>
        <w:rPr>
          <w:rFonts w:cs="Century" w:ascii="Century" w:hAnsi="Century"/>
        </w:rPr>
        <w:t xml:space="preserve"> janvier 2022.</w:t>
      </w:r>
    </w:p>
    <w:p>
      <w:pPr>
        <w:pStyle w:val="Normal"/>
        <w:ind w:right="-108" w:hanging="0"/>
        <w:jc w:val="both"/>
        <w:rPr>
          <w:rFonts w:ascii="Century" w:hAnsi="Century" w:cs="Century"/>
          <w:b/>
          <w:b/>
          <w:u w:val="single"/>
        </w:rPr>
      </w:pPr>
      <w:r>
        <w:rPr>
          <w:rFonts w:cs="Century" w:ascii="Century" w:hAnsi="Century"/>
          <w:b/>
          <w:u w:val="single"/>
        </w:rPr>
      </w:r>
    </w:p>
    <w:p>
      <w:pPr>
        <w:pStyle w:val="Corpsdetexte2"/>
        <w:rPr/>
      </w:pPr>
      <w:r>
        <w:rPr>
          <w:rFonts w:cs="Century" w:ascii="Century" w:hAnsi="Century"/>
          <w:b/>
          <w:sz w:val="28"/>
          <w:szCs w:val="28"/>
        </w:rPr>
        <w:t>Pour le Collège Agents de maîtrise, il a été décidé une hausse de salaires de 1.00%, à compter du 1</w:t>
      </w:r>
      <w:r>
        <w:rPr>
          <w:rFonts w:cs="Century" w:ascii="Century" w:hAnsi="Century"/>
          <w:b/>
          <w:sz w:val="28"/>
          <w:szCs w:val="28"/>
          <w:vertAlign w:val="superscript"/>
        </w:rPr>
        <w:t>er</w:t>
      </w:r>
      <w:r>
        <w:rPr>
          <w:rFonts w:cs="Century" w:ascii="Century" w:hAnsi="Century"/>
          <w:b/>
          <w:sz w:val="28"/>
          <w:szCs w:val="28"/>
        </w:rPr>
        <w:t xml:space="preserve"> janvier 2022.</w:t>
      </w:r>
    </w:p>
    <w:p>
      <w:pPr>
        <w:pStyle w:val="Corpsdetexte2"/>
        <w:rPr>
          <w:rFonts w:ascii="Century" w:hAnsi="Century" w:cs="Century"/>
          <w:b/>
          <w:b/>
          <w:sz w:val="28"/>
          <w:szCs w:val="28"/>
        </w:rPr>
      </w:pPr>
      <w:r>
        <w:rPr>
          <w:rFonts w:cs="Century" w:ascii="Century" w:hAnsi="Century"/>
          <w:b/>
          <w:sz w:val="28"/>
          <w:szCs w:val="28"/>
        </w:rPr>
      </w:r>
    </w:p>
    <w:p>
      <w:pPr>
        <w:pStyle w:val="Corpsdetexte2"/>
        <w:rPr>
          <w:rFonts w:ascii="Century" w:hAnsi="Century" w:cs="Century"/>
          <w:b/>
          <w:b/>
          <w:sz w:val="28"/>
          <w:szCs w:val="28"/>
        </w:rPr>
      </w:pPr>
      <w:r>
        <w:rPr>
          <w:rFonts w:cs="Century" w:ascii="Century" w:hAnsi="Century"/>
          <w:b/>
          <w:sz w:val="28"/>
          <w:szCs w:val="28"/>
        </w:rPr>
        <w:t>Pour le Collège Cadre, il a été décidé une hausse de salaires de 1.00%, à compter du 1</w:t>
      </w:r>
      <w:r>
        <w:rPr>
          <w:rFonts w:cs="Century" w:ascii="Century" w:hAnsi="Century"/>
          <w:b/>
          <w:sz w:val="28"/>
          <w:szCs w:val="28"/>
          <w:vertAlign w:val="superscript"/>
        </w:rPr>
        <w:t>er</w:t>
      </w:r>
      <w:r>
        <w:rPr>
          <w:rFonts w:cs="Century" w:ascii="Century" w:hAnsi="Century"/>
          <w:b/>
          <w:sz w:val="28"/>
          <w:szCs w:val="28"/>
        </w:rPr>
        <w:t xml:space="preserve"> janvier 2022.</w:t>
      </w:r>
    </w:p>
    <w:p>
      <w:pPr>
        <w:pStyle w:val="Corpsdetexte2"/>
        <w:rPr>
          <w:rFonts w:ascii="Century" w:hAnsi="Century" w:cs="Century"/>
          <w:b/>
          <w:b/>
          <w:sz w:val="28"/>
          <w:szCs w:val="28"/>
        </w:rPr>
      </w:pPr>
      <w:r>
        <w:rPr>
          <w:rFonts w:cs="Century" w:ascii="Century" w:hAnsi="Century"/>
          <w:b/>
          <w:sz w:val="28"/>
          <w:szCs w:val="28"/>
        </w:rPr>
      </w:r>
    </w:p>
    <w:p>
      <w:pPr>
        <w:pStyle w:val="Normal"/>
        <w:jc w:val="both"/>
        <w:rPr>
          <w:rFonts w:ascii="Century" w:hAnsi="Century" w:cs="Century"/>
          <w:b/>
          <w:b/>
          <w:bCs/>
          <w:u w:val="single"/>
        </w:rPr>
      </w:pPr>
      <w:r>
        <w:rPr>
          <w:rFonts w:cs="Century" w:ascii="Century" w:hAnsi="Century"/>
          <w:b/>
          <w:bCs/>
          <w:u w:val="single"/>
        </w:rPr>
      </w:r>
    </w:p>
    <w:p>
      <w:pPr>
        <w:pStyle w:val="Normal"/>
        <w:jc w:val="both"/>
        <w:rPr>
          <w:rFonts w:ascii="Century" w:hAnsi="Century" w:cs="Century"/>
          <w:bCs/>
        </w:rPr>
      </w:pPr>
      <w:r>
        <w:rPr>
          <w:rFonts w:cs="Century" w:ascii="Century" w:hAnsi="Century"/>
          <w:bCs/>
        </w:rPr>
        <w:t>Ce présent accord est applicable dès le 1</w:t>
      </w:r>
      <w:r>
        <w:rPr>
          <w:rFonts w:cs="Century" w:ascii="Century" w:hAnsi="Century"/>
          <w:bCs/>
          <w:vertAlign w:val="superscript"/>
        </w:rPr>
        <w:t>er</w:t>
      </w:r>
      <w:r>
        <w:rPr>
          <w:rFonts w:cs="Century" w:ascii="Century" w:hAnsi="Century"/>
          <w:bCs/>
        </w:rPr>
        <w:t xml:space="preserve"> janvier 2022. Les parties conviennent qu’il s’agit d’un accord préliminaire conclu dans le cadre des Négociations Annuelles Obligatoires 2022.</w:t>
      </w:r>
    </w:p>
    <w:p>
      <w:pPr>
        <w:pStyle w:val="Normal"/>
        <w:jc w:val="both"/>
        <w:rPr>
          <w:rFonts w:ascii="Century" w:hAnsi="Century" w:cs="Century"/>
          <w:bCs/>
        </w:rPr>
      </w:pPr>
      <w:r>
        <w:rPr>
          <w:rFonts w:cs="Century" w:ascii="Century" w:hAnsi="Century"/>
          <w:bCs/>
        </w:rPr>
      </w:r>
    </w:p>
    <w:p>
      <w:pPr>
        <w:pStyle w:val="Normal"/>
        <w:jc w:val="both"/>
        <w:rPr>
          <w:rFonts w:ascii="Century" w:hAnsi="Century" w:cs="Century"/>
          <w:bCs/>
        </w:rPr>
      </w:pPr>
      <w:r>
        <w:rPr>
          <w:rFonts w:cs="Century" w:ascii="Century" w:hAnsi="Century"/>
          <w:bCs/>
        </w:rPr>
        <w:t>L’évolution globale de 1.00% qui est attribuée dans le cadre du présent accord sera donc prise en compte pour déterminer le budget final qui sera octroyé par la direction à l’issue des négociations.</w:t>
      </w:r>
    </w:p>
    <w:p>
      <w:pPr>
        <w:pStyle w:val="Normal"/>
        <w:jc w:val="both"/>
        <w:rPr>
          <w:rFonts w:ascii="Century" w:hAnsi="Century" w:cs="Century"/>
          <w:bCs/>
        </w:rPr>
      </w:pPr>
      <w:r>
        <w:rPr>
          <w:rFonts w:cs="Century" w:ascii="Century" w:hAnsi="Century"/>
          <w:bCs/>
        </w:rPr>
      </w:r>
    </w:p>
    <w:p>
      <w:pPr>
        <w:pStyle w:val="Normal"/>
        <w:jc w:val="both"/>
        <w:rPr>
          <w:rFonts w:ascii="Century" w:hAnsi="Century" w:cs="Century"/>
          <w:bCs/>
        </w:rPr>
      </w:pPr>
      <w:r>
        <w:rPr>
          <w:rFonts w:cs="Century" w:ascii="Century" w:hAnsi="Century"/>
          <w:bCs/>
        </w:rPr>
        <w:t>De même, la conclusion du présent accord n’emporte pas la clôture des Négociations Annuelles Obligatoires 2022, qui sont en cours d’exécution selon le calendrier précité.</w:t>
      </w:r>
    </w:p>
    <w:p>
      <w:pPr>
        <w:pStyle w:val="Normal"/>
        <w:jc w:val="both"/>
        <w:rPr>
          <w:rFonts w:ascii="Century" w:hAnsi="Century" w:cs="Century"/>
          <w:bCs/>
        </w:rPr>
      </w:pPr>
      <w:r>
        <w:rPr>
          <w:rFonts w:cs="Century" w:ascii="Century" w:hAnsi="Century"/>
          <w:bCs/>
        </w:rPr>
      </w:r>
    </w:p>
    <w:p>
      <w:pPr>
        <w:pStyle w:val="Normal"/>
        <w:jc w:val="both"/>
        <w:rPr>
          <w:rFonts w:ascii="Century" w:hAnsi="Century" w:cs="Century"/>
          <w:bCs/>
        </w:rPr>
      </w:pPr>
      <w:r>
        <w:rPr>
          <w:rFonts w:cs="Century" w:ascii="Century" w:hAnsi="Century"/>
          <w:bCs/>
        </w:rPr>
      </w:r>
    </w:p>
    <w:p>
      <w:pPr>
        <w:pStyle w:val="Normal"/>
        <w:jc w:val="both"/>
        <w:rPr>
          <w:rFonts w:ascii="Century" w:hAnsi="Century" w:cs="Century"/>
          <w:bCs/>
        </w:rPr>
      </w:pPr>
      <w:r>
        <w:rPr>
          <w:rFonts w:cs="Century" w:ascii="Century" w:hAnsi="Century"/>
          <w:bCs/>
        </w:rPr>
        <w:t>Ce présent accord sera applicable du 1</w:t>
      </w:r>
      <w:r>
        <w:rPr>
          <w:rFonts w:cs="Century" w:ascii="Century" w:hAnsi="Century"/>
          <w:bCs/>
          <w:vertAlign w:val="superscript"/>
        </w:rPr>
        <w:t>er</w:t>
      </w:r>
      <w:r>
        <w:rPr>
          <w:rFonts w:cs="Century" w:ascii="Century" w:hAnsi="Century"/>
          <w:bCs/>
        </w:rPr>
        <w:t xml:space="preserve"> janvier 2022  au 1</w:t>
      </w:r>
      <w:r>
        <w:rPr>
          <w:rFonts w:cs="Century" w:ascii="Century" w:hAnsi="Century"/>
          <w:bCs/>
          <w:vertAlign w:val="superscript"/>
        </w:rPr>
        <w:t>er</w:t>
      </w:r>
      <w:r>
        <w:rPr>
          <w:rFonts w:cs="Century" w:ascii="Century" w:hAnsi="Century"/>
          <w:bCs/>
        </w:rPr>
        <w:t xml:space="preserve"> avril 2023 (date à laquelle  il cessera de produire ses effets, sans se transformer en accord à durée indéterminée).</w:t>
      </w:r>
    </w:p>
    <w:p>
      <w:pPr>
        <w:pStyle w:val="Normal"/>
        <w:jc w:val="both"/>
        <w:rPr>
          <w:rFonts w:ascii="Century" w:hAnsi="Century" w:cs="Century"/>
          <w:bCs/>
        </w:rPr>
      </w:pPr>
      <w:r>
        <w:rPr>
          <w:rFonts w:cs="Century" w:ascii="Century" w:hAnsi="Century"/>
          <w:bCs/>
        </w:rPr>
      </w:r>
    </w:p>
    <w:p>
      <w:pPr>
        <w:pStyle w:val="Normal"/>
        <w:jc w:val="both"/>
        <w:rPr>
          <w:rFonts w:ascii="Century" w:hAnsi="Century" w:cs="Century"/>
          <w:bCs/>
        </w:rPr>
      </w:pPr>
      <w:r>
        <w:rPr>
          <w:rFonts w:cs="Century" w:ascii="Century" w:hAnsi="Century"/>
          <w:bCs/>
        </w:rPr>
        <w:t>Il est précisé que cet accord étant conclu pour une durée déterminée, l’accord ne peut être dénoncé.</w:t>
      </w:r>
    </w:p>
    <w:p>
      <w:pPr>
        <w:pStyle w:val="Normal"/>
        <w:rPr>
          <w:rFonts w:ascii="Century" w:hAnsi="Century" w:cs="Century"/>
          <w:bCs/>
        </w:rPr>
      </w:pPr>
      <w:r>
        <w:rPr>
          <w:rFonts w:cs="Century" w:ascii="Century" w:hAnsi="Century"/>
          <w:bCs/>
        </w:rPr>
      </w:r>
    </w:p>
    <w:p>
      <w:pPr>
        <w:pStyle w:val="Normal"/>
        <w:rPr>
          <w:rFonts w:ascii="Century" w:hAnsi="Century" w:cs="Century"/>
          <w:bCs/>
        </w:rPr>
      </w:pPr>
      <w:r>
        <w:rPr>
          <w:rFonts w:cs="Century" w:ascii="Century" w:hAnsi="Century"/>
          <w:bCs/>
        </w:rPr>
      </w:r>
    </w:p>
    <w:p>
      <w:pPr>
        <w:pStyle w:val="Normal"/>
        <w:rPr/>
      </w:pPr>
      <w:r>
        <w:rPr>
          <w:rFonts w:cs="Century" w:ascii="Century" w:hAnsi="Century"/>
          <w:b/>
          <w:bCs/>
          <w:u w:val="single"/>
        </w:rPr>
        <w:t>Article 4 – Publicité :</w:t>
      </w:r>
    </w:p>
    <w:p>
      <w:pPr>
        <w:pStyle w:val="Normal"/>
        <w:rPr>
          <w:rFonts w:ascii="Century" w:hAnsi="Century" w:cs="Century"/>
          <w:b/>
          <w:b/>
          <w:bCs/>
          <w:u w:val="single"/>
        </w:rPr>
      </w:pPr>
      <w:r>
        <w:rPr>
          <w:rFonts w:cs="Century" w:ascii="Century" w:hAnsi="Century"/>
          <w:b/>
          <w:bCs/>
          <w:u w:val="single"/>
        </w:rPr>
      </w:r>
    </w:p>
    <w:p>
      <w:pPr>
        <w:pStyle w:val="Normal"/>
        <w:rPr>
          <w:rFonts w:ascii="Century" w:hAnsi="Century" w:cs="Century"/>
        </w:rPr>
      </w:pPr>
      <w:r>
        <w:rPr>
          <w:rFonts w:cs="Century" w:ascii="Century" w:hAnsi="Century"/>
        </w:rPr>
        <w:t>Le présent accord est régulièrement déposé auprès de la DIRECCTE de la Sarthe et du secrétariat-greffe du Conseil des Prud’hommes du Mans, conformément à l’article D.2231-2 du Code du Travail.</w:t>
      </w:r>
    </w:p>
    <w:p>
      <w:pPr>
        <w:pStyle w:val="Normal"/>
        <w:rPr>
          <w:rFonts w:ascii="Century" w:hAnsi="Century" w:cs="Century"/>
        </w:rPr>
      </w:pPr>
      <w:r>
        <w:rPr>
          <w:rFonts w:cs="Century" w:ascii="Century" w:hAnsi="Century"/>
        </w:rPr>
      </w:r>
    </w:p>
    <w:p>
      <w:pPr>
        <w:pStyle w:val="Normal"/>
        <w:rPr/>
      </w:pPr>
      <w:r>
        <w:rPr>
          <w:rFonts w:cs="Century" w:ascii="Century" w:hAnsi="Century"/>
        </w:rPr>
        <w:t>Le présent procès-verbal d’accord sera :</w:t>
      </w:r>
    </w:p>
    <w:p>
      <w:pPr>
        <w:pStyle w:val="Normal"/>
        <w:numPr>
          <w:ilvl w:val="1"/>
          <w:numId w:val="2"/>
        </w:numPr>
        <w:jc w:val="both"/>
        <w:rPr>
          <w:rFonts w:ascii="Century" w:hAnsi="Century" w:cs="Century"/>
        </w:rPr>
      </w:pPr>
      <w:r>
        <w:rPr>
          <w:rFonts w:cs="Century" w:ascii="Century" w:hAnsi="Century"/>
        </w:rPr>
        <w:t>adressé  en 2 exemplaires sur le portail de la DIRECCTE, dont une version confidentielle pour qu’elle soit publiée sur la base de données nationale,</w:t>
      </w:r>
    </w:p>
    <w:p>
      <w:pPr>
        <w:pStyle w:val="Normal"/>
        <w:numPr>
          <w:ilvl w:val="1"/>
          <w:numId w:val="2"/>
        </w:numPr>
        <w:rPr>
          <w:rFonts w:ascii="Century" w:hAnsi="Century" w:cs="Century"/>
        </w:rPr>
      </w:pPr>
      <w:r>
        <w:rPr>
          <w:rFonts w:cs="Century" w:ascii="Century" w:hAnsi="Century"/>
        </w:rPr>
        <w:t>déposé au Conseil de Prud’hommes.</w:t>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rPr>
        <w:t>Cet accord est aussi remis au délégué signataire. Il sera porté à la connaissance des salariés de  par voie d’affichage sur les panneaux réservés à cet effet ainsi que sur les écrans d’information digitaux Steeple, et tenu à leur disposition sans limite de durée au service Ressources Humaines.</w:t>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rPr>
        <w:t>Fait à  en  6 exemplaires originaux, le vendredi 21 janvier 2022.</w:t>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rPr>
      </w:r>
    </w:p>
    <w:p>
      <w:pPr>
        <w:pStyle w:val="Normal"/>
        <w:rPr>
          <w:rFonts w:ascii="Century" w:hAnsi="Century" w:cs="Century"/>
        </w:rPr>
      </w:pPr>
      <w:r>
        <w:rPr>
          <w:rFonts w:cs="Century" w:ascii="Century" w:hAnsi="Century"/>
        </w:rPr>
      </w:r>
    </w:p>
    <w:p>
      <w:pPr>
        <w:pStyle w:val="Normal"/>
        <w:rPr>
          <w:rFonts w:ascii="Century" w:hAnsi="Century" w:cs="Century"/>
          <w:b/>
          <w:b/>
        </w:rPr>
      </w:pPr>
      <w:r>
        <w:rPr>
          <w:rFonts w:cs="Century" w:ascii="Century" w:hAnsi="Century"/>
          <w:b/>
        </w:rPr>
        <w:t xml:space="preserve">La Délégation Syndicale </w:t>
        <w:tab/>
        <w:tab/>
        <w:tab/>
        <w:tab/>
        <w:tab/>
        <w:t xml:space="preserve">  Pour </w:t>
      </w:r>
    </w:p>
    <w:p>
      <w:pPr>
        <w:pStyle w:val="Normal"/>
        <w:rPr>
          <w:rFonts w:ascii="Century" w:hAnsi="Century" w:cs="Century"/>
          <w:b/>
          <w:b/>
          <w:lang w:val="en-US"/>
        </w:rPr>
      </w:pPr>
      <w:r>
        <w:rPr>
          <w:rFonts w:cs="Century" w:ascii="Century" w:hAnsi="Century"/>
          <w:b/>
          <w:lang w:val="en-US"/>
        </w:rPr>
      </w:r>
    </w:p>
    <w:p>
      <w:pPr>
        <w:pStyle w:val="Normal"/>
        <w:rPr>
          <w:rFonts w:ascii="Century" w:hAnsi="Century" w:cs="Century"/>
          <w:b/>
          <w:b/>
          <w:lang w:val="en-US"/>
        </w:rPr>
      </w:pPr>
      <w:r>
        <w:rPr>
          <w:rFonts w:cs="Century" w:ascii="Century" w:hAnsi="Century"/>
          <w:b/>
          <w:lang w:val="en-US"/>
        </w:rPr>
      </w:r>
    </w:p>
    <w:p>
      <w:pPr>
        <w:pStyle w:val="Normal"/>
        <w:rPr>
          <w:rFonts w:ascii="Century" w:hAnsi="Century" w:cs="Century"/>
          <w:b/>
          <w:b/>
          <w:lang w:val="en-US"/>
        </w:rPr>
      </w:pPr>
      <w:r>
        <w:rPr>
          <w:rFonts w:cs="Century" w:ascii="Century" w:hAnsi="Century"/>
          <w:b/>
          <w:lang w:val="en-US"/>
        </w:rPr>
      </w:r>
    </w:p>
    <w:p>
      <w:pPr>
        <w:pStyle w:val="Normal"/>
        <w:rPr>
          <w:rFonts w:ascii="Century" w:hAnsi="Century" w:cs="Century"/>
          <w:b/>
          <w:b/>
          <w:lang w:val="en-US"/>
        </w:rPr>
      </w:pPr>
      <w:r>
        <w:rPr>
          <w:rFonts w:cs="Century" w:ascii="Century" w:hAnsi="Century"/>
          <w:b/>
          <w:lang w:val="en-US"/>
        </w:rPr>
      </w:r>
    </w:p>
    <w:p>
      <w:pPr>
        <w:pStyle w:val="Normal"/>
        <w:rPr>
          <w:rFonts w:ascii="Century" w:hAnsi="Century" w:cs="Century"/>
          <w:b/>
          <w:b/>
          <w:lang w:val="en-US"/>
        </w:rPr>
      </w:pPr>
      <w:r>
        <w:rPr>
          <w:rFonts w:cs="Century" w:ascii="Century" w:hAnsi="Century"/>
          <w:b/>
          <w:lang w:val="en-US"/>
        </w:rPr>
      </w:r>
    </w:p>
    <w:p>
      <w:pPr>
        <w:pStyle w:val="Footer"/>
        <w:rPr/>
      </w:pPr>
      <w:r>
        <w:rPr>
          <w:i/>
        </w:rPr>
        <w:t>PJ : Grille des salaires applicable à compter du 1</w:t>
      </w:r>
      <w:r>
        <w:rPr>
          <w:i/>
          <w:vertAlign w:val="superscript"/>
        </w:rPr>
        <w:t>er</w:t>
      </w:r>
      <w:r>
        <w:rPr>
          <w:i/>
        </w:rPr>
        <w:t xml:space="preserve"> janvier 2022.</w:t>
      </w:r>
    </w:p>
    <w:sectPr>
      <w:type w:val="nextPage"/>
      <w:pgSz w:w="11906" w:h="16838"/>
      <w:pgMar w:left="1134" w:right="1134" w:header="0" w:top="993" w:footer="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Wingdings">
    <w:charset w:val="02"/>
    <w:family w:val="auto"/>
    <w:pitch w:val="variable"/>
  </w:font>
  <w:font w:name="Courier New">
    <w:charset w:val="00"/>
    <w:family w:val="modern"/>
    <w:pitch w:val="default"/>
  </w:font>
  <w:font w:name="Helv">
    <w:altName w:val="Arial"/>
    <w:charset w:val="00"/>
    <w:family w:val="swiss"/>
    <w:pitch w:val="variable"/>
  </w:font>
  <w:font w:name="Liberation Sans">
    <w:altName w:val="Arial"/>
    <w:charset w:val="01"/>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540" w:hanging="360"/>
      </w:pPr>
      <w:rPr/>
    </w:lvl>
    <w:lvl w:ilvl="1">
      <w:start w:val="1"/>
      <w:numFmt w:val="lowerLetter"/>
      <w:lvlText w:val="%2."/>
      <w:lvlJc w:val="left"/>
      <w:pPr>
        <w:ind w:left="1260" w:hanging="360"/>
      </w:pPr>
      <w:rPr>
        <w:rFonts w:ascii="Century" w:hAnsi="Century" w:cs="Century"/>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pBdr>
        <w:top w:val="single" w:sz="4" w:space="1" w:color="000000"/>
        <w:left w:val="single" w:sz="4" w:space="4" w:color="000000"/>
        <w:bottom w:val="single" w:sz="4" w:space="1" w:color="000000"/>
        <w:right w:val="single" w:sz="4" w:space="4" w:color="000000"/>
      </w:pBdr>
      <w:jc w:val="center"/>
      <w:outlineLvl w:val="0"/>
    </w:pPr>
    <w:rPr>
      <w:rFonts w:ascii="Century" w:hAnsi="Century" w:cs="Century"/>
      <w:sz w:val="36"/>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Helv" w:hAnsi="Helv" w:eastAsia="Helv" w:cs="Helv"/>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rFonts w:ascii="Symbol" w:hAnsi="Symbol" w:eastAsia="Times New Roman" w:cs="Times New Roman"/>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Helv" w:hAnsi="Helv" w:eastAsia="Helv" w:cs="Helv"/>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rFonts w:ascii="Century" w:hAnsi="Century" w:cs="Century"/>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Century" w:hAnsi="Century"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Policepardfaut">
    <w:name w:val="Police par défaut"/>
    <w:qFormat/>
    <w:rPr/>
  </w:style>
  <w:style w:type="character" w:styleId="EntteCar">
    <w:name w:val="En-tête Car"/>
    <w:qFormat/>
    <w:rPr>
      <w:sz w:val="24"/>
      <w:szCs w:val="24"/>
    </w:rPr>
  </w:style>
  <w:style w:type="character" w:styleId="PieddepageCar">
    <w:name w:val="Pied de page Car"/>
    <w:qFormat/>
    <w:rPr>
      <w:sz w:val="24"/>
      <w:szCs w:val="24"/>
    </w:rPr>
  </w:style>
  <w:style w:type="character" w:styleId="Corpsdetexte2Car">
    <w:name w:val="Corps de texte 2 C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Century" w:hAnsi="Century" w:cs="Century"/>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ind w:left="708" w:hanging="0"/>
    </w:pPr>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B304A763.dotm</Template>
  <TotalTime>1056</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2016-06-09T19:17:00Z</dcterms:created>
  <dc:creator/>
  <dc:description/>
  <dc:language>en-GB</dc:language>
  <cp:lastModifiedBy/>
  <cp:lastPrinted>2019-06-12T07:33:00Z</cp:lastPrinted>
  <dcterms:modified xsi:type="dcterms:W3CDTF">2022-02-02T08:49:00Z</dcterms:modified>
  <cp:revision>156</cp:revision>
  <dc:subject/>
  <dc:title>PROCES-VERBAL DE DESACCORD</dc:title>
</cp:coreProperties>
</file>