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72A6659" w14:textId="77777777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3AC38BE6" w14:textId="77777777" w:rsidP="00144DAA" w:rsidR="004A458E" w:rsidRDefault="004A458E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398A61C0" w14:textId="121495CD" w:rsidP="00144DAA" w:rsidR="00DD63DC" w:rsidRDefault="00B66914" w:rsidRPr="004A458E">
      <w:pPr>
        <w:spacing w:after="0" w:line="240" w:lineRule="auto"/>
        <w:jc w:val="center"/>
        <w:rPr>
          <w:rFonts w:ascii="Century Gothic" w:hAnsi="Century Gothic"/>
          <w:b/>
        </w:rPr>
      </w:pPr>
      <w:r w:rsidRPr="004A458E">
        <w:rPr>
          <w:rFonts w:ascii="Century Gothic" w:hAnsi="Century Gothic"/>
          <w:b/>
        </w:rPr>
        <w:t xml:space="preserve">ACCORD NEGOCIATION ANNUELLE OBLIGATOIRE DES SALAIRES </w:t>
      </w:r>
    </w:p>
    <w:p w14:paraId="7D7B8747" w14:textId="40B8F475" w:rsidP="00144DAA" w:rsidR="00B66914" w:rsidRDefault="00B66914" w:rsidRPr="004A458E">
      <w:pPr>
        <w:spacing w:after="0" w:line="240" w:lineRule="auto"/>
        <w:jc w:val="center"/>
        <w:rPr>
          <w:rFonts w:ascii="Century Gothic" w:hAnsi="Century Gothic"/>
          <w:b/>
        </w:rPr>
      </w:pPr>
      <w:r w:rsidRPr="004A458E">
        <w:rPr>
          <w:rFonts w:ascii="Century Gothic" w:hAnsi="Century Gothic"/>
          <w:b/>
        </w:rPr>
        <w:t xml:space="preserve">ANNEE </w:t>
      </w:r>
      <w:r w:rsidR="00BB2E84" w:rsidRPr="004A458E">
        <w:rPr>
          <w:rFonts w:ascii="Century Gothic" w:hAnsi="Century Gothic"/>
          <w:b/>
        </w:rPr>
        <w:t>202</w:t>
      </w:r>
      <w:r w:rsidR="00E87A34">
        <w:rPr>
          <w:rFonts w:ascii="Century Gothic" w:hAnsi="Century Gothic"/>
          <w:b/>
        </w:rPr>
        <w:t>2</w:t>
      </w:r>
    </w:p>
    <w:p w14:paraId="2FE18C2D" w14:textId="417A5E9B" w:rsidP="00144DAA" w:rsidR="003A70F7" w:rsidRDefault="003A70F7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</w:p>
    <w:p w14:paraId="0E8C38A7" w14:textId="77777777" w:rsidP="00144DAA" w:rsidR="00F61593" w:rsidRDefault="00F61593" w:rsidRPr="003A70F7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</w:p>
    <w:p w14:paraId="322B17BD" w14:textId="19FBA122" w:rsidP="00FE0F7B" w:rsidR="00FE0F7B" w:rsidRDefault="00B66914" w:rsidRPr="003053F2">
      <w:pPr>
        <w:jc w:val="both"/>
        <w:rPr>
          <w:rFonts w:ascii="Century Gothic" w:hAnsi="Century Gothic"/>
          <w:b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La société </w:t>
      </w:r>
      <w:r w:rsidR="00077C99">
        <w:rPr>
          <w:rFonts w:ascii="Century Gothic" w:hAnsi="Century Gothic"/>
          <w:b/>
          <w:bCs/>
          <w:sz w:val="20"/>
          <w:szCs w:val="20"/>
        </w:rPr>
        <w:t>SEGILOG</w:t>
      </w:r>
      <w:r w:rsidRPr="003A70F7">
        <w:rPr>
          <w:rFonts w:ascii="Century Gothic" w:hAnsi="Century Gothic"/>
          <w:sz w:val="20"/>
          <w:szCs w:val="20"/>
        </w:rPr>
        <w:t xml:space="preserve">, </w:t>
      </w:r>
      <w:r w:rsidR="00FE0F7B" w:rsidRPr="00F61593">
        <w:rPr>
          <w:rFonts w:ascii="Century Gothic" w:hAnsi="Century Gothic"/>
          <w:bCs/>
          <w:sz w:val="20"/>
          <w:szCs w:val="20"/>
        </w:rPr>
        <w:t>s</w:t>
      </w:r>
      <w:r w:rsidR="00FE0F7B" w:rsidRPr="003053F2">
        <w:rPr>
          <w:rFonts w:ascii="Century Gothic" w:hAnsi="Century Gothic"/>
          <w:sz w:val="20"/>
          <w:szCs w:val="20"/>
        </w:rPr>
        <w:t xml:space="preserve">ociété </w:t>
      </w:r>
      <w:r w:rsidR="00325265">
        <w:rPr>
          <w:rFonts w:ascii="Century Gothic" w:hAnsi="Century Gothic"/>
          <w:sz w:val="20"/>
          <w:szCs w:val="20"/>
        </w:rPr>
        <w:t>par actions simplifiée au capital de 400 000 €</w:t>
      </w:r>
      <w:r w:rsidR="00FE0F7B" w:rsidRPr="003053F2">
        <w:rPr>
          <w:rFonts w:ascii="Century Gothic" w:hAnsi="Century Gothic"/>
          <w:sz w:val="20"/>
          <w:szCs w:val="20"/>
        </w:rPr>
        <w:t xml:space="preserve">, dont le siège social est situé </w:t>
      </w:r>
      <w:r w:rsidR="00205747">
        <w:rPr>
          <w:rFonts w:ascii="Century Gothic" w:cs="Lucida Sans Unicode" w:hAnsi="Century Gothic"/>
          <w:sz w:val="20"/>
          <w:szCs w:val="20"/>
        </w:rPr>
        <w:t>rue de l’Eguillon, ZI route de Mamers</w:t>
      </w:r>
      <w:r w:rsidR="00E21023">
        <w:rPr>
          <w:rFonts w:ascii="Century Gothic" w:cs="Lucida Sans Unicode" w:hAnsi="Century Gothic"/>
          <w:sz w:val="20"/>
          <w:szCs w:val="20"/>
        </w:rPr>
        <w:t xml:space="preserve">, </w:t>
      </w:r>
      <w:r w:rsidR="00205747">
        <w:rPr>
          <w:rFonts w:ascii="Century Gothic" w:cs="Lucida Sans Unicode" w:hAnsi="Century Gothic"/>
          <w:sz w:val="20"/>
          <w:szCs w:val="20"/>
        </w:rPr>
        <w:t>72400 La Ferté-Bernard</w:t>
      </w:r>
      <w:r w:rsidR="00FE0F7B" w:rsidRPr="003053F2">
        <w:rPr>
          <w:rFonts w:ascii="Century Gothic" w:cs="Lucida Sans Unicode" w:hAnsi="Century Gothic"/>
          <w:sz w:val="20"/>
          <w:szCs w:val="20"/>
        </w:rPr>
        <w:t xml:space="preserve">, immatriculée au registre du commerce et des sociétés </w:t>
      </w:r>
      <w:r w:rsidR="00205747">
        <w:rPr>
          <w:rFonts w:ascii="Century Gothic" w:cs="Lucida Sans Unicode" w:hAnsi="Century Gothic"/>
          <w:sz w:val="20"/>
          <w:szCs w:val="20"/>
        </w:rPr>
        <w:t xml:space="preserve">du Mans </w:t>
      </w:r>
      <w:r w:rsidR="00FE0F7B" w:rsidRPr="003053F2">
        <w:rPr>
          <w:rFonts w:ascii="Century Gothic" w:cs="Lucida Sans Unicode" w:hAnsi="Century Gothic"/>
          <w:sz w:val="20"/>
          <w:szCs w:val="20"/>
        </w:rPr>
        <w:t>sous le numéro</w:t>
      </w:r>
      <w:r w:rsidR="00FE0F7B" w:rsidRPr="00E21023">
        <w:rPr>
          <w:rFonts w:ascii="Century Gothic" w:cs="Lucida Sans Unicode" w:hAnsi="Century Gothic"/>
          <w:bCs/>
          <w:sz w:val="20"/>
          <w:szCs w:val="20"/>
        </w:rPr>
        <w:t xml:space="preserve"> </w:t>
      </w:r>
      <w:r w:rsidR="00205747">
        <w:rPr>
          <w:rFonts w:ascii="Century Gothic" w:hAnsi="Century Gothic"/>
          <w:bCs/>
          <w:sz w:val="20"/>
          <w:szCs w:val="20"/>
        </w:rPr>
        <w:t>334 783 966</w:t>
      </w:r>
      <w:r w:rsidR="00FE0F7B" w:rsidRPr="003053F2">
        <w:rPr>
          <w:rFonts w:ascii="Century Gothic" w:hAnsi="Century Gothic"/>
          <w:sz w:val="20"/>
          <w:szCs w:val="20"/>
        </w:rPr>
        <w:t xml:space="preserve">, </w:t>
      </w:r>
      <w:r w:rsidR="00F61593">
        <w:rPr>
          <w:rFonts w:ascii="Century Gothic" w:hAnsi="Century Gothic"/>
          <w:sz w:val="20"/>
          <w:szCs w:val="20"/>
        </w:rPr>
        <w:t>représentée par son Directeur des ressources humaines</w:t>
      </w:r>
      <w:r w:rsidR="00C65D21">
        <w:rPr>
          <w:rFonts w:ascii="Century Gothic" w:hAnsi="Century Gothic"/>
          <w:sz w:val="20"/>
          <w:szCs w:val="20"/>
        </w:rPr>
        <w:t xml:space="preserve">  </w:t>
      </w:r>
      <w:r w:rsidR="00F61593">
        <w:rPr>
          <w:rFonts w:ascii="Century Gothic" w:hAnsi="Century Gothic"/>
          <w:sz w:val="20"/>
          <w:szCs w:val="20"/>
        </w:rPr>
        <w:t xml:space="preserve"> </w:t>
      </w:r>
    </w:p>
    <w:p w14:paraId="02B09CA3" w14:textId="543277D9" w:rsidP="00144DAA" w:rsidR="00B66914" w:rsidRDefault="00B669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>ET</w:t>
      </w:r>
    </w:p>
    <w:p w14:paraId="2F2CA4E9" w14:textId="77777777" w:rsidP="00144DAA" w:rsidR="004A458E" w:rsidRDefault="004A458E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E5DF4D6" w14:textId="41959A60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>Les organisations syndicales</w:t>
      </w:r>
      <w:r w:rsidR="004A458E">
        <w:rPr>
          <w:rFonts w:ascii="Century Gothic" w:hAnsi="Century Gothic"/>
          <w:sz w:val="20"/>
          <w:szCs w:val="20"/>
        </w:rPr>
        <w:t> :</w:t>
      </w:r>
    </w:p>
    <w:p w14:paraId="5DA31E1F" w14:textId="059390A4" w:rsidP="00E21023" w:rsidR="00E21023" w:rsidRDefault="00E21023" w:rsidRPr="007C7360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7C7360">
        <w:rPr>
          <w:rFonts w:ascii="Century Gothic" w:hAnsi="Century Gothic"/>
          <w:sz w:val="20"/>
          <w:szCs w:val="20"/>
        </w:rPr>
        <w:t xml:space="preserve">- CFE CGC, </w:t>
      </w:r>
      <w:r>
        <w:rPr>
          <w:rFonts w:ascii="Century Gothic" w:hAnsi="Century Gothic"/>
          <w:sz w:val="20"/>
          <w:szCs w:val="20"/>
        </w:rPr>
        <w:t>représentée par</w:t>
      </w:r>
      <w:r w:rsidR="00796EF3">
        <w:rPr>
          <w:rFonts w:ascii="Century Gothic" w:hAnsi="Century Gothic"/>
          <w:sz w:val="20"/>
          <w:szCs w:val="20"/>
        </w:rPr>
        <w:t xml:space="preserve"> </w:t>
      </w:r>
    </w:p>
    <w:p w14:paraId="1DA88FF0" w14:textId="06B4F42C" w:rsidP="00FE0F7B" w:rsidR="00B66914" w:rsidRDefault="00B66914" w:rsidRPr="00494671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x-none"/>
        </w:rPr>
      </w:pPr>
    </w:p>
    <w:p w14:paraId="7FE2604F" w14:textId="353218CC" w:rsidP="00BB6358" w:rsidR="00BB6358" w:rsidRDefault="00B66914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ont, conformément à l'article L. 2242-8 du Code du travail, engagé la négociation annuelle obligatoire sur les thèmes mentionnés à l’article précité et ont eu de nombreux échanges </w:t>
      </w:r>
      <w:r w:rsidR="00BB6358" w:rsidRPr="004124F9">
        <w:rPr>
          <w:rFonts w:ascii="Century Gothic" w:hAnsi="Century Gothic"/>
          <w:bCs/>
          <w:sz w:val="20"/>
          <w:szCs w:val="20"/>
        </w:rPr>
        <w:t xml:space="preserve">du </w:t>
      </w:r>
      <w:r w:rsidR="000E5A36">
        <w:rPr>
          <w:rFonts w:ascii="Century Gothic" w:hAnsi="Century Gothic"/>
          <w:bCs/>
          <w:sz w:val="20"/>
          <w:szCs w:val="20"/>
        </w:rPr>
        <w:t xml:space="preserve">7 avril 2022 </w:t>
      </w:r>
      <w:r w:rsidR="00BB6358" w:rsidRPr="004124F9">
        <w:rPr>
          <w:rFonts w:ascii="Century Gothic" w:hAnsi="Century Gothic"/>
          <w:bCs/>
          <w:sz w:val="20"/>
          <w:szCs w:val="20"/>
        </w:rPr>
        <w:t xml:space="preserve">au </w:t>
      </w:r>
      <w:r w:rsidR="000E5A36">
        <w:rPr>
          <w:rFonts w:ascii="Century Gothic" w:hAnsi="Century Gothic"/>
          <w:bCs/>
          <w:sz w:val="20"/>
          <w:szCs w:val="20"/>
        </w:rPr>
        <w:t xml:space="preserve">7 juillet </w:t>
      </w:r>
      <w:r w:rsidR="0056533B" w:rsidRPr="004124F9">
        <w:rPr>
          <w:rFonts w:ascii="Century Gothic" w:hAnsi="Century Gothic"/>
          <w:bCs/>
          <w:sz w:val="20"/>
          <w:szCs w:val="20"/>
        </w:rPr>
        <w:t>2022</w:t>
      </w:r>
      <w:r w:rsidR="00BB6358" w:rsidRPr="004124F9">
        <w:rPr>
          <w:rFonts w:ascii="Century Gothic" w:hAnsi="Century Gothic"/>
          <w:bCs/>
          <w:sz w:val="20"/>
          <w:szCs w:val="20"/>
        </w:rPr>
        <w:t>.</w:t>
      </w:r>
    </w:p>
    <w:p w14:paraId="2E847B60" w14:textId="2D200384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AEA3E9E" w14:textId="33149C04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3A70F7">
        <w:rPr>
          <w:rFonts w:ascii="Century Gothic" w:hAnsi="Century Gothic"/>
          <w:b/>
          <w:sz w:val="20"/>
          <w:szCs w:val="20"/>
          <w:u w:val="single"/>
        </w:rPr>
        <w:t xml:space="preserve">Article </w:t>
      </w:r>
      <w:r w:rsidR="00D06A72">
        <w:rPr>
          <w:rFonts w:ascii="Century Gothic" w:hAnsi="Century Gothic"/>
          <w:b/>
          <w:sz w:val="20"/>
          <w:szCs w:val="20"/>
          <w:u w:val="single"/>
        </w:rPr>
        <w:t>1</w:t>
      </w:r>
      <w:r w:rsidRPr="003A70F7">
        <w:rPr>
          <w:rFonts w:ascii="Century Gothic" w:hAnsi="Century Gothic"/>
          <w:b/>
          <w:sz w:val="20"/>
          <w:szCs w:val="20"/>
        </w:rPr>
        <w:t xml:space="preserve"> : </w:t>
      </w:r>
      <w:r w:rsidR="00D06A72">
        <w:rPr>
          <w:rFonts w:ascii="Century Gothic" w:hAnsi="Century Gothic"/>
          <w:b/>
          <w:sz w:val="20"/>
          <w:szCs w:val="20"/>
        </w:rPr>
        <w:t>Préambule</w:t>
      </w:r>
    </w:p>
    <w:p w14:paraId="6A05A809" w14:textId="77777777" w:rsidP="00144DAA" w:rsidR="00144DAA" w:rsidRDefault="00144DAA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D692094" w14:textId="017CA2F9" w:rsidP="00EE147F" w:rsidR="004124F9" w:rsidRDefault="00EE147F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878C2">
        <w:rPr>
          <w:rFonts w:ascii="Century Gothic" w:hAnsi="Century Gothic"/>
          <w:sz w:val="20"/>
          <w:szCs w:val="20"/>
        </w:rPr>
        <w:t xml:space="preserve">Lors </w:t>
      </w:r>
      <w:r w:rsidR="004124F9">
        <w:rPr>
          <w:rFonts w:ascii="Century Gothic" w:hAnsi="Century Gothic"/>
          <w:sz w:val="20"/>
          <w:szCs w:val="20"/>
        </w:rPr>
        <w:t>des différentes</w:t>
      </w:r>
      <w:r w:rsidRPr="001878C2">
        <w:rPr>
          <w:rFonts w:ascii="Century Gothic" w:hAnsi="Century Gothic"/>
          <w:sz w:val="20"/>
          <w:szCs w:val="20"/>
        </w:rPr>
        <w:t xml:space="preserve"> réunion</w:t>
      </w:r>
      <w:r w:rsidR="004124F9">
        <w:rPr>
          <w:rFonts w:ascii="Century Gothic" w:hAnsi="Century Gothic"/>
          <w:sz w:val="20"/>
          <w:szCs w:val="20"/>
        </w:rPr>
        <w:t>s</w:t>
      </w:r>
      <w:r w:rsidRPr="001878C2">
        <w:rPr>
          <w:rFonts w:ascii="Century Gothic" w:hAnsi="Century Gothic"/>
          <w:sz w:val="20"/>
          <w:szCs w:val="20"/>
        </w:rPr>
        <w:t>, la Direction a exprimé qu’elle était consciente</w:t>
      </w:r>
      <w:r w:rsidR="004124F9">
        <w:rPr>
          <w:rFonts w:ascii="Century Gothic" w:hAnsi="Century Gothic"/>
          <w:sz w:val="20"/>
          <w:szCs w:val="20"/>
        </w:rPr>
        <w:t> de :</w:t>
      </w:r>
    </w:p>
    <w:p w14:paraId="1E2D33F1" w14:textId="2584D6E4" w:rsidP="004124F9" w:rsidR="00EE147F" w:rsidRDefault="00EE147F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4124F9">
        <w:rPr>
          <w:rFonts w:ascii="Century Gothic" w:hAnsi="Century Gothic"/>
          <w:sz w:val="20"/>
          <w:szCs w:val="20"/>
        </w:rPr>
        <w:t>l’effort et de l’investissement des collaborateurs au cours de l’année 202</w:t>
      </w:r>
      <w:r w:rsidR="0056533B" w:rsidRPr="004124F9">
        <w:rPr>
          <w:rFonts w:ascii="Century Gothic" w:hAnsi="Century Gothic"/>
          <w:sz w:val="20"/>
          <w:szCs w:val="20"/>
        </w:rPr>
        <w:t>1</w:t>
      </w:r>
      <w:r w:rsidRPr="004124F9">
        <w:rPr>
          <w:rFonts w:ascii="Century Gothic" w:hAnsi="Century Gothic"/>
          <w:sz w:val="20"/>
          <w:szCs w:val="20"/>
        </w:rPr>
        <w:t xml:space="preserve"> et de la nécessité </w:t>
      </w:r>
      <w:r w:rsidR="00DB7238" w:rsidRPr="004124F9">
        <w:rPr>
          <w:rFonts w:ascii="Century Gothic" w:hAnsi="Century Gothic"/>
          <w:sz w:val="20"/>
          <w:szCs w:val="20"/>
        </w:rPr>
        <w:t xml:space="preserve">en sus de mesures collectives </w:t>
      </w:r>
      <w:r w:rsidRPr="004124F9">
        <w:rPr>
          <w:rFonts w:ascii="Century Gothic" w:hAnsi="Century Gothic"/>
          <w:sz w:val="20"/>
          <w:szCs w:val="20"/>
        </w:rPr>
        <w:t>d’envisager des augmentations de rémunération pour les collaborateurs, en privilégiant les augmentations individuelles</w:t>
      </w:r>
      <w:r w:rsidR="004124F9">
        <w:rPr>
          <w:rFonts w:ascii="Century Gothic" w:hAnsi="Century Gothic"/>
          <w:sz w:val="20"/>
          <w:szCs w:val="20"/>
        </w:rPr>
        <w:t> ;</w:t>
      </w:r>
    </w:p>
    <w:p w14:paraId="56F58A4D" w14:textId="356FD147" w:rsidP="004124F9" w:rsidR="004124F9" w:rsidRDefault="004124F9" w:rsidRPr="004124F9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 nécessité de trouver le moyen d’agir sur le pouvoir d’achat des collaborateurs, affecté entre autres par l’inflation et la crise sur les matières premières et l’énergie.</w:t>
      </w:r>
    </w:p>
    <w:p w14:paraId="5A39BBE3" w14:textId="77777777" w:rsidP="00144DAA" w:rsidR="00144DAA" w:rsidRDefault="00144DAA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1C8F396" w14:textId="6FF7968B" w:rsidP="00F04DDB" w:rsidR="00144DAA" w:rsidRDefault="00B66914" w:rsidRPr="00590FE4">
      <w:pPr>
        <w:spacing w:after="0" w:line="240" w:lineRule="auto"/>
        <w:jc w:val="both"/>
        <w:rPr>
          <w:rFonts w:ascii="Century Gothic" w:cs="Century Gothic" w:eastAsia="Century Gothic" w:hAnsi="Century Gothic"/>
          <w:i/>
          <w:iCs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Les organisations syndicales </w:t>
      </w:r>
      <w:r w:rsidR="00EE147F">
        <w:rPr>
          <w:rFonts w:ascii="Century Gothic" w:hAnsi="Century Gothic"/>
          <w:sz w:val="20"/>
          <w:szCs w:val="20"/>
        </w:rPr>
        <w:t>ne se sont pas opposées à des augmentations individuelles, si celles-ci pouvai</w:t>
      </w:r>
      <w:r w:rsidR="005C1DC6">
        <w:rPr>
          <w:rFonts w:ascii="Century Gothic" w:hAnsi="Century Gothic"/>
          <w:sz w:val="20"/>
          <w:szCs w:val="20"/>
        </w:rPr>
        <w:t>en</w:t>
      </w:r>
      <w:r w:rsidR="00EE147F">
        <w:rPr>
          <w:rFonts w:ascii="Century Gothic" w:hAnsi="Century Gothic"/>
          <w:sz w:val="20"/>
          <w:szCs w:val="20"/>
        </w:rPr>
        <w:t xml:space="preserve">t servir un grand nombre de </w:t>
      </w:r>
      <w:r w:rsidR="00677CB3">
        <w:rPr>
          <w:rFonts w:ascii="Century Gothic" w:hAnsi="Century Gothic"/>
          <w:sz w:val="20"/>
          <w:szCs w:val="20"/>
        </w:rPr>
        <w:t>salarié</w:t>
      </w:r>
      <w:r w:rsidR="00EE147F">
        <w:rPr>
          <w:rFonts w:ascii="Century Gothic" w:hAnsi="Century Gothic"/>
          <w:sz w:val="20"/>
          <w:szCs w:val="20"/>
        </w:rPr>
        <w:t>s</w:t>
      </w:r>
      <w:r w:rsidR="004124F9">
        <w:rPr>
          <w:rFonts w:ascii="Century Gothic" w:hAnsi="Century Gothic"/>
          <w:sz w:val="20"/>
          <w:szCs w:val="20"/>
        </w:rPr>
        <w:t xml:space="preserve"> mais ont réitéré leur souhait de porter l’accent sur des mesures collectives et notamment des augmentations générales</w:t>
      </w:r>
      <w:r w:rsidR="00EE147F">
        <w:rPr>
          <w:rFonts w:ascii="Century Gothic" w:hAnsi="Century Gothic"/>
          <w:sz w:val="20"/>
          <w:szCs w:val="20"/>
        </w:rPr>
        <w:t xml:space="preserve">. </w:t>
      </w:r>
      <w:r w:rsidR="004200B6">
        <w:rPr>
          <w:rFonts w:ascii="Century Gothic" w:hAnsi="Century Gothic"/>
          <w:sz w:val="20"/>
          <w:szCs w:val="20"/>
        </w:rPr>
        <w:t xml:space="preserve">La Direction a donc </w:t>
      </w:r>
      <w:r w:rsidR="00FD24CC">
        <w:rPr>
          <w:rFonts w:ascii="Century Gothic" w:hAnsi="Century Gothic"/>
          <w:sz w:val="20"/>
          <w:szCs w:val="20"/>
        </w:rPr>
        <w:t xml:space="preserve">finalement </w:t>
      </w:r>
      <w:r w:rsidR="004200B6">
        <w:rPr>
          <w:rFonts w:ascii="Century Gothic" w:hAnsi="Century Gothic"/>
          <w:sz w:val="20"/>
          <w:szCs w:val="20"/>
        </w:rPr>
        <w:t xml:space="preserve">décidé d’augmenter </w:t>
      </w:r>
      <w:r w:rsidR="0019426A">
        <w:rPr>
          <w:rFonts w:ascii="Century Gothic" w:hAnsi="Century Gothic"/>
          <w:sz w:val="20"/>
          <w:szCs w:val="20"/>
        </w:rPr>
        <w:t>l’enveloppe globale des mesures pour 2022 à hauteur de 3,6%</w:t>
      </w:r>
      <w:r w:rsidR="00802310">
        <w:rPr>
          <w:rFonts w:ascii="Century Gothic" w:hAnsi="Century Gothic"/>
          <w:sz w:val="20"/>
          <w:szCs w:val="20"/>
        </w:rPr>
        <w:t xml:space="preserve"> de </w:t>
      </w:r>
      <w:r w:rsidR="00BE6656">
        <w:rPr>
          <w:rFonts w:ascii="Century Gothic" w:hAnsi="Century Gothic"/>
          <w:sz w:val="20"/>
          <w:szCs w:val="20"/>
        </w:rPr>
        <w:t>la part des salaires</w:t>
      </w:r>
      <w:r w:rsidR="000F7F35">
        <w:rPr>
          <w:rFonts w:ascii="Century Gothic" w:hAnsi="Century Gothic"/>
          <w:sz w:val="20"/>
          <w:szCs w:val="20"/>
        </w:rPr>
        <w:t>,</w:t>
      </w:r>
      <w:r w:rsidR="0019426A">
        <w:rPr>
          <w:rFonts w:ascii="Century Gothic" w:hAnsi="Century Gothic"/>
          <w:sz w:val="20"/>
          <w:szCs w:val="20"/>
        </w:rPr>
        <w:t xml:space="preserve"> la moit</w:t>
      </w:r>
      <w:r w:rsidR="00802310">
        <w:rPr>
          <w:rFonts w:ascii="Century Gothic" w:hAnsi="Century Gothic"/>
          <w:sz w:val="20"/>
          <w:szCs w:val="20"/>
        </w:rPr>
        <w:t>i</w:t>
      </w:r>
      <w:r w:rsidR="0019426A">
        <w:rPr>
          <w:rFonts w:ascii="Century Gothic" w:hAnsi="Century Gothic"/>
          <w:sz w:val="20"/>
          <w:szCs w:val="20"/>
        </w:rPr>
        <w:t>é de cette enveloppe étant consacrée à des mesures collectives.</w:t>
      </w:r>
    </w:p>
    <w:p w14:paraId="680E4969" w14:textId="77777777" w:rsidP="00BB6358" w:rsidR="006A6414" w:rsidRDefault="006A64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1F2CF99" w14:textId="256FC606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3A70F7">
        <w:rPr>
          <w:rFonts w:ascii="Century Gothic" w:hAnsi="Century Gothic"/>
          <w:b/>
          <w:sz w:val="20"/>
          <w:szCs w:val="20"/>
          <w:u w:val="single"/>
        </w:rPr>
        <w:t xml:space="preserve">Article </w:t>
      </w:r>
      <w:r w:rsidR="00D06A72">
        <w:rPr>
          <w:rFonts w:ascii="Century Gothic" w:hAnsi="Century Gothic"/>
          <w:b/>
          <w:sz w:val="20"/>
          <w:szCs w:val="20"/>
          <w:u w:val="single"/>
        </w:rPr>
        <w:t>2</w:t>
      </w:r>
      <w:r w:rsidRPr="003A70F7">
        <w:rPr>
          <w:rFonts w:ascii="Century Gothic" w:hAnsi="Century Gothic"/>
          <w:b/>
          <w:sz w:val="20"/>
          <w:szCs w:val="20"/>
        </w:rPr>
        <w:t xml:space="preserve"> : Accord </w:t>
      </w:r>
    </w:p>
    <w:p w14:paraId="44EAFD9C" w14:textId="77777777" w:rsidP="00144DAA" w:rsidR="00144DAA" w:rsidRDefault="00144DAA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999F6C4" w14:textId="5F11F7FC" w:rsidP="00144DAA" w:rsidR="00B66914" w:rsidRDefault="00B669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Les parties sont </w:t>
      </w:r>
      <w:r w:rsidR="009D03CA">
        <w:rPr>
          <w:rFonts w:ascii="Century Gothic" w:hAnsi="Century Gothic"/>
          <w:sz w:val="20"/>
          <w:szCs w:val="20"/>
        </w:rPr>
        <w:t>parvenues ce jour, à un accord</w:t>
      </w:r>
      <w:r w:rsidR="00144DAA" w:rsidRPr="003A70F7">
        <w:rPr>
          <w:rFonts w:ascii="Century Gothic" w:hAnsi="Century Gothic"/>
          <w:sz w:val="20"/>
          <w:szCs w:val="20"/>
        </w:rPr>
        <w:t xml:space="preserve"> sur </w:t>
      </w:r>
      <w:r w:rsidR="00BB6358">
        <w:rPr>
          <w:rFonts w:ascii="Century Gothic" w:hAnsi="Century Gothic"/>
          <w:sz w:val="20"/>
          <w:szCs w:val="20"/>
        </w:rPr>
        <w:t>les mesures suivantes :</w:t>
      </w:r>
    </w:p>
    <w:p w14:paraId="49019CAD" w14:textId="5AE85C44" w:rsidP="00BB6358" w:rsidR="00BB6358" w:rsidRDefault="00BB6358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</w:p>
    <w:p w14:paraId="041A67A1" w14:textId="11A7487A" w:rsidP="00796EF3" w:rsidR="00796EF3" w:rsidRDefault="00796EF3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b/>
          <w:bCs/>
          <w:sz w:val="20"/>
          <w:szCs w:val="20"/>
        </w:rPr>
        <w:t xml:space="preserve">Une enveloppe d’augmentation </w:t>
      </w:r>
      <w:r>
        <w:rPr>
          <w:rFonts w:ascii="Century Gothic" w:hAnsi="Century Gothic"/>
          <w:b/>
          <w:bCs/>
          <w:sz w:val="20"/>
          <w:szCs w:val="20"/>
        </w:rPr>
        <w:t>générale</w:t>
      </w:r>
      <w:r w:rsidRPr="006A6414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216947">
        <w:rPr>
          <w:rFonts w:ascii="Century Gothic" w:hAnsi="Century Gothic"/>
          <w:b/>
          <w:bCs/>
          <w:sz w:val="20"/>
          <w:szCs w:val="20"/>
        </w:rPr>
        <w:t>représentant</w:t>
      </w:r>
      <w:r w:rsidR="00216947" w:rsidRPr="006A6414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5457F6">
        <w:rPr>
          <w:rFonts w:ascii="Century Gothic" w:hAnsi="Century Gothic"/>
          <w:b/>
          <w:bCs/>
          <w:sz w:val="20"/>
          <w:szCs w:val="20"/>
        </w:rPr>
        <w:t>1</w:t>
      </w:r>
      <w:r>
        <w:rPr>
          <w:rFonts w:ascii="Century Gothic" w:hAnsi="Century Gothic"/>
          <w:b/>
          <w:bCs/>
          <w:sz w:val="20"/>
          <w:szCs w:val="20"/>
        </w:rPr>
        <w:t>,</w:t>
      </w:r>
      <w:r w:rsidR="005457F6">
        <w:rPr>
          <w:rFonts w:ascii="Century Gothic" w:hAnsi="Century Gothic"/>
          <w:b/>
          <w:bCs/>
          <w:sz w:val="20"/>
          <w:szCs w:val="20"/>
        </w:rPr>
        <w:t>1</w:t>
      </w:r>
      <w:r w:rsidRPr="006A6414">
        <w:rPr>
          <w:rFonts w:ascii="Century Gothic" w:hAnsi="Century Gothic"/>
          <w:b/>
          <w:bCs/>
          <w:sz w:val="20"/>
          <w:szCs w:val="20"/>
        </w:rPr>
        <w:t>%</w:t>
      </w:r>
      <w:r w:rsidR="00216947">
        <w:rPr>
          <w:rFonts w:ascii="Century Gothic" w:hAnsi="Century Gothic"/>
          <w:b/>
          <w:bCs/>
          <w:sz w:val="20"/>
          <w:szCs w:val="20"/>
        </w:rPr>
        <w:t xml:space="preserve"> de la part des salaires</w:t>
      </w:r>
      <w:r w:rsidRPr="006A6414">
        <w:rPr>
          <w:rFonts w:ascii="Century Gothic" w:hAnsi="Century Gothic"/>
          <w:sz w:val="20"/>
          <w:szCs w:val="20"/>
        </w:rPr>
        <w:t>.</w:t>
      </w:r>
    </w:p>
    <w:p w14:paraId="0E762FCC" w14:textId="00B2B386" w:rsidP="00BB6358" w:rsidR="00AF4520" w:rsidRDefault="009D03CA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Le salaire mensuel fixe brut de chaque </w:t>
      </w:r>
      <w:r w:rsidR="00677CB3">
        <w:rPr>
          <w:rFonts w:ascii="Century Gothic" w:hAnsi="Century Gothic"/>
          <w:bCs/>
          <w:sz w:val="20"/>
          <w:szCs w:val="20"/>
        </w:rPr>
        <w:t>salarié</w:t>
      </w:r>
      <w:r w:rsidR="00AF4520">
        <w:rPr>
          <w:rFonts w:ascii="Century Gothic" w:hAnsi="Century Gothic"/>
          <w:bCs/>
          <w:sz w:val="20"/>
          <w:szCs w:val="20"/>
        </w:rPr>
        <w:t xml:space="preserve"> entrant dans le champ d’application de la mesure,</w:t>
      </w:r>
      <w:r>
        <w:rPr>
          <w:rFonts w:ascii="Century Gothic" w:hAnsi="Century Gothic"/>
          <w:bCs/>
          <w:sz w:val="20"/>
          <w:szCs w:val="20"/>
        </w:rPr>
        <w:t xml:space="preserve"> sera </w:t>
      </w:r>
      <w:r w:rsidR="00677CB3">
        <w:rPr>
          <w:rFonts w:ascii="Century Gothic" w:hAnsi="Century Gothic"/>
          <w:bCs/>
          <w:sz w:val="20"/>
          <w:szCs w:val="20"/>
        </w:rPr>
        <w:t>augmenté</w:t>
      </w:r>
      <w:r>
        <w:rPr>
          <w:rFonts w:ascii="Century Gothic" w:hAnsi="Century Gothic"/>
          <w:bCs/>
          <w:sz w:val="20"/>
          <w:szCs w:val="20"/>
        </w:rPr>
        <w:t xml:space="preserve"> d’un montant brut de 30 euros </w:t>
      </w:r>
      <w:r w:rsidR="00AF4520">
        <w:rPr>
          <w:rFonts w:ascii="Century Gothic" w:hAnsi="Century Gothic"/>
          <w:bCs/>
          <w:sz w:val="20"/>
          <w:szCs w:val="20"/>
        </w:rPr>
        <w:t>(base temps plein</w:t>
      </w:r>
      <w:r w:rsidR="00B47601">
        <w:rPr>
          <w:rFonts w:ascii="Century Gothic" w:hAnsi="Century Gothic"/>
          <w:bCs/>
          <w:sz w:val="20"/>
          <w:szCs w:val="20"/>
        </w:rPr>
        <w:t xml:space="preserve"> à fin juin 2022</w:t>
      </w:r>
      <w:r w:rsidR="00AF4520">
        <w:rPr>
          <w:rFonts w:ascii="Century Gothic" w:hAnsi="Century Gothic"/>
          <w:bCs/>
          <w:sz w:val="20"/>
          <w:szCs w:val="20"/>
        </w:rPr>
        <w:t>) à compter du 1</w:t>
      </w:r>
      <w:r w:rsidR="00AF4520" w:rsidRPr="00FB034D">
        <w:rPr>
          <w:rFonts w:ascii="Century Gothic" w:hAnsi="Century Gothic"/>
          <w:bCs/>
          <w:sz w:val="20"/>
          <w:szCs w:val="20"/>
          <w:vertAlign w:val="superscript"/>
        </w:rPr>
        <w:t>er</w:t>
      </w:r>
      <w:r w:rsidR="00AF4520">
        <w:rPr>
          <w:rFonts w:ascii="Century Gothic" w:hAnsi="Century Gothic"/>
          <w:bCs/>
          <w:sz w:val="20"/>
          <w:szCs w:val="20"/>
        </w:rPr>
        <w:t xml:space="preserve"> juillet 2022.</w:t>
      </w:r>
    </w:p>
    <w:p w14:paraId="6ADCD19B" w14:textId="77777777" w:rsidP="00BB6358" w:rsidR="00AF4520" w:rsidRDefault="00AF4520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Champ d’application :</w:t>
      </w:r>
    </w:p>
    <w:p w14:paraId="5E289C50" w14:textId="652A026C" w:rsidP="00AF4520" w:rsidR="00AF4520" w:rsidRDefault="00AF4520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Présence dans les effectifs depuis le 31 décembre 2021</w:t>
      </w:r>
    </w:p>
    <w:p w14:paraId="04B7F1BA" w14:textId="118F2AC2" w:rsidP="00AF4520" w:rsidR="00481FC3" w:rsidRDefault="00481FC3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Salariés en CDI ou CDD hors contrats en alternance</w:t>
      </w:r>
    </w:p>
    <w:p w14:paraId="1F2879B1" w14:textId="40758219" w:rsidP="00FB034D" w:rsidR="00796EF3" w:rsidRDefault="00796EF3" w:rsidRPr="00FB034D">
      <w:pPr>
        <w:pStyle w:val="Paragraphedeliste"/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</w:p>
    <w:p w14:paraId="55F8E83B" w14:textId="0F42538A" w:rsidP="003274EB" w:rsidR="003274EB" w:rsidRDefault="003274EB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b/>
          <w:bCs/>
          <w:sz w:val="20"/>
          <w:szCs w:val="20"/>
        </w:rPr>
        <w:t xml:space="preserve">Une enveloppe </w:t>
      </w:r>
      <w:r>
        <w:rPr>
          <w:rFonts w:ascii="Century Gothic" w:hAnsi="Century Gothic"/>
          <w:b/>
          <w:bCs/>
          <w:sz w:val="20"/>
          <w:szCs w:val="20"/>
        </w:rPr>
        <w:t>de mesures collectives représentant</w:t>
      </w:r>
      <w:r w:rsidRPr="006A6414"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b/>
          <w:bCs/>
          <w:sz w:val="20"/>
          <w:szCs w:val="20"/>
        </w:rPr>
        <w:t>0,</w:t>
      </w:r>
      <w:r w:rsidR="00AC74CB">
        <w:rPr>
          <w:rFonts w:ascii="Century Gothic" w:hAnsi="Century Gothic"/>
          <w:b/>
          <w:bCs/>
          <w:sz w:val="20"/>
          <w:szCs w:val="20"/>
        </w:rPr>
        <w:t>4</w:t>
      </w:r>
      <w:r w:rsidRPr="006A6414">
        <w:rPr>
          <w:rFonts w:ascii="Century Gothic" w:hAnsi="Century Gothic"/>
          <w:b/>
          <w:bCs/>
          <w:sz w:val="20"/>
          <w:szCs w:val="20"/>
        </w:rPr>
        <w:t>%</w:t>
      </w:r>
      <w:r>
        <w:rPr>
          <w:rFonts w:ascii="Century Gothic" w:hAnsi="Century Gothic"/>
          <w:b/>
          <w:bCs/>
          <w:sz w:val="20"/>
          <w:szCs w:val="20"/>
        </w:rPr>
        <w:t xml:space="preserve"> de la part des salaires</w:t>
      </w:r>
      <w:r w:rsidR="00B66D9E">
        <w:rPr>
          <w:rFonts w:ascii="Century Gothic" w:hAnsi="Century Gothic"/>
          <w:b/>
          <w:bCs/>
          <w:sz w:val="20"/>
          <w:szCs w:val="20"/>
        </w:rPr>
        <w:t xml:space="preserve"> versée en septembre 2022 ou en octobre 2022.</w:t>
      </w:r>
    </w:p>
    <w:p w14:paraId="48F214D9" w14:textId="1981FDE8" w:rsidP="003274EB" w:rsidR="003274EB" w:rsidRDefault="003274EB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Cette enveloppe fera l’objet de négociations à la rentrée 2022 afin d’identifier les dispositifs les plus adéquats pour apporter aux salariés des mesures sociales qui leur seraient bénéfiques, à travers le versement d’une prime dite PEPA si le dispositif légal le permet</w:t>
      </w:r>
      <w:r w:rsidR="00A24F1B">
        <w:rPr>
          <w:rFonts w:ascii="Century Gothic" w:hAnsi="Century Gothic"/>
          <w:sz w:val="20"/>
          <w:szCs w:val="20"/>
        </w:rPr>
        <w:t xml:space="preserve"> et </w:t>
      </w:r>
      <w:r w:rsidR="009D41FB">
        <w:rPr>
          <w:rFonts w:ascii="Century Gothic" w:hAnsi="Century Gothic"/>
          <w:sz w:val="20"/>
          <w:szCs w:val="20"/>
        </w:rPr>
        <w:t xml:space="preserve">une </w:t>
      </w:r>
      <w:r w:rsidR="00E15614">
        <w:rPr>
          <w:rFonts w:ascii="Century Gothic" w:hAnsi="Century Gothic"/>
          <w:sz w:val="20"/>
          <w:szCs w:val="20"/>
        </w:rPr>
        <w:t>baisse de la participation sur les véhicules de société</w:t>
      </w:r>
      <w:r>
        <w:rPr>
          <w:rFonts w:ascii="Century Gothic" w:hAnsi="Century Gothic"/>
          <w:sz w:val="20"/>
          <w:szCs w:val="20"/>
        </w:rPr>
        <w:t xml:space="preserve">. Cette augmentation collective sera perçue </w:t>
      </w:r>
      <w:r w:rsidR="00B66D9E">
        <w:rPr>
          <w:rFonts w:ascii="Century Gothic" w:hAnsi="Century Gothic"/>
          <w:sz w:val="20"/>
          <w:szCs w:val="20"/>
        </w:rPr>
        <w:t>en septembre 2022 ou en octobre 2022 en fonction des négociations et de la publication des dispositifs de versement de ladite prime</w:t>
      </w:r>
      <w:r>
        <w:rPr>
          <w:rFonts w:ascii="Century Gothic" w:hAnsi="Century Gothic"/>
          <w:sz w:val="20"/>
          <w:szCs w:val="20"/>
        </w:rPr>
        <w:t>.</w:t>
      </w:r>
    </w:p>
    <w:p w14:paraId="1448CC67" w14:textId="77777777" w:rsidP="00BB6358" w:rsidR="00796EF3" w:rsidRDefault="00796EF3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</w:rPr>
      </w:pPr>
    </w:p>
    <w:p w14:paraId="2E347F87" w14:textId="629DCFC1" w:rsidP="006A6414" w:rsidR="006A6414" w:rsidRDefault="006A6414">
      <w:pPr>
        <w:numPr>
          <w:ilvl w:val="0"/>
          <w:numId w:val="16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b/>
          <w:bCs/>
          <w:sz w:val="20"/>
          <w:szCs w:val="20"/>
        </w:rPr>
        <w:t xml:space="preserve">Une enveloppe d’augmentations individuelles </w:t>
      </w:r>
      <w:r w:rsidR="000F4080">
        <w:rPr>
          <w:rFonts w:ascii="Century Gothic" w:hAnsi="Century Gothic"/>
          <w:b/>
          <w:bCs/>
          <w:sz w:val="20"/>
          <w:szCs w:val="20"/>
        </w:rPr>
        <w:t xml:space="preserve">représentant </w:t>
      </w:r>
      <w:r w:rsidR="004409D2">
        <w:rPr>
          <w:rFonts w:ascii="Century Gothic" w:hAnsi="Century Gothic"/>
          <w:b/>
          <w:bCs/>
          <w:sz w:val="20"/>
          <w:szCs w:val="20"/>
        </w:rPr>
        <w:t>1</w:t>
      </w:r>
      <w:r w:rsidRPr="006A6414">
        <w:rPr>
          <w:rFonts w:ascii="Century Gothic" w:hAnsi="Century Gothic"/>
          <w:b/>
          <w:bCs/>
          <w:sz w:val="20"/>
          <w:szCs w:val="20"/>
        </w:rPr>
        <w:t>,</w:t>
      </w:r>
      <w:r w:rsidR="004409D2">
        <w:rPr>
          <w:rFonts w:ascii="Century Gothic" w:hAnsi="Century Gothic"/>
          <w:b/>
          <w:bCs/>
          <w:sz w:val="20"/>
          <w:szCs w:val="20"/>
        </w:rPr>
        <w:t>8</w:t>
      </w:r>
      <w:r w:rsidRPr="006A6414">
        <w:rPr>
          <w:rFonts w:ascii="Century Gothic" w:hAnsi="Century Gothic"/>
          <w:b/>
          <w:bCs/>
          <w:sz w:val="20"/>
          <w:szCs w:val="20"/>
        </w:rPr>
        <w:t>%</w:t>
      </w:r>
      <w:r w:rsidR="000F4080">
        <w:rPr>
          <w:rFonts w:ascii="Century Gothic" w:hAnsi="Century Gothic"/>
          <w:b/>
          <w:bCs/>
          <w:sz w:val="20"/>
          <w:szCs w:val="20"/>
        </w:rPr>
        <w:t xml:space="preserve"> de la part des salaires</w:t>
      </w:r>
      <w:r w:rsidRPr="006A6414">
        <w:rPr>
          <w:rFonts w:ascii="Century Gothic" w:hAnsi="Century Gothic"/>
          <w:sz w:val="20"/>
          <w:szCs w:val="20"/>
        </w:rPr>
        <w:t xml:space="preserve">. </w:t>
      </w:r>
    </w:p>
    <w:p w14:paraId="711AE1C1" w14:textId="71A68EBF" w:rsidP="006A6414" w:rsidR="006A6414" w:rsidRDefault="006A6414" w:rsidRPr="006A64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Ces augmentations seront définies entre les managers et la DRH suivant trois critères principaux :</w:t>
      </w:r>
    </w:p>
    <w:p w14:paraId="2F53A9B1" w14:textId="77777777" w:rsidP="006A6414" w:rsidR="006A6414" w:rsidRDefault="006A6414" w:rsidRPr="006A6414">
      <w:pPr>
        <w:numPr>
          <w:ilvl w:val="0"/>
          <w:numId w:val="17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>le niveau de salaire par rapport au poste occupé et aux salaires pratiqués dans l’entreprise pour ce même poste et comparativement aux autres métiers,</w:t>
      </w:r>
    </w:p>
    <w:p w14:paraId="37A1B974" w14:textId="4C4CFC38" w:rsidP="006A6414" w:rsidR="006A6414" w:rsidRDefault="006A6414" w:rsidRPr="006A6414">
      <w:pPr>
        <w:numPr>
          <w:ilvl w:val="0"/>
          <w:numId w:val="17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 xml:space="preserve">la performance, le niveau de maîtrise et d’autonomie du </w:t>
      </w:r>
      <w:r w:rsidR="00677CB3">
        <w:rPr>
          <w:rFonts w:ascii="Century Gothic" w:hAnsi="Century Gothic"/>
          <w:sz w:val="20"/>
          <w:szCs w:val="20"/>
        </w:rPr>
        <w:t>salarié</w:t>
      </w:r>
      <w:r w:rsidRPr="006A6414">
        <w:rPr>
          <w:rFonts w:ascii="Century Gothic" w:hAnsi="Century Gothic"/>
          <w:sz w:val="20"/>
          <w:szCs w:val="20"/>
        </w:rPr>
        <w:t xml:space="preserve"> à son poste,</w:t>
      </w:r>
    </w:p>
    <w:p w14:paraId="52545BED" w14:textId="4074CE27" w:rsidP="006A6414" w:rsidR="006A6414" w:rsidRDefault="006A6414" w:rsidRPr="006A6414">
      <w:pPr>
        <w:numPr>
          <w:ilvl w:val="0"/>
          <w:numId w:val="17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 xml:space="preserve">l’historique d’évolution de rémunération du </w:t>
      </w:r>
      <w:r w:rsidR="00677CB3">
        <w:rPr>
          <w:rFonts w:ascii="Century Gothic" w:hAnsi="Century Gothic"/>
          <w:sz w:val="20"/>
          <w:szCs w:val="20"/>
        </w:rPr>
        <w:t>salarié</w:t>
      </w:r>
      <w:r w:rsidRPr="006A6414">
        <w:rPr>
          <w:rFonts w:ascii="Century Gothic" w:hAnsi="Century Gothic"/>
          <w:sz w:val="20"/>
          <w:szCs w:val="20"/>
        </w:rPr>
        <w:t>.</w:t>
      </w:r>
    </w:p>
    <w:p w14:paraId="09576333" w14:textId="3B38BEBD" w:rsidP="006A6414" w:rsidR="006A6414" w:rsidRDefault="006A64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A6414">
        <w:rPr>
          <w:rFonts w:ascii="Century Gothic" w:hAnsi="Century Gothic"/>
          <w:sz w:val="20"/>
          <w:szCs w:val="20"/>
        </w:rPr>
        <w:t xml:space="preserve">L’employeur </w:t>
      </w:r>
      <w:r w:rsidR="004409D2">
        <w:rPr>
          <w:rFonts w:ascii="Century Gothic" w:hAnsi="Century Gothic"/>
          <w:sz w:val="20"/>
          <w:szCs w:val="20"/>
        </w:rPr>
        <w:t>informera</w:t>
      </w:r>
      <w:r w:rsidR="00E87A34">
        <w:rPr>
          <w:rFonts w:ascii="Century Gothic" w:hAnsi="Century Gothic"/>
          <w:sz w:val="20"/>
          <w:szCs w:val="20"/>
        </w:rPr>
        <w:t xml:space="preserve"> </w:t>
      </w:r>
      <w:r w:rsidRPr="006A6414">
        <w:rPr>
          <w:rFonts w:ascii="Century Gothic" w:hAnsi="Century Gothic"/>
          <w:sz w:val="20"/>
          <w:szCs w:val="20"/>
        </w:rPr>
        <w:t xml:space="preserve">le CSE </w:t>
      </w:r>
      <w:r w:rsidR="004409D2">
        <w:rPr>
          <w:rFonts w:ascii="Century Gothic" w:hAnsi="Century Gothic"/>
          <w:sz w:val="20"/>
          <w:szCs w:val="20"/>
        </w:rPr>
        <w:t>lors</w:t>
      </w:r>
      <w:r w:rsidRPr="006A6414">
        <w:rPr>
          <w:rFonts w:ascii="Century Gothic" w:hAnsi="Century Gothic"/>
          <w:sz w:val="20"/>
          <w:szCs w:val="20"/>
        </w:rPr>
        <w:t xml:space="preserve"> de la réunion ordinaire du </w:t>
      </w:r>
      <w:r w:rsidR="004409D2">
        <w:rPr>
          <w:rFonts w:ascii="Century Gothic" w:hAnsi="Century Gothic"/>
          <w:sz w:val="20"/>
          <w:szCs w:val="20"/>
        </w:rPr>
        <w:t>2</w:t>
      </w:r>
      <w:r w:rsidR="00422289">
        <w:rPr>
          <w:rFonts w:ascii="Century Gothic" w:hAnsi="Century Gothic"/>
          <w:sz w:val="20"/>
          <w:szCs w:val="20"/>
        </w:rPr>
        <w:t>3</w:t>
      </w:r>
      <w:r w:rsidR="004409D2">
        <w:rPr>
          <w:rFonts w:ascii="Century Gothic" w:hAnsi="Century Gothic"/>
          <w:sz w:val="20"/>
          <w:szCs w:val="20"/>
        </w:rPr>
        <w:t xml:space="preserve"> septembre</w:t>
      </w:r>
      <w:r w:rsidRPr="006A6414">
        <w:rPr>
          <w:rFonts w:ascii="Century Gothic" w:hAnsi="Century Gothic"/>
          <w:sz w:val="20"/>
          <w:szCs w:val="20"/>
        </w:rPr>
        <w:t xml:space="preserve"> 2022 </w:t>
      </w:r>
      <w:r w:rsidR="004409D2">
        <w:rPr>
          <w:rFonts w:ascii="Century Gothic" w:hAnsi="Century Gothic"/>
          <w:sz w:val="20"/>
          <w:szCs w:val="20"/>
        </w:rPr>
        <w:t xml:space="preserve">de la date d’application de ces augmentations individuelles et présentera </w:t>
      </w:r>
      <w:r w:rsidRPr="006A6414">
        <w:rPr>
          <w:rFonts w:ascii="Century Gothic" w:hAnsi="Century Gothic"/>
          <w:sz w:val="20"/>
          <w:szCs w:val="20"/>
        </w:rPr>
        <w:t xml:space="preserve">les éléments de synthèse sur ces revues (nombre de </w:t>
      </w:r>
      <w:r w:rsidR="00677CB3">
        <w:rPr>
          <w:rFonts w:ascii="Century Gothic" w:hAnsi="Century Gothic"/>
          <w:sz w:val="20"/>
          <w:szCs w:val="20"/>
        </w:rPr>
        <w:t>salarié</w:t>
      </w:r>
      <w:r w:rsidRPr="006A6414">
        <w:rPr>
          <w:rFonts w:ascii="Century Gothic" w:hAnsi="Century Gothic"/>
          <w:sz w:val="20"/>
          <w:szCs w:val="20"/>
        </w:rPr>
        <w:t xml:space="preserve">s augmentés, répartition par tranches d’augmentation…), étant entendu que l’employeur s’engage à ce que </w:t>
      </w:r>
      <w:r w:rsidR="0058438C">
        <w:rPr>
          <w:rFonts w:ascii="Century Gothic" w:hAnsi="Century Gothic"/>
          <w:sz w:val="20"/>
          <w:szCs w:val="20"/>
        </w:rPr>
        <w:lastRenderedPageBreak/>
        <w:t>7</w:t>
      </w:r>
      <w:r w:rsidR="004409D2">
        <w:rPr>
          <w:rFonts w:ascii="Century Gothic" w:hAnsi="Century Gothic"/>
          <w:sz w:val="20"/>
          <w:szCs w:val="20"/>
        </w:rPr>
        <w:t>0</w:t>
      </w:r>
      <w:r w:rsidRPr="006A6414">
        <w:rPr>
          <w:rFonts w:ascii="Century Gothic" w:hAnsi="Century Gothic"/>
          <w:sz w:val="20"/>
          <w:szCs w:val="20"/>
        </w:rPr>
        <w:t xml:space="preserve">% des salariés </w:t>
      </w:r>
      <w:r w:rsidR="00E87A34">
        <w:rPr>
          <w:rFonts w:ascii="Century Gothic" w:hAnsi="Century Gothic"/>
          <w:sz w:val="20"/>
          <w:szCs w:val="20"/>
        </w:rPr>
        <w:t xml:space="preserve">en CDI </w:t>
      </w:r>
      <w:r w:rsidR="00CD7310">
        <w:rPr>
          <w:rFonts w:ascii="Century Gothic" w:hAnsi="Century Gothic"/>
          <w:sz w:val="20"/>
          <w:szCs w:val="20"/>
        </w:rPr>
        <w:t>avec un an d’ancienneté</w:t>
      </w:r>
      <w:r w:rsidRPr="006A6414">
        <w:rPr>
          <w:rFonts w:ascii="Century Gothic" w:hAnsi="Century Gothic"/>
          <w:sz w:val="20"/>
          <w:szCs w:val="20"/>
        </w:rPr>
        <w:t xml:space="preserve"> </w:t>
      </w:r>
      <w:r w:rsidR="00247588">
        <w:rPr>
          <w:rFonts w:ascii="Century Gothic" w:hAnsi="Century Gothic"/>
          <w:sz w:val="20"/>
          <w:szCs w:val="20"/>
        </w:rPr>
        <w:t xml:space="preserve">à la date du </w:t>
      </w:r>
      <w:r w:rsidR="004423BF">
        <w:rPr>
          <w:rFonts w:ascii="Century Gothic" w:hAnsi="Century Gothic"/>
          <w:sz w:val="20"/>
          <w:szCs w:val="20"/>
        </w:rPr>
        <w:t>1</w:t>
      </w:r>
      <w:r w:rsidR="004423BF" w:rsidRPr="00FB034D">
        <w:rPr>
          <w:rFonts w:ascii="Century Gothic" w:hAnsi="Century Gothic"/>
          <w:sz w:val="20"/>
          <w:szCs w:val="20"/>
          <w:vertAlign w:val="superscript"/>
        </w:rPr>
        <w:t>er</w:t>
      </w:r>
      <w:r w:rsidR="004423BF">
        <w:rPr>
          <w:rFonts w:ascii="Century Gothic" w:hAnsi="Century Gothic"/>
          <w:sz w:val="20"/>
          <w:szCs w:val="20"/>
        </w:rPr>
        <w:t xml:space="preserve"> juillet 2022 </w:t>
      </w:r>
      <w:r w:rsidRPr="006A6414">
        <w:rPr>
          <w:rFonts w:ascii="Century Gothic" w:hAnsi="Century Gothic"/>
          <w:sz w:val="20"/>
          <w:szCs w:val="20"/>
        </w:rPr>
        <w:t>bénéfici</w:t>
      </w:r>
      <w:r w:rsidR="00B47601">
        <w:rPr>
          <w:rFonts w:ascii="Century Gothic" w:hAnsi="Century Gothic"/>
          <w:sz w:val="20"/>
          <w:szCs w:val="20"/>
        </w:rPr>
        <w:t>e</w:t>
      </w:r>
      <w:r w:rsidRPr="006A6414">
        <w:rPr>
          <w:rFonts w:ascii="Century Gothic" w:hAnsi="Century Gothic"/>
          <w:sz w:val="20"/>
          <w:szCs w:val="20"/>
        </w:rPr>
        <w:t xml:space="preserve"> d’une augmentation</w:t>
      </w:r>
      <w:r w:rsidR="007743E9">
        <w:rPr>
          <w:rFonts w:ascii="Century Gothic" w:hAnsi="Century Gothic"/>
          <w:sz w:val="20"/>
          <w:szCs w:val="20"/>
        </w:rPr>
        <w:t xml:space="preserve"> </w:t>
      </w:r>
      <w:r w:rsidR="00B0043F">
        <w:rPr>
          <w:rFonts w:ascii="Century Gothic" w:hAnsi="Century Gothic"/>
          <w:sz w:val="20"/>
          <w:szCs w:val="20"/>
        </w:rPr>
        <w:t xml:space="preserve">individuelle </w:t>
      </w:r>
      <w:r w:rsidRPr="006A6414">
        <w:rPr>
          <w:rFonts w:ascii="Century Gothic" w:hAnsi="Century Gothic"/>
          <w:sz w:val="20"/>
          <w:szCs w:val="20"/>
        </w:rPr>
        <w:t xml:space="preserve">de </w:t>
      </w:r>
      <w:r w:rsidR="00677CB3">
        <w:rPr>
          <w:rFonts w:ascii="Century Gothic" w:hAnsi="Century Gothic"/>
          <w:sz w:val="20"/>
          <w:szCs w:val="20"/>
        </w:rPr>
        <w:t xml:space="preserve">son </w:t>
      </w:r>
      <w:r w:rsidRPr="006A6414">
        <w:rPr>
          <w:rFonts w:ascii="Century Gothic" w:hAnsi="Century Gothic"/>
          <w:sz w:val="20"/>
          <w:szCs w:val="20"/>
        </w:rPr>
        <w:t>salair</w:t>
      </w:r>
      <w:r w:rsidR="009C057F">
        <w:rPr>
          <w:rFonts w:ascii="Century Gothic" w:hAnsi="Century Gothic"/>
          <w:sz w:val="20"/>
          <w:szCs w:val="20"/>
        </w:rPr>
        <w:t>e</w:t>
      </w:r>
      <w:r w:rsidR="008D5F11">
        <w:rPr>
          <w:rFonts w:ascii="Century Gothic" w:hAnsi="Century Gothic"/>
          <w:sz w:val="20"/>
          <w:szCs w:val="20"/>
        </w:rPr>
        <w:t xml:space="preserve"> brut</w:t>
      </w:r>
      <w:r w:rsidR="00E022C7">
        <w:rPr>
          <w:rFonts w:ascii="Century Gothic" w:hAnsi="Century Gothic"/>
          <w:sz w:val="20"/>
          <w:szCs w:val="20"/>
        </w:rPr>
        <w:t>.</w:t>
      </w:r>
    </w:p>
    <w:p w14:paraId="695BBB0F" w14:textId="39D9B6EB" w:rsidP="00C754CF" w:rsidR="008D5F11" w:rsidRDefault="008D5F11" w:rsidRPr="006A6414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8D5F11">
        <w:rPr>
          <w:rFonts w:ascii="Century Gothic" w:hAnsi="Century Gothic"/>
          <w:sz w:val="20"/>
          <w:szCs w:val="20"/>
        </w:rPr>
        <w:t xml:space="preserve">Le versement de cette augmentation individuelle se fera </w:t>
      </w:r>
      <w:r w:rsidR="00C754CF">
        <w:rPr>
          <w:rFonts w:ascii="Century Gothic" w:hAnsi="Century Gothic"/>
          <w:sz w:val="20"/>
          <w:szCs w:val="20"/>
        </w:rPr>
        <w:t xml:space="preserve">au plus tard </w:t>
      </w:r>
      <w:r w:rsidR="00B47601">
        <w:rPr>
          <w:rFonts w:ascii="Century Gothic" w:hAnsi="Century Gothic"/>
          <w:sz w:val="20"/>
          <w:szCs w:val="20"/>
        </w:rPr>
        <w:t xml:space="preserve">sur le bulletin de paie du mois d’octobre 2022 </w:t>
      </w:r>
      <w:r w:rsidRPr="008D5F11">
        <w:rPr>
          <w:rFonts w:ascii="Century Gothic" w:hAnsi="Century Gothic"/>
          <w:sz w:val="20"/>
          <w:szCs w:val="20"/>
        </w:rPr>
        <w:t xml:space="preserve">et </w:t>
      </w:r>
      <w:r w:rsidR="00B47601">
        <w:rPr>
          <w:rFonts w:ascii="Century Gothic" w:hAnsi="Century Gothic"/>
          <w:sz w:val="20"/>
          <w:szCs w:val="20"/>
        </w:rPr>
        <w:t xml:space="preserve">pourra être </w:t>
      </w:r>
      <w:r w:rsidRPr="008D5F11">
        <w:rPr>
          <w:rFonts w:ascii="Century Gothic" w:hAnsi="Century Gothic"/>
          <w:sz w:val="20"/>
          <w:szCs w:val="20"/>
        </w:rPr>
        <w:t xml:space="preserve">rétroactif au </w:t>
      </w:r>
      <w:r w:rsidR="00B47601">
        <w:rPr>
          <w:rFonts w:ascii="Century Gothic" w:hAnsi="Century Gothic"/>
          <w:sz w:val="20"/>
          <w:szCs w:val="20"/>
        </w:rPr>
        <w:t>1</w:t>
      </w:r>
      <w:r w:rsidR="00B47601" w:rsidRPr="00B47601">
        <w:rPr>
          <w:rFonts w:ascii="Century Gothic" w:hAnsi="Century Gothic"/>
          <w:sz w:val="20"/>
          <w:szCs w:val="20"/>
          <w:vertAlign w:val="superscript"/>
        </w:rPr>
        <w:t>er</w:t>
      </w:r>
      <w:r w:rsidR="00B47601">
        <w:rPr>
          <w:rFonts w:ascii="Century Gothic" w:hAnsi="Century Gothic"/>
          <w:sz w:val="20"/>
          <w:szCs w:val="20"/>
        </w:rPr>
        <w:t xml:space="preserve"> </w:t>
      </w:r>
      <w:r w:rsidRPr="008D5F11">
        <w:rPr>
          <w:rFonts w:ascii="Century Gothic" w:hAnsi="Century Gothic"/>
          <w:sz w:val="20"/>
          <w:szCs w:val="20"/>
        </w:rPr>
        <w:t>juillet 2022</w:t>
      </w:r>
      <w:r>
        <w:rPr>
          <w:rFonts w:ascii="Century Gothic" w:hAnsi="Century Gothic"/>
          <w:sz w:val="20"/>
          <w:szCs w:val="20"/>
        </w:rPr>
        <w:t xml:space="preserve"> </w:t>
      </w:r>
      <w:r w:rsidR="00B47601">
        <w:rPr>
          <w:rFonts w:ascii="Century Gothic" w:hAnsi="Century Gothic"/>
          <w:sz w:val="20"/>
          <w:szCs w:val="20"/>
        </w:rPr>
        <w:t xml:space="preserve">en </w:t>
      </w:r>
      <w:r w:rsidRPr="008D5F11">
        <w:rPr>
          <w:rFonts w:ascii="Century Gothic" w:hAnsi="Century Gothic"/>
          <w:sz w:val="20"/>
          <w:szCs w:val="20"/>
        </w:rPr>
        <w:t xml:space="preserve">fonction </w:t>
      </w:r>
      <w:r w:rsidR="00C754CF">
        <w:rPr>
          <w:rFonts w:ascii="Century Gothic" w:hAnsi="Century Gothic"/>
          <w:sz w:val="20"/>
          <w:szCs w:val="20"/>
        </w:rPr>
        <w:t>des résultats enregistrés</w:t>
      </w:r>
      <w:r w:rsidR="00B47601">
        <w:rPr>
          <w:rFonts w:ascii="Century Gothic" w:hAnsi="Century Gothic"/>
          <w:sz w:val="20"/>
          <w:szCs w:val="20"/>
        </w:rPr>
        <w:t xml:space="preserve"> </w:t>
      </w:r>
      <w:r w:rsidRPr="008D5F11">
        <w:rPr>
          <w:rFonts w:ascii="Century Gothic" w:hAnsi="Century Gothic"/>
          <w:sz w:val="20"/>
          <w:szCs w:val="20"/>
        </w:rPr>
        <w:t>à fin ao</w:t>
      </w:r>
      <w:r w:rsidR="00B47601">
        <w:rPr>
          <w:rFonts w:ascii="Century Gothic" w:hAnsi="Century Gothic"/>
          <w:sz w:val="20"/>
          <w:szCs w:val="20"/>
        </w:rPr>
        <w:t>û</w:t>
      </w:r>
      <w:r w:rsidRPr="008D5F11">
        <w:rPr>
          <w:rFonts w:ascii="Century Gothic" w:hAnsi="Century Gothic"/>
          <w:sz w:val="20"/>
          <w:szCs w:val="20"/>
        </w:rPr>
        <w:t>t 2022</w:t>
      </w:r>
      <w:r>
        <w:rPr>
          <w:rFonts w:ascii="Century Gothic" w:hAnsi="Century Gothic"/>
          <w:sz w:val="20"/>
          <w:szCs w:val="20"/>
        </w:rPr>
        <w:t>.</w:t>
      </w:r>
      <w:r w:rsidRPr="008D5F11">
        <w:rPr>
          <w:rFonts w:ascii="Century Gothic" w:hAnsi="Century Gothic"/>
          <w:sz w:val="20"/>
          <w:szCs w:val="20"/>
        </w:rPr>
        <w:t xml:space="preserve"> </w:t>
      </w:r>
    </w:p>
    <w:p w14:paraId="0A1A2998" w14:textId="314BB937" w:rsidP="004409D2" w:rsidR="004409D2" w:rsidRDefault="004409D2" w:rsidRPr="006A6414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6A6414">
        <w:rPr>
          <w:rFonts w:ascii="Century Gothic" w:hAnsi="Century Gothic"/>
          <w:b/>
          <w:bCs/>
          <w:sz w:val="20"/>
          <w:szCs w:val="20"/>
        </w:rPr>
        <w:t xml:space="preserve">La mise en œuvre du </w:t>
      </w:r>
      <w:r>
        <w:rPr>
          <w:rFonts w:ascii="Century Gothic" w:hAnsi="Century Gothic"/>
          <w:b/>
          <w:bCs/>
          <w:sz w:val="20"/>
          <w:szCs w:val="20"/>
        </w:rPr>
        <w:t xml:space="preserve">Forfait </w:t>
      </w:r>
      <w:r w:rsidRPr="006A6414">
        <w:rPr>
          <w:rFonts w:ascii="Century Gothic" w:hAnsi="Century Gothic"/>
          <w:b/>
          <w:bCs/>
          <w:sz w:val="20"/>
          <w:szCs w:val="20"/>
        </w:rPr>
        <w:t xml:space="preserve">Mobilité Durable et l’octroi d’une indemnité de </w:t>
      </w:r>
      <w:r w:rsidR="00516A22">
        <w:rPr>
          <w:rFonts w:ascii="Century Gothic" w:hAnsi="Century Gothic"/>
          <w:b/>
          <w:bCs/>
          <w:sz w:val="20"/>
          <w:szCs w:val="20"/>
        </w:rPr>
        <w:t>20</w:t>
      </w:r>
      <w:r w:rsidRPr="006A6414">
        <w:rPr>
          <w:rFonts w:ascii="Century Gothic" w:hAnsi="Century Gothic"/>
          <w:b/>
          <w:bCs/>
          <w:sz w:val="20"/>
          <w:szCs w:val="20"/>
        </w:rPr>
        <w:t xml:space="preserve">0€ par </w:t>
      </w:r>
      <w:r w:rsidR="00677CB3">
        <w:rPr>
          <w:rFonts w:ascii="Century Gothic" w:hAnsi="Century Gothic"/>
          <w:b/>
          <w:bCs/>
          <w:sz w:val="20"/>
          <w:szCs w:val="20"/>
        </w:rPr>
        <w:t>salarié</w:t>
      </w:r>
      <w:r>
        <w:rPr>
          <w:rFonts w:ascii="Century Gothic" w:hAnsi="Century Gothic"/>
          <w:b/>
          <w:bCs/>
          <w:sz w:val="20"/>
          <w:szCs w:val="20"/>
        </w:rPr>
        <w:t xml:space="preserve"> se déplaçant par mobilité douce</w:t>
      </w:r>
    </w:p>
    <w:p w14:paraId="0F88F1C3" w14:textId="7FADD8E3" w:rsidP="004409D2" w:rsidR="004409D2" w:rsidRDefault="004409D2" w:rsidRPr="00DB723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 w:rsidRPr="00DB7238">
        <w:rPr>
          <w:rFonts w:ascii="Century Gothic" w:hAnsi="Century Gothic"/>
          <w:sz w:val="20"/>
          <w:szCs w:val="20"/>
        </w:rPr>
        <w:t>e </w:t>
      </w:r>
      <w:r w:rsidRPr="00DB7238">
        <w:rPr>
          <w:rFonts w:ascii="Century Gothic" w:hAnsi="Century Gothic"/>
          <w:b/>
          <w:bCs/>
          <w:sz w:val="20"/>
          <w:szCs w:val="20"/>
        </w:rPr>
        <w:t>Forfait Mobilités Durables</w:t>
      </w:r>
      <w:r w:rsidRPr="00DB7238">
        <w:rPr>
          <w:rFonts w:ascii="Century Gothic" w:hAnsi="Century Gothic"/>
          <w:sz w:val="20"/>
          <w:szCs w:val="20"/>
        </w:rPr>
        <w:t> est un dispositif introduit par la loi LOM voté</w:t>
      </w:r>
      <w:r>
        <w:rPr>
          <w:rFonts w:ascii="Century Gothic" w:hAnsi="Century Gothic"/>
          <w:sz w:val="20"/>
          <w:szCs w:val="20"/>
        </w:rPr>
        <w:t>e</w:t>
      </w:r>
      <w:r w:rsidRPr="00DB7238">
        <w:rPr>
          <w:rFonts w:ascii="Century Gothic" w:hAnsi="Century Gothic"/>
          <w:sz w:val="20"/>
          <w:szCs w:val="20"/>
        </w:rPr>
        <w:t xml:space="preserve"> en novembre 2019.</w:t>
      </w:r>
    </w:p>
    <w:p w14:paraId="516E6053" w14:textId="250BC045" w:rsidP="004409D2" w:rsidR="004409D2" w:rsidRDefault="004409D2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DB7238">
        <w:rPr>
          <w:rFonts w:ascii="Century Gothic" w:hAnsi="Century Gothic"/>
          <w:sz w:val="20"/>
          <w:szCs w:val="20"/>
        </w:rPr>
        <w:t>Il prévoit la possibilité pour les entreprises de doter les salariés d’un budget par salarié pour les déplacements domicile-travail.</w:t>
      </w:r>
      <w:r w:rsidR="00F71D82">
        <w:rPr>
          <w:rFonts w:ascii="Century Gothic" w:hAnsi="Century Gothic"/>
          <w:sz w:val="20"/>
          <w:szCs w:val="20"/>
        </w:rPr>
        <w:t xml:space="preserve"> </w:t>
      </w:r>
      <w:r w:rsidRPr="00DB7238">
        <w:rPr>
          <w:rFonts w:ascii="Century Gothic" w:hAnsi="Century Gothic"/>
          <w:sz w:val="20"/>
          <w:szCs w:val="20"/>
        </w:rPr>
        <w:t xml:space="preserve">L’employeur </w:t>
      </w:r>
      <w:r>
        <w:rPr>
          <w:rFonts w:ascii="Century Gothic" w:hAnsi="Century Gothic"/>
          <w:sz w:val="20"/>
          <w:szCs w:val="20"/>
        </w:rPr>
        <w:t>accepte de proposer la prise</w:t>
      </w:r>
      <w:r w:rsidRPr="00DB7238">
        <w:rPr>
          <w:rFonts w:ascii="Century Gothic" w:hAnsi="Century Gothic"/>
          <w:sz w:val="20"/>
          <w:szCs w:val="20"/>
        </w:rPr>
        <w:t xml:space="preserve"> en charge </w:t>
      </w:r>
      <w:r>
        <w:rPr>
          <w:rFonts w:ascii="Century Gothic" w:hAnsi="Century Gothic"/>
          <w:sz w:val="20"/>
          <w:szCs w:val="20"/>
        </w:rPr>
        <w:t xml:space="preserve">à hauteur de </w:t>
      </w:r>
      <w:r w:rsidR="00516A22">
        <w:rPr>
          <w:rFonts w:ascii="Century Gothic" w:hAnsi="Century Gothic"/>
          <w:sz w:val="20"/>
          <w:szCs w:val="20"/>
        </w:rPr>
        <w:t xml:space="preserve">200 </w:t>
      </w:r>
      <w:r>
        <w:rPr>
          <w:rFonts w:ascii="Century Gothic" w:hAnsi="Century Gothic"/>
          <w:sz w:val="20"/>
          <w:szCs w:val="20"/>
        </w:rPr>
        <w:t>euros / an d</w:t>
      </w:r>
      <w:r w:rsidRPr="00DB7238">
        <w:rPr>
          <w:rFonts w:ascii="Century Gothic" w:hAnsi="Century Gothic"/>
          <w:sz w:val="20"/>
          <w:szCs w:val="20"/>
        </w:rPr>
        <w:t xml:space="preserve">es frais de déplacements de </w:t>
      </w:r>
      <w:r w:rsidR="00677CB3">
        <w:rPr>
          <w:rFonts w:ascii="Century Gothic" w:hAnsi="Century Gothic"/>
          <w:sz w:val="20"/>
          <w:szCs w:val="20"/>
        </w:rPr>
        <w:t>ses</w:t>
      </w:r>
      <w:r w:rsidRPr="00DB7238">
        <w:rPr>
          <w:rFonts w:ascii="Century Gothic" w:hAnsi="Century Gothic"/>
          <w:sz w:val="20"/>
          <w:szCs w:val="20"/>
        </w:rPr>
        <w:t xml:space="preserve"> salariés</w:t>
      </w:r>
      <w:r w:rsidR="00677CB3">
        <w:rPr>
          <w:rFonts w:ascii="Century Gothic" w:hAnsi="Century Gothic"/>
          <w:sz w:val="20"/>
          <w:szCs w:val="20"/>
        </w:rPr>
        <w:t>,</w:t>
      </w:r>
      <w:r w:rsidRPr="00DB7238">
        <w:rPr>
          <w:rFonts w:ascii="Century Gothic" w:hAnsi="Century Gothic"/>
          <w:sz w:val="20"/>
          <w:szCs w:val="20"/>
        </w:rPr>
        <w:t xml:space="preserve"> </w:t>
      </w:r>
      <w:r w:rsidR="00677CB3">
        <w:rPr>
          <w:rFonts w:ascii="Century Gothic" w:hAnsi="Century Gothic"/>
          <w:sz w:val="20"/>
          <w:szCs w:val="20"/>
        </w:rPr>
        <w:t>qui réalisent leurs trajets domicile/travail</w:t>
      </w:r>
      <w:r w:rsidRPr="00DB7238">
        <w:rPr>
          <w:rFonts w:ascii="Century Gothic" w:hAnsi="Century Gothic"/>
          <w:sz w:val="20"/>
          <w:szCs w:val="20"/>
        </w:rPr>
        <w:t xml:space="preserve"> en vélo, en covoiturage en tant que conducteur ou passager, en transports publics ou à l’aide d’autres services de mobilité partagée</w:t>
      </w:r>
      <w:r>
        <w:rPr>
          <w:rFonts w:ascii="Century Gothic" w:hAnsi="Century Gothic"/>
          <w:sz w:val="20"/>
          <w:szCs w:val="20"/>
        </w:rPr>
        <w:t>.</w:t>
      </w:r>
    </w:p>
    <w:p w14:paraId="12723529" w14:textId="0F5657C7" w:rsidP="004409D2" w:rsidR="004409D2" w:rsidRDefault="004409D2" w:rsidRPr="00DB723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Cette disposition n’est pas cumulable avec le versement de la prime carburant</w:t>
      </w:r>
      <w:r w:rsidR="00516A22">
        <w:rPr>
          <w:rFonts w:ascii="Century Gothic" w:hAnsi="Century Gothic"/>
          <w:sz w:val="20"/>
          <w:szCs w:val="20"/>
        </w:rPr>
        <w:t xml:space="preserve">. Cette indemnité sera versée </w:t>
      </w:r>
      <w:r w:rsidR="00677CB3">
        <w:rPr>
          <w:rFonts w:ascii="Century Gothic" w:hAnsi="Century Gothic"/>
          <w:sz w:val="20"/>
          <w:szCs w:val="20"/>
        </w:rPr>
        <w:t>en une fois au titre de l’année 2022</w:t>
      </w:r>
      <w:r w:rsidR="00FB6881">
        <w:rPr>
          <w:rFonts w:ascii="Century Gothic" w:hAnsi="Century Gothic"/>
          <w:sz w:val="20"/>
          <w:szCs w:val="20"/>
        </w:rPr>
        <w:t xml:space="preserve"> </w:t>
      </w:r>
      <w:r w:rsidR="00516A22">
        <w:rPr>
          <w:rFonts w:ascii="Century Gothic" w:hAnsi="Century Gothic"/>
          <w:sz w:val="20"/>
          <w:szCs w:val="20"/>
        </w:rPr>
        <w:t>et conditionnée par la remise par le salarié d’une attestation sur l’honneur garantissant son éligibilité</w:t>
      </w:r>
      <w:r>
        <w:rPr>
          <w:rFonts w:ascii="Century Gothic" w:hAnsi="Century Gothic"/>
          <w:sz w:val="20"/>
          <w:szCs w:val="20"/>
        </w:rPr>
        <w:t>.</w:t>
      </w:r>
      <w:r w:rsidR="00677CB3">
        <w:rPr>
          <w:rFonts w:ascii="Century Gothic" w:hAnsi="Century Gothic"/>
          <w:sz w:val="20"/>
          <w:szCs w:val="20"/>
        </w:rPr>
        <w:t xml:space="preserve"> Le paiement interviendra sur la paye qui suit la réception des justificatifs demandés, au plus </w:t>
      </w:r>
      <w:r w:rsidR="0012695F">
        <w:rPr>
          <w:rFonts w:ascii="Century Gothic" w:hAnsi="Century Gothic"/>
          <w:sz w:val="20"/>
          <w:szCs w:val="20"/>
        </w:rPr>
        <w:t>tôt</w:t>
      </w:r>
      <w:r w:rsidR="00677CB3">
        <w:rPr>
          <w:rFonts w:ascii="Century Gothic" w:hAnsi="Century Gothic"/>
          <w:sz w:val="20"/>
          <w:szCs w:val="20"/>
        </w:rPr>
        <w:t xml:space="preserve"> sur la paye de </w:t>
      </w:r>
      <w:r w:rsidR="0012695F">
        <w:rPr>
          <w:rFonts w:ascii="Century Gothic" w:hAnsi="Century Gothic"/>
          <w:sz w:val="20"/>
          <w:szCs w:val="20"/>
        </w:rPr>
        <w:t>juillet</w:t>
      </w:r>
      <w:r w:rsidR="00677CB3">
        <w:rPr>
          <w:rFonts w:ascii="Century Gothic" w:hAnsi="Century Gothic"/>
          <w:sz w:val="20"/>
          <w:szCs w:val="20"/>
        </w:rPr>
        <w:t xml:space="preserve"> 2022 et au plus tard sur la paye de </w:t>
      </w:r>
      <w:r w:rsidR="00143DC1">
        <w:rPr>
          <w:rFonts w:ascii="Century Gothic" w:hAnsi="Century Gothic"/>
          <w:sz w:val="20"/>
          <w:szCs w:val="20"/>
        </w:rPr>
        <w:t>septembre</w:t>
      </w:r>
      <w:r w:rsidR="00677CB3">
        <w:rPr>
          <w:rFonts w:ascii="Century Gothic" w:hAnsi="Century Gothic"/>
          <w:sz w:val="20"/>
          <w:szCs w:val="20"/>
        </w:rPr>
        <w:t xml:space="preserve"> 2022. Aucune demande ne pourra être reçue au-delà du </w:t>
      </w:r>
      <w:r w:rsidR="00143DC1">
        <w:rPr>
          <w:rFonts w:ascii="Century Gothic" w:hAnsi="Century Gothic"/>
          <w:sz w:val="20"/>
          <w:szCs w:val="20"/>
        </w:rPr>
        <w:t xml:space="preserve">15 septembre </w:t>
      </w:r>
      <w:r w:rsidR="00677CB3">
        <w:rPr>
          <w:rFonts w:ascii="Century Gothic" w:hAnsi="Century Gothic"/>
          <w:sz w:val="20"/>
          <w:szCs w:val="20"/>
        </w:rPr>
        <w:t>2022.</w:t>
      </w:r>
    </w:p>
    <w:p w14:paraId="426E13AD" w14:textId="77777777" w:rsidP="004409D2" w:rsidR="004409D2" w:rsidRDefault="004409D2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3F5AD04" w14:textId="623EE23B" w:rsidP="004409D2" w:rsidR="004409D2" w:rsidRDefault="004409D2" w:rsidRPr="00F51308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F51308">
        <w:rPr>
          <w:rFonts w:ascii="Century Gothic" w:hAnsi="Century Gothic"/>
          <w:b/>
          <w:bCs/>
          <w:sz w:val="20"/>
          <w:szCs w:val="20"/>
        </w:rPr>
        <w:t>L</w:t>
      </w:r>
      <w:r>
        <w:rPr>
          <w:rFonts w:ascii="Century Gothic" w:hAnsi="Century Gothic"/>
          <w:b/>
          <w:bCs/>
          <w:sz w:val="20"/>
          <w:szCs w:val="20"/>
        </w:rPr>
        <w:t xml:space="preserve">e versement d’une prime carburant de </w:t>
      </w:r>
      <w:r w:rsidR="00516A22">
        <w:rPr>
          <w:rFonts w:ascii="Century Gothic" w:hAnsi="Century Gothic"/>
          <w:b/>
          <w:bCs/>
          <w:sz w:val="20"/>
          <w:szCs w:val="20"/>
        </w:rPr>
        <w:t>20</w:t>
      </w:r>
      <w:r>
        <w:rPr>
          <w:rFonts w:ascii="Century Gothic" w:hAnsi="Century Gothic"/>
          <w:b/>
          <w:bCs/>
          <w:sz w:val="20"/>
          <w:szCs w:val="20"/>
        </w:rPr>
        <w:t>0€ nets pour les salariés se rendant sur site avec leur véhicule personnel</w:t>
      </w:r>
    </w:p>
    <w:p w14:paraId="589E6C04" w14:textId="194A2935" w:rsidP="004409D2" w:rsidR="00995D3B" w:rsidRDefault="004409D2" w:rsidRPr="00F5130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F51308">
        <w:rPr>
          <w:rFonts w:ascii="Century Gothic" w:hAnsi="Century Gothic"/>
          <w:sz w:val="20"/>
          <w:szCs w:val="20"/>
        </w:rPr>
        <w:t>Cette disposition n’est pas cumulable avec le Forfait Mobilité Durable</w:t>
      </w:r>
      <w:r w:rsidR="00516A22">
        <w:rPr>
          <w:rFonts w:ascii="Century Gothic" w:hAnsi="Century Gothic"/>
          <w:sz w:val="20"/>
          <w:szCs w:val="20"/>
        </w:rPr>
        <w:t xml:space="preserve">. Cette prime sera versée </w:t>
      </w:r>
      <w:r w:rsidR="00677CB3">
        <w:rPr>
          <w:rFonts w:ascii="Century Gothic" w:hAnsi="Century Gothic"/>
          <w:sz w:val="20"/>
          <w:szCs w:val="20"/>
        </w:rPr>
        <w:t xml:space="preserve">en une fois </w:t>
      </w:r>
      <w:r w:rsidR="00516A22">
        <w:rPr>
          <w:rFonts w:ascii="Century Gothic" w:hAnsi="Century Gothic"/>
          <w:sz w:val="20"/>
          <w:szCs w:val="20"/>
        </w:rPr>
        <w:t xml:space="preserve">et conditionnée par la remise par le salarié </w:t>
      </w:r>
      <w:r w:rsidR="00516A22" w:rsidRPr="00516A22">
        <w:rPr>
          <w:rFonts w:ascii="Century Gothic" w:hAnsi="Century Gothic"/>
          <w:sz w:val="20"/>
          <w:szCs w:val="20"/>
        </w:rPr>
        <w:t xml:space="preserve">des éléments justifiant la prise en charge des frais de carburant (en particulier la copie de la carte grise </w:t>
      </w:r>
      <w:r w:rsidR="00516A22">
        <w:rPr>
          <w:rFonts w:ascii="Century Gothic" w:hAnsi="Century Gothic"/>
          <w:sz w:val="20"/>
          <w:szCs w:val="20"/>
        </w:rPr>
        <w:t xml:space="preserve">de son </w:t>
      </w:r>
      <w:r w:rsidR="00516A22" w:rsidRPr="00516A22">
        <w:rPr>
          <w:rFonts w:ascii="Century Gothic" w:hAnsi="Century Gothic"/>
          <w:sz w:val="20"/>
          <w:szCs w:val="20"/>
        </w:rPr>
        <w:t>véhicule</w:t>
      </w:r>
      <w:r w:rsidR="00677CB3">
        <w:rPr>
          <w:rFonts w:ascii="Century Gothic" w:hAnsi="Century Gothic"/>
          <w:sz w:val="20"/>
          <w:szCs w:val="20"/>
        </w:rPr>
        <w:t xml:space="preserve"> personnel</w:t>
      </w:r>
      <w:r w:rsidR="00516A22" w:rsidRPr="00516A22">
        <w:rPr>
          <w:rFonts w:ascii="Century Gothic" w:hAnsi="Century Gothic"/>
          <w:sz w:val="20"/>
          <w:szCs w:val="20"/>
        </w:rPr>
        <w:t>)</w:t>
      </w:r>
      <w:r w:rsidRPr="00F51308">
        <w:rPr>
          <w:rFonts w:ascii="Century Gothic" w:hAnsi="Century Gothic"/>
          <w:sz w:val="20"/>
          <w:szCs w:val="20"/>
        </w:rPr>
        <w:t>.</w:t>
      </w:r>
      <w:r w:rsidR="00677CB3">
        <w:rPr>
          <w:rFonts w:ascii="Century Gothic" w:hAnsi="Century Gothic"/>
          <w:sz w:val="20"/>
          <w:szCs w:val="20"/>
        </w:rPr>
        <w:t xml:space="preserve"> Le paiement interviendra sur la paye qui suit la réception des justificatifs demandés, au plus </w:t>
      </w:r>
      <w:r w:rsidR="0012695F">
        <w:rPr>
          <w:rFonts w:ascii="Century Gothic" w:hAnsi="Century Gothic"/>
          <w:sz w:val="20"/>
          <w:szCs w:val="20"/>
        </w:rPr>
        <w:t>tôt</w:t>
      </w:r>
      <w:r w:rsidR="00677CB3">
        <w:rPr>
          <w:rFonts w:ascii="Century Gothic" w:hAnsi="Century Gothic"/>
          <w:sz w:val="20"/>
          <w:szCs w:val="20"/>
        </w:rPr>
        <w:t xml:space="preserve"> sur la paye de </w:t>
      </w:r>
      <w:r w:rsidR="0012695F">
        <w:rPr>
          <w:rFonts w:ascii="Century Gothic" w:hAnsi="Century Gothic"/>
          <w:sz w:val="20"/>
          <w:szCs w:val="20"/>
        </w:rPr>
        <w:t>juillet</w:t>
      </w:r>
      <w:r w:rsidR="00677CB3">
        <w:rPr>
          <w:rFonts w:ascii="Century Gothic" w:hAnsi="Century Gothic"/>
          <w:sz w:val="20"/>
          <w:szCs w:val="20"/>
        </w:rPr>
        <w:t xml:space="preserve"> 2022 et au plus tard sur la paye de </w:t>
      </w:r>
      <w:r w:rsidR="00DE24A6">
        <w:rPr>
          <w:rFonts w:ascii="Century Gothic" w:hAnsi="Century Gothic"/>
          <w:sz w:val="20"/>
          <w:szCs w:val="20"/>
        </w:rPr>
        <w:t xml:space="preserve">septembre </w:t>
      </w:r>
      <w:r w:rsidR="00677CB3">
        <w:rPr>
          <w:rFonts w:ascii="Century Gothic" w:hAnsi="Century Gothic"/>
          <w:sz w:val="20"/>
          <w:szCs w:val="20"/>
        </w:rPr>
        <w:t xml:space="preserve">2022. Aucune demande ne pourra être reçue au-delà du </w:t>
      </w:r>
      <w:r w:rsidR="00DE24A6">
        <w:rPr>
          <w:rFonts w:ascii="Century Gothic" w:hAnsi="Century Gothic"/>
          <w:sz w:val="20"/>
          <w:szCs w:val="20"/>
        </w:rPr>
        <w:t xml:space="preserve">15 septembre </w:t>
      </w:r>
      <w:r w:rsidR="00677CB3">
        <w:rPr>
          <w:rFonts w:ascii="Century Gothic" w:hAnsi="Century Gothic"/>
          <w:sz w:val="20"/>
          <w:szCs w:val="20"/>
        </w:rPr>
        <w:t>2022.</w:t>
      </w:r>
    </w:p>
    <w:p w14:paraId="3206385F" w14:textId="77777777" w:rsidP="00BB6358" w:rsidR="008D5F11" w:rsidRDefault="008D5F1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41DB2B9" w14:textId="3FCC214B" w:rsidP="004F579B" w:rsidR="007B56C6" w:rsidRDefault="007B56C6" w:rsidRPr="007B56C6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Revalorisation des Titres Restaurant</w:t>
      </w:r>
    </w:p>
    <w:p w14:paraId="748DC91A" w14:textId="4D3F8621" w:rsidP="007B56C6" w:rsidR="007B56C6" w:rsidRDefault="00B4760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</w:t>
      </w:r>
      <w:r w:rsidR="004F579B" w:rsidRPr="007B56C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Titre Restaurant sera revalorisé à hauteur de </w:t>
      </w:r>
      <w:r w:rsidR="006B79D1">
        <w:rPr>
          <w:rFonts w:ascii="Century Gothic" w:hAnsi="Century Gothic"/>
          <w:sz w:val="20"/>
          <w:szCs w:val="20"/>
        </w:rPr>
        <w:t>9.</w:t>
      </w:r>
      <w:r w:rsidR="00B0043F">
        <w:rPr>
          <w:rFonts w:ascii="Century Gothic" w:hAnsi="Century Gothic"/>
          <w:sz w:val="20"/>
          <w:szCs w:val="20"/>
        </w:rPr>
        <w:t>48</w:t>
      </w:r>
      <w:r w:rsidR="006B79D1">
        <w:rPr>
          <w:rFonts w:ascii="Century Gothic" w:hAnsi="Century Gothic"/>
          <w:sz w:val="20"/>
          <w:szCs w:val="20"/>
        </w:rPr>
        <w:t xml:space="preserve"> euros</w:t>
      </w:r>
      <w:r w:rsidR="004C2788">
        <w:rPr>
          <w:rFonts w:ascii="Century Gothic" w:hAnsi="Century Gothic"/>
          <w:sz w:val="20"/>
          <w:szCs w:val="20"/>
        </w:rPr>
        <w:t xml:space="preserve"> à compter du 1</w:t>
      </w:r>
      <w:r w:rsidR="004C2788" w:rsidRPr="004C2788">
        <w:rPr>
          <w:rFonts w:ascii="Century Gothic" w:hAnsi="Century Gothic"/>
          <w:sz w:val="20"/>
          <w:szCs w:val="20"/>
          <w:vertAlign w:val="superscript"/>
        </w:rPr>
        <w:t>er</w:t>
      </w:r>
      <w:r w:rsidR="004C2788">
        <w:rPr>
          <w:rFonts w:ascii="Century Gothic" w:hAnsi="Century Gothic"/>
          <w:sz w:val="20"/>
          <w:szCs w:val="20"/>
        </w:rPr>
        <w:t xml:space="preserve"> juillet 2022</w:t>
      </w:r>
      <w:r>
        <w:rPr>
          <w:rFonts w:ascii="Century Gothic" w:hAnsi="Century Gothic"/>
          <w:sz w:val="20"/>
          <w:szCs w:val="20"/>
        </w:rPr>
        <w:t>, tout en conservant la même proportion de financement (60% employeur et 40% salarié)</w:t>
      </w:r>
      <w:r w:rsidR="006B79D1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L’application au 1</w:t>
      </w:r>
      <w:r w:rsidRPr="00B47601">
        <w:rPr>
          <w:rFonts w:ascii="Century Gothic" w:hAnsi="Century Gothic"/>
          <w:sz w:val="20"/>
          <w:szCs w:val="20"/>
          <w:vertAlign w:val="superscript"/>
        </w:rPr>
        <w:t>er</w:t>
      </w:r>
      <w:r>
        <w:rPr>
          <w:rFonts w:ascii="Century Gothic" w:hAnsi="Century Gothic"/>
          <w:sz w:val="20"/>
          <w:szCs w:val="20"/>
        </w:rPr>
        <w:t xml:space="preserve"> juillet 2022 sera donc effective sur les chargements de cartes effectués fin août 2022, du fait du fonctionnement en paie décalée.</w:t>
      </w:r>
    </w:p>
    <w:p w14:paraId="314C4EDC" w14:textId="77777777" w:rsidP="007B56C6" w:rsidR="008D5F11" w:rsidRDefault="008D5F1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A914D89" w14:textId="4383697B" w:rsidP="007B56C6" w:rsidR="007B56C6" w:rsidRDefault="007B56C6" w:rsidRPr="007B56C6">
      <w:pPr>
        <w:numPr>
          <w:ilvl w:val="0"/>
          <w:numId w:val="13"/>
        </w:num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7B56C6">
        <w:rPr>
          <w:rFonts w:ascii="Century Gothic" w:hAnsi="Century Gothic"/>
          <w:b/>
          <w:bCs/>
          <w:sz w:val="20"/>
          <w:szCs w:val="20"/>
        </w:rPr>
        <w:t>Indemnité de télétravail</w:t>
      </w:r>
    </w:p>
    <w:p w14:paraId="36E64F7E" w14:textId="6AE91265" w:rsidP="007B56C6" w:rsidR="004F579B" w:rsidRDefault="004F579B" w:rsidRPr="007B56C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7B56C6">
        <w:rPr>
          <w:rFonts w:ascii="Century Gothic" w:hAnsi="Century Gothic"/>
          <w:sz w:val="20"/>
          <w:szCs w:val="20"/>
        </w:rPr>
        <w:t xml:space="preserve">la pérennisation de l’indemnité </w:t>
      </w:r>
      <w:r w:rsidR="004C2788" w:rsidRPr="007B56C6">
        <w:rPr>
          <w:rFonts w:ascii="Century Gothic" w:hAnsi="Century Gothic"/>
          <w:sz w:val="20"/>
          <w:szCs w:val="20"/>
        </w:rPr>
        <w:t xml:space="preserve">annuelle de 300€ </w:t>
      </w:r>
      <w:r w:rsidR="00B47601">
        <w:rPr>
          <w:rFonts w:ascii="Century Gothic" w:hAnsi="Century Gothic"/>
          <w:sz w:val="20"/>
          <w:szCs w:val="20"/>
        </w:rPr>
        <w:t>n</w:t>
      </w:r>
      <w:r w:rsidR="00B0043F">
        <w:rPr>
          <w:rFonts w:ascii="Century Gothic" w:hAnsi="Century Gothic"/>
          <w:sz w:val="20"/>
          <w:szCs w:val="20"/>
        </w:rPr>
        <w:t xml:space="preserve">et </w:t>
      </w:r>
      <w:r w:rsidR="004C2788">
        <w:rPr>
          <w:rFonts w:ascii="Century Gothic" w:hAnsi="Century Gothic"/>
          <w:sz w:val="20"/>
          <w:szCs w:val="20"/>
        </w:rPr>
        <w:t>au titre du</w:t>
      </w:r>
      <w:r w:rsidRPr="007B56C6">
        <w:rPr>
          <w:rFonts w:ascii="Century Gothic" w:hAnsi="Century Gothic"/>
          <w:sz w:val="20"/>
          <w:szCs w:val="20"/>
        </w:rPr>
        <w:t xml:space="preserve"> télétravail pour tous</w:t>
      </w:r>
      <w:r w:rsidR="00B47601">
        <w:rPr>
          <w:rFonts w:ascii="Century Gothic" w:hAnsi="Century Gothic"/>
          <w:sz w:val="20"/>
          <w:szCs w:val="20"/>
        </w:rPr>
        <w:t>, à travers la signature d’un accord Groupe</w:t>
      </w:r>
      <w:r w:rsidR="004C2788">
        <w:rPr>
          <w:rFonts w:ascii="Century Gothic" w:hAnsi="Century Gothic"/>
          <w:sz w:val="20"/>
          <w:szCs w:val="20"/>
        </w:rPr>
        <w:t>. Elle sera</w:t>
      </w:r>
      <w:r w:rsidR="006B79D1">
        <w:rPr>
          <w:rFonts w:ascii="Century Gothic" w:hAnsi="Century Gothic"/>
          <w:sz w:val="20"/>
          <w:szCs w:val="20"/>
        </w:rPr>
        <w:t xml:space="preserve"> versée au mois de mars</w:t>
      </w:r>
      <w:r w:rsidR="004C2788">
        <w:rPr>
          <w:rFonts w:ascii="Century Gothic" w:hAnsi="Century Gothic"/>
          <w:sz w:val="20"/>
          <w:szCs w:val="20"/>
        </w:rPr>
        <w:t xml:space="preserve"> de chaque année</w:t>
      </w:r>
      <w:r w:rsidR="00B47601">
        <w:rPr>
          <w:rFonts w:ascii="Century Gothic" w:hAnsi="Century Gothic"/>
          <w:sz w:val="20"/>
          <w:szCs w:val="20"/>
        </w:rPr>
        <w:t xml:space="preserve"> au titre de l’année précédente</w:t>
      </w:r>
      <w:r w:rsidR="007B56C6">
        <w:rPr>
          <w:rFonts w:ascii="Century Gothic" w:hAnsi="Century Gothic"/>
          <w:sz w:val="20"/>
          <w:szCs w:val="20"/>
        </w:rPr>
        <w:t>.</w:t>
      </w:r>
    </w:p>
    <w:p w14:paraId="4B94D5A5" w14:textId="77777777" w:rsidP="006B79D1" w:rsidR="00144DAA" w:rsidRDefault="00144DAA" w:rsidRPr="007B56C6">
      <w:pPr>
        <w:pStyle w:val="Paragraphedeliste"/>
        <w:spacing w:after="0" w:line="240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bookmarkStart w:id="0" w:name="_Hlk81816402"/>
    </w:p>
    <w:bookmarkEnd w:id="0"/>
    <w:p w14:paraId="55E39C15" w14:textId="185842B9" w:rsidP="00144DAA" w:rsidR="00DD63DC" w:rsidRDefault="00B66914" w:rsidRPr="003A70F7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3A70F7">
        <w:rPr>
          <w:rFonts w:ascii="Century Gothic" w:hAnsi="Century Gothic"/>
          <w:b/>
          <w:sz w:val="20"/>
          <w:szCs w:val="20"/>
          <w:u w:val="single"/>
        </w:rPr>
        <w:t xml:space="preserve">Article </w:t>
      </w:r>
      <w:r w:rsidR="00D06A72">
        <w:rPr>
          <w:rFonts w:ascii="Century Gothic" w:hAnsi="Century Gothic"/>
          <w:b/>
          <w:sz w:val="20"/>
          <w:szCs w:val="20"/>
          <w:u w:val="single"/>
        </w:rPr>
        <w:t>3</w:t>
      </w:r>
      <w:r w:rsidR="00DD63DC" w:rsidRPr="003A70F7">
        <w:rPr>
          <w:rFonts w:ascii="Century Gothic" w:hAnsi="Century Gothic"/>
          <w:b/>
          <w:sz w:val="20"/>
          <w:szCs w:val="20"/>
        </w:rPr>
        <w:t xml:space="preserve"> : Date d’effet</w:t>
      </w:r>
    </w:p>
    <w:p w14:paraId="3DEEC669" w14:textId="77777777" w:rsidP="00144DAA" w:rsidR="00144DAA" w:rsidRDefault="00144DAA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0BD5560" w14:textId="0D139C91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Le présent accord prend effet à la date de sa signature et prend fin au jour de la mise en </w:t>
      </w:r>
      <w:r w:rsidR="000A5F94" w:rsidRPr="003A70F7">
        <w:rPr>
          <w:rFonts w:ascii="Century Gothic" w:hAnsi="Century Gothic"/>
          <w:sz w:val="20"/>
          <w:szCs w:val="20"/>
        </w:rPr>
        <w:t>œuvre</w:t>
      </w:r>
      <w:r w:rsidRPr="003A70F7">
        <w:rPr>
          <w:rFonts w:ascii="Century Gothic" w:hAnsi="Century Gothic"/>
          <w:sz w:val="20"/>
          <w:szCs w:val="20"/>
        </w:rPr>
        <w:t xml:space="preserve"> de l’ensemble des dispositions qu’il prév</w:t>
      </w:r>
      <w:r w:rsidR="000A5F94" w:rsidRPr="003A70F7">
        <w:rPr>
          <w:rFonts w:ascii="Century Gothic" w:hAnsi="Century Gothic"/>
          <w:sz w:val="20"/>
          <w:szCs w:val="20"/>
        </w:rPr>
        <w:t>oit.</w:t>
      </w:r>
    </w:p>
    <w:p w14:paraId="3656B9AB" w14:textId="77777777" w:rsidP="00144DAA" w:rsidR="00144DAA" w:rsidRDefault="00144DAA" w:rsidRPr="003A70F7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</w:p>
    <w:p w14:paraId="4DF2E61C" w14:textId="7DF80CD4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3A70F7">
        <w:rPr>
          <w:rFonts w:ascii="Century Gothic" w:hAnsi="Century Gothic"/>
          <w:b/>
          <w:sz w:val="20"/>
          <w:szCs w:val="20"/>
          <w:u w:val="single"/>
        </w:rPr>
        <w:t xml:space="preserve">Article </w:t>
      </w:r>
      <w:r w:rsidR="00D06A72">
        <w:rPr>
          <w:rFonts w:ascii="Century Gothic" w:hAnsi="Century Gothic"/>
          <w:b/>
          <w:sz w:val="20"/>
          <w:szCs w:val="20"/>
          <w:u w:val="single"/>
        </w:rPr>
        <w:t>4</w:t>
      </w:r>
      <w:r w:rsidRPr="003A70F7">
        <w:rPr>
          <w:rFonts w:ascii="Century Gothic" w:hAnsi="Century Gothic"/>
          <w:b/>
          <w:sz w:val="20"/>
          <w:szCs w:val="20"/>
        </w:rPr>
        <w:t xml:space="preserve"> : </w:t>
      </w:r>
      <w:r w:rsidR="00D4136D">
        <w:rPr>
          <w:rFonts w:ascii="Century Gothic" w:hAnsi="Century Gothic"/>
          <w:b/>
          <w:sz w:val="20"/>
          <w:szCs w:val="20"/>
        </w:rPr>
        <w:t xml:space="preserve">Dépôt </w:t>
      </w:r>
      <w:r w:rsidRPr="003A70F7">
        <w:rPr>
          <w:rFonts w:ascii="Century Gothic" w:hAnsi="Century Gothic"/>
          <w:b/>
          <w:sz w:val="20"/>
          <w:szCs w:val="20"/>
        </w:rPr>
        <w:t>de l’accord</w:t>
      </w:r>
    </w:p>
    <w:p w14:paraId="45FB0818" w14:textId="77777777" w:rsidP="00144DAA" w:rsidR="00144DAA" w:rsidRDefault="00144DAA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9FE2129" w14:textId="77777777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>Le présent accord constitue un tout indivisible tant dans son esprit que dans sa lettre. L’adhésion ultérieure d’une organisation syndicale représentative ne pourra être partielle et intéressera l’accord dans son entier.</w:t>
      </w:r>
    </w:p>
    <w:p w14:paraId="6FD2B22E" w14:textId="7DA07622" w:rsidP="00144DAA" w:rsidR="00494671" w:rsidRDefault="00B669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Le présent </w:t>
      </w:r>
      <w:r w:rsidR="003A70F7" w:rsidRPr="003A70F7">
        <w:rPr>
          <w:rFonts w:ascii="Century Gothic" w:hAnsi="Century Gothic"/>
          <w:sz w:val="20"/>
          <w:szCs w:val="20"/>
        </w:rPr>
        <w:t>accord</w:t>
      </w:r>
      <w:r w:rsidRPr="003A70F7">
        <w:rPr>
          <w:rFonts w:ascii="Century Gothic" w:hAnsi="Century Gothic"/>
          <w:sz w:val="20"/>
          <w:szCs w:val="20"/>
        </w:rPr>
        <w:t xml:space="preserve"> sera déposé auprès de la </w:t>
      </w:r>
      <w:r w:rsidR="00494671" w:rsidRPr="00494671">
        <w:rPr>
          <w:rFonts w:ascii="Century Gothic" w:hAnsi="Century Gothic"/>
          <w:sz w:val="20"/>
          <w:szCs w:val="20"/>
        </w:rPr>
        <w:t xml:space="preserve">Direction régionale de l’économie, de l’emploi, du travail et des solidarités </w:t>
      </w:r>
      <w:r w:rsidRPr="003A70F7">
        <w:rPr>
          <w:rFonts w:ascii="Century Gothic" w:hAnsi="Century Gothic"/>
          <w:sz w:val="20"/>
          <w:szCs w:val="20"/>
        </w:rPr>
        <w:t>et du Secrétariat du greffe du conseil des prud'hommes du lieu de conclusion du présent accord ainsi que l’OPNC. Cet accord donne lieu à affichage.</w:t>
      </w:r>
      <w:r w:rsidR="00494671">
        <w:rPr>
          <w:rFonts w:ascii="Century Gothic" w:hAnsi="Century Gothic"/>
          <w:sz w:val="20"/>
          <w:szCs w:val="20"/>
        </w:rPr>
        <w:t xml:space="preserve"> </w:t>
      </w:r>
      <w:r w:rsidRPr="003A70F7">
        <w:rPr>
          <w:rFonts w:ascii="Century Gothic" w:hAnsi="Century Gothic"/>
          <w:sz w:val="20"/>
          <w:szCs w:val="20"/>
        </w:rPr>
        <w:t>Chaque organisation syndicale rec</w:t>
      </w:r>
      <w:r w:rsidR="003A70F7" w:rsidRPr="003A70F7">
        <w:rPr>
          <w:rFonts w:ascii="Century Gothic" w:hAnsi="Century Gothic"/>
          <w:sz w:val="20"/>
          <w:szCs w:val="20"/>
        </w:rPr>
        <w:t>evra un exemplaire de l’accord.</w:t>
      </w:r>
    </w:p>
    <w:p w14:paraId="10E3F100" w14:textId="77777777" w:rsidP="00144DAA" w:rsidR="00494671" w:rsidRDefault="00494671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72CD3259" w14:textId="67A879DD" w:rsidP="00144DAA" w:rsidR="00B66914" w:rsidRDefault="00B6691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A70F7">
        <w:rPr>
          <w:rFonts w:ascii="Century Gothic" w:hAnsi="Century Gothic"/>
          <w:sz w:val="20"/>
          <w:szCs w:val="20"/>
        </w:rPr>
        <w:t xml:space="preserve">Fait </w:t>
      </w:r>
      <w:r w:rsidR="00590FE4">
        <w:rPr>
          <w:rFonts w:ascii="Century Gothic" w:hAnsi="Century Gothic"/>
          <w:sz w:val="20"/>
          <w:szCs w:val="20"/>
        </w:rPr>
        <w:t xml:space="preserve">à </w:t>
      </w:r>
      <w:r w:rsidR="00D06A72">
        <w:rPr>
          <w:rFonts w:ascii="Century Gothic" w:hAnsi="Century Gothic"/>
          <w:sz w:val="20"/>
          <w:szCs w:val="20"/>
        </w:rPr>
        <w:t>La Ferté-Bernard</w:t>
      </w:r>
      <w:r w:rsidR="00D4136D">
        <w:rPr>
          <w:rFonts w:ascii="Century Gothic" w:hAnsi="Century Gothic"/>
          <w:sz w:val="20"/>
          <w:szCs w:val="20"/>
        </w:rPr>
        <w:t xml:space="preserve">, </w:t>
      </w:r>
      <w:r w:rsidR="00D4136D" w:rsidRPr="00D4136D">
        <w:rPr>
          <w:rFonts w:ascii="Century Gothic" w:hAnsi="Century Gothic"/>
          <w:sz w:val="20"/>
          <w:szCs w:val="20"/>
        </w:rPr>
        <w:t xml:space="preserve">le </w:t>
      </w:r>
      <w:r w:rsidR="00D06A72">
        <w:rPr>
          <w:rFonts w:ascii="Century Gothic" w:hAnsi="Century Gothic"/>
          <w:sz w:val="20"/>
          <w:szCs w:val="20"/>
        </w:rPr>
        <w:t xml:space="preserve">7 juillet </w:t>
      </w:r>
      <w:r w:rsidR="00DC3248">
        <w:rPr>
          <w:rFonts w:ascii="Century Gothic" w:hAnsi="Century Gothic"/>
          <w:sz w:val="20"/>
          <w:szCs w:val="20"/>
        </w:rPr>
        <w:t>2022</w:t>
      </w:r>
    </w:p>
    <w:p w14:paraId="1DF14CE6" w14:textId="77777777" w:rsidP="00144DAA" w:rsidR="00751505" w:rsidRDefault="00751505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5172"/>
        <w:gridCol w:w="5172"/>
      </w:tblGrid>
      <w:tr w14:paraId="1EDE1F4C" w14:textId="77777777" w:rsidR="00AE13B5" w:rsidRPr="003A70F7" w:rsidTr="001B5C04">
        <w:trPr>
          <w:jc w:val="center"/>
        </w:trPr>
        <w:tc>
          <w:tcPr>
            <w:tcW w:type="dxa" w:w="5172"/>
            <w:shd w:color="auto" w:fill="auto" w:val="clear"/>
          </w:tcPr>
          <w:p w14:paraId="6DC682FF" w14:textId="1834B4F0" w:rsidP="001B5C04" w:rsidR="00AE13B5" w:rsidRDefault="00AE13B5" w:rsidRPr="003A70F7">
            <w:pPr>
              <w:autoSpaceDE w:val="0"/>
              <w:autoSpaceDN w:val="0"/>
              <w:adjustRightInd w:val="0"/>
              <w:jc w:val="both"/>
              <w:rPr>
                <w:rFonts w:ascii="Century Gothic" w:cs="Arial" w:hAnsi="Century Gothic"/>
                <w:sz w:val="20"/>
                <w:szCs w:val="20"/>
              </w:rPr>
            </w:pPr>
            <w:r w:rsidRPr="003A70F7">
              <w:rPr>
                <w:rFonts w:ascii="Century Gothic" w:cs="Arial" w:hAnsi="Century Gothic"/>
                <w:sz w:val="20"/>
                <w:szCs w:val="20"/>
              </w:rPr>
              <w:t>Pour la société</w:t>
            </w:r>
            <w:bookmarkStart w:id="1" w:name="_GoBack"/>
            <w:bookmarkEnd w:id="1"/>
            <w:r w:rsidRPr="003A70F7">
              <w:rPr>
                <w:rFonts w:ascii="Century Gothic" w:cs="Arial" w:hAnsi="Century Gothic"/>
                <w:sz w:val="20"/>
                <w:szCs w:val="20"/>
              </w:rPr>
              <w:t xml:space="preserve">, son Directeur des Ressources Humaines, </w:t>
            </w:r>
          </w:p>
          <w:p w14:paraId="739C5FD4" w14:textId="77777777" w:rsidP="001B5C04" w:rsidR="00AE13B5" w:rsidRDefault="00AE13B5">
            <w:pPr>
              <w:autoSpaceDE w:val="0"/>
              <w:autoSpaceDN w:val="0"/>
              <w:adjustRightInd w:val="0"/>
              <w:jc w:val="both"/>
              <w:rPr>
                <w:rFonts w:ascii="Century Gothic" w:cs="Arial" w:eastAsia="Times New Roman" w:hAnsi="Century Gothic"/>
                <w:sz w:val="20"/>
                <w:szCs w:val="20"/>
                <w:lang w:eastAsia="fr-FR"/>
              </w:rPr>
            </w:pPr>
          </w:p>
          <w:p w14:paraId="61CF4C90" w14:textId="77777777" w:rsidP="001B5C04" w:rsidR="00AE13B5" w:rsidRDefault="00AE13B5" w:rsidRPr="003A70F7">
            <w:pPr>
              <w:autoSpaceDE w:val="0"/>
              <w:autoSpaceDN w:val="0"/>
              <w:adjustRightInd w:val="0"/>
              <w:jc w:val="both"/>
              <w:rPr>
                <w:rFonts w:ascii="Century Gothic" w:cs="Arial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type="dxa" w:w="5172"/>
            <w:shd w:color="auto" w:fill="auto" w:val="clear"/>
          </w:tcPr>
          <w:p w14:paraId="68B9116B" w14:textId="44E4E803" w:rsidP="001B5C04" w:rsidR="00AE13B5" w:rsidRDefault="00796EF3" w:rsidRPr="003A70F7">
            <w:pPr>
              <w:autoSpaceDE w:val="0"/>
              <w:autoSpaceDN w:val="0"/>
              <w:adjustRightInd w:val="0"/>
              <w:jc w:val="both"/>
              <w:rPr>
                <w:rFonts w:ascii="Century Gothic" w:cs="Arial" w:eastAsia="Times New Roman" w:hAnsi="Century Gothic"/>
                <w:sz w:val="20"/>
                <w:szCs w:val="20"/>
                <w:lang w:eastAsia="fr-FR"/>
              </w:rPr>
            </w:pPr>
            <w:r w:rsidRPr="007C7360">
              <w:rPr>
                <w:rFonts w:ascii="Century Gothic" w:hAnsi="Century Gothic"/>
                <w:sz w:val="20"/>
                <w:szCs w:val="20"/>
              </w:rPr>
              <w:t xml:space="preserve">CFE CGC,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représentée par </w:t>
            </w:r>
          </w:p>
        </w:tc>
      </w:tr>
    </w:tbl>
    <w:p w14:paraId="1299C43A" w14:textId="77777777" w:rsidP="00144DAA" w:rsidR="00B66914" w:rsidRDefault="00B66914" w:rsidRPr="003A70F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sectPr w:rsidR="00B66914" w:rsidRPr="003A70F7" w:rsidSect="00DD63DC">
      <w:footerReference r:id="rId11" w:type="default"/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76288" w14:textId="77777777" w:rsidR="00C043CB" w:rsidRDefault="00C043CB" w:rsidP="00F149A1">
      <w:pPr>
        <w:spacing w:after="0" w:line="240" w:lineRule="auto"/>
      </w:pPr>
      <w:r>
        <w:separator/>
      </w:r>
    </w:p>
  </w:endnote>
  <w:endnote w:type="continuationSeparator" w:id="0">
    <w:p w14:paraId="4C59E94F" w14:textId="77777777" w:rsidR="00C043CB" w:rsidRDefault="00C043CB" w:rsidP="00F1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rPr>
        <w:rFonts w:ascii="Times New Roman" w:cs="Times New Roman" w:hAnsi="Times New Roman"/>
        <w:sz w:val="16"/>
      </w:rPr>
      <w:id w:val="645478781"/>
      <w:docPartObj>
        <w:docPartGallery w:val="Page Numbers (Bottom of Page)"/>
        <w:docPartUnique/>
      </w:docPartObj>
    </w:sdtPr>
    <w:sdtEndPr/>
    <w:sdtContent>
      <w:p w14:paraId="7573168E" w14:textId="15B4B900" w:rsidR="003A70F7" w:rsidRDefault="003A70F7" w:rsidRPr="003A70F7">
        <w:pPr>
          <w:pStyle w:val="Pieddepage"/>
          <w:jc w:val="center"/>
          <w:rPr>
            <w:rFonts w:ascii="Times New Roman" w:cs="Times New Roman" w:hAnsi="Times New Roman"/>
            <w:sz w:val="16"/>
            <w:lang w:val="en-US"/>
          </w:rPr>
        </w:pPr>
        <w:r w:rsidRPr="003A70F7">
          <w:rPr>
            <w:rFonts w:ascii="Times New Roman" w:cs="Times New Roman" w:hAnsi="Times New Roman"/>
            <w:sz w:val="16"/>
          </w:rPr>
          <w:fldChar w:fldCharType="begin"/>
        </w:r>
        <w:r w:rsidRPr="005A32EF">
          <w:rPr>
            <w:rFonts w:ascii="Times New Roman" w:cs="Times New Roman" w:hAnsi="Times New Roman"/>
            <w:sz w:val="16"/>
            <w:lang w:val="en-US"/>
          </w:rPr>
          <w:instrText>PAGE   \* MERGEFORMAT</w:instrText>
        </w:r>
        <w:r w:rsidRPr="003A70F7">
          <w:rPr>
            <w:rFonts w:ascii="Times New Roman" w:cs="Times New Roman" w:hAnsi="Times New Roman"/>
            <w:sz w:val="16"/>
          </w:rPr>
          <w:fldChar w:fldCharType="separate"/>
        </w:r>
        <w:r w:rsidR="00C65D21">
          <w:rPr>
            <w:rFonts w:ascii="Times New Roman" w:cs="Times New Roman" w:hAnsi="Times New Roman"/>
            <w:noProof/>
            <w:sz w:val="16"/>
            <w:lang w:val="en-US"/>
          </w:rPr>
          <w:t>2</w:t>
        </w:r>
        <w:r w:rsidRPr="003A70F7">
          <w:rPr>
            <w:rFonts w:ascii="Times New Roman" w:cs="Times New Roman" w:hAnsi="Times New Roman"/>
            <w:sz w:val="16"/>
          </w:rPr>
          <w:fldChar w:fldCharType="end"/>
        </w:r>
        <w:r w:rsidRPr="003A70F7">
          <w:rPr>
            <w:rFonts w:ascii="Times New Roman" w:cs="Times New Roman" w:hAnsi="Times New Roman"/>
            <w:sz w:val="16"/>
            <w:lang w:val="en-US"/>
          </w:rPr>
          <w:t>/2</w:t>
        </w:r>
      </w:p>
    </w:sdtContent>
  </w:sdt>
  <w:p w14:paraId="4DDBEF00" w14:textId="7BD3DA6E" w:rsidP="003A70F7" w:rsidR="00F149A1" w:rsidRDefault="003A70F7" w:rsidRPr="003A70F7">
    <w:pPr>
      <w:pStyle w:val="Pieddepage"/>
      <w:jc w:val="right"/>
      <w:rPr>
        <w:rFonts w:ascii="Times New Roman" w:cs="Times New Roman" w:hAnsi="Times New Roman"/>
        <w:sz w:val="8"/>
        <w:lang w:val="en-US"/>
      </w:rPr>
    </w:pPr>
    <w:r w:rsidRPr="003A70F7">
      <w:rPr>
        <w:rFonts w:ascii="Times New Roman" w:cs="Times New Roman" w:hAnsi="Times New Roman"/>
        <w:sz w:val="8"/>
        <w:lang w:val="en-US"/>
      </w:rPr>
      <w:t>MHLA/IADJ/SRH/</w:t>
    </w:r>
    <w:r w:rsidR="00F61593">
      <w:rPr>
        <w:rFonts w:ascii="Times New Roman" w:cs="Times New Roman" w:hAnsi="Times New Roman"/>
        <w:sz w:val="8"/>
        <w:lang w:val="en-US"/>
      </w:rPr>
      <w:t xml:space="preserve">CARL </w:t>
    </w:r>
    <w:r w:rsidRPr="003A70F7">
      <w:rPr>
        <w:rFonts w:ascii="Times New Roman" w:cs="Times New Roman" w:hAnsi="Times New Roman"/>
        <w:sz w:val="8"/>
        <w:lang w:val="en-US"/>
      </w:rPr>
      <w:t>ACCORD NAO 202</w:t>
    </w:r>
    <w:r w:rsidR="005C1DC6">
      <w:rPr>
        <w:rFonts w:ascii="Times New Roman" w:cs="Times New Roman" w:hAnsi="Times New Roman"/>
        <w:sz w:val="8"/>
        <w:lang w:val="en-US"/>
      </w:rPr>
      <w:t>1</w:t>
    </w:r>
    <w:r w:rsidRPr="003A70F7">
      <w:rPr>
        <w:rFonts w:ascii="Times New Roman" w:cs="Times New Roman" w:hAnsi="Times New Roman"/>
        <w:sz w:val="8"/>
        <w:lang w:val="en-US"/>
      </w:rPr>
      <w:t>.DOC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4DFA92F" w14:textId="77777777" w:rsidP="00F149A1" w:rsidR="00C043CB" w:rsidRDefault="00C043CB">
      <w:pPr>
        <w:spacing w:after="0" w:line="240" w:lineRule="auto"/>
      </w:pPr>
      <w:r>
        <w:separator/>
      </w:r>
    </w:p>
  </w:footnote>
  <w:footnote w:id="0" w:type="continuationSeparator">
    <w:p w14:paraId="7D43E2F7" w14:textId="77777777" w:rsidP="00F149A1" w:rsidR="00C043CB" w:rsidRDefault="00C04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AB325B"/>
    <w:multiLevelType w:val="hybridMultilevel"/>
    <w:tmpl w:val="BAE684B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50C5125"/>
    <w:multiLevelType w:val="hybridMultilevel"/>
    <w:tmpl w:val="87F0722A"/>
    <w:lvl w:ilvl="0" w:tplc="97006984">
      <w:start w:val="2"/>
      <w:numFmt w:val="bullet"/>
      <w:lvlText w:val="-"/>
      <w:lvlJc w:val="left"/>
      <w:pPr>
        <w:ind w:hanging="360" w:left="720"/>
      </w:pPr>
      <w:rPr>
        <w:rFonts w:ascii="Century Gothic" w:cstheme="minorBidi" w:eastAsiaTheme="minorHAnsi" w:hAnsi="Century Gothic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CFF4B1C"/>
    <w:multiLevelType w:val="hybridMultilevel"/>
    <w:tmpl w:val="58E84FA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00E1C7E"/>
    <w:multiLevelType w:val="hybridMultilevel"/>
    <w:tmpl w:val="BAE684B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0A95EFF"/>
    <w:multiLevelType w:val="hybridMultilevel"/>
    <w:tmpl w:val="E5E4DFE8"/>
    <w:lvl w:ilvl="0" w:tplc="85349F0A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1852265A"/>
    <w:multiLevelType w:val="hybridMultilevel"/>
    <w:tmpl w:val="0E6EDFB8"/>
    <w:lvl w:ilvl="0" w:tplc="992CBC98"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8936396"/>
    <w:multiLevelType w:val="hybridMultilevel"/>
    <w:tmpl w:val="D5AA5D28"/>
    <w:lvl w:ilvl="0" w:tplc="B40E319E">
      <w:start w:val="5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7">
    <w:nsid w:val="1AD21F17"/>
    <w:multiLevelType w:val="hybridMultilevel"/>
    <w:tmpl w:val="CC4886E6"/>
    <w:lvl w:ilvl="0" w:tplc="7D70C7F6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69A29BE"/>
    <w:multiLevelType w:val="hybridMultilevel"/>
    <w:tmpl w:val="AD04EA7E"/>
    <w:lvl w:ilvl="0" w:tplc="2794DDDA">
      <w:numFmt w:val="bullet"/>
      <w:lvlText w:val="-"/>
      <w:lvlJc w:val="left"/>
      <w:pPr>
        <w:ind w:hanging="360" w:left="108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28B31CF8"/>
    <w:multiLevelType w:val="hybridMultilevel"/>
    <w:tmpl w:val="5D68D9E0"/>
    <w:lvl w:ilvl="0" w:tplc="3A9E0EA2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96A23EE"/>
    <w:multiLevelType w:val="hybridMultilevel"/>
    <w:tmpl w:val="CE3ECB2C"/>
    <w:lvl w:ilvl="0" w:tplc="992CBC98"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55203CF"/>
    <w:multiLevelType w:val="hybridMultilevel"/>
    <w:tmpl w:val="3DECEED2"/>
    <w:lvl w:ilvl="0" w:tplc="163AF64A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2400DA7"/>
    <w:multiLevelType w:val="hybridMultilevel"/>
    <w:tmpl w:val="045EE1AA"/>
    <w:lvl w:ilvl="0" w:tplc="7D70C7F6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64752C1"/>
    <w:multiLevelType w:val="hybridMultilevel"/>
    <w:tmpl w:val="EEFE2040"/>
    <w:lvl w:ilvl="0" w:tplc="034021AC">
      <w:numFmt w:val="bullet"/>
      <w:lvlText w:val="-"/>
      <w:lvlJc w:val="left"/>
      <w:pPr>
        <w:ind w:hanging="360" w:left="36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7807091A"/>
    <w:multiLevelType w:val="hybridMultilevel"/>
    <w:tmpl w:val="D52A4E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D0D3286"/>
    <w:multiLevelType w:val="hybridMultilevel"/>
    <w:tmpl w:val="FD541F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4"/>
  </w:num>
  <w:num w:numId="10">
    <w:abstractNumId w:val="1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4"/>
  </w:num>
  <w:num w:numId="16">
    <w:abstractNumId w:val="9"/>
  </w:num>
  <w:num w:numId="17">
    <w:abstractNumId w:val="8"/>
  </w:num>
  <w:num w:numId="18">
    <w:abstractNumId w:val="1"/>
  </w:num>
  <w:num w:numId="19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4"/>
    <w:rsid w:val="00026466"/>
    <w:rsid w:val="00033135"/>
    <w:rsid w:val="00040428"/>
    <w:rsid w:val="000532FF"/>
    <w:rsid w:val="00077C99"/>
    <w:rsid w:val="000A5F94"/>
    <w:rsid w:val="000B7471"/>
    <w:rsid w:val="000E5A36"/>
    <w:rsid w:val="000F4080"/>
    <w:rsid w:val="000F7F35"/>
    <w:rsid w:val="0010521B"/>
    <w:rsid w:val="001136E1"/>
    <w:rsid w:val="0012088A"/>
    <w:rsid w:val="00126001"/>
    <w:rsid w:val="0012695F"/>
    <w:rsid w:val="0013128D"/>
    <w:rsid w:val="00142249"/>
    <w:rsid w:val="00143DC1"/>
    <w:rsid w:val="00144DAA"/>
    <w:rsid w:val="00146417"/>
    <w:rsid w:val="001602D8"/>
    <w:rsid w:val="001675F5"/>
    <w:rsid w:val="00185623"/>
    <w:rsid w:val="00191BA0"/>
    <w:rsid w:val="001926E6"/>
    <w:rsid w:val="0019426A"/>
    <w:rsid w:val="001A1B05"/>
    <w:rsid w:val="001F5218"/>
    <w:rsid w:val="001F6A51"/>
    <w:rsid w:val="00201332"/>
    <w:rsid w:val="0020442F"/>
    <w:rsid w:val="00205747"/>
    <w:rsid w:val="002060EE"/>
    <w:rsid w:val="00216947"/>
    <w:rsid w:val="00222503"/>
    <w:rsid w:val="00234C31"/>
    <w:rsid w:val="0024480A"/>
    <w:rsid w:val="00247588"/>
    <w:rsid w:val="00256726"/>
    <w:rsid w:val="002848BB"/>
    <w:rsid w:val="002C0AE1"/>
    <w:rsid w:val="002F5C9E"/>
    <w:rsid w:val="00325265"/>
    <w:rsid w:val="003274EB"/>
    <w:rsid w:val="003626DD"/>
    <w:rsid w:val="00384847"/>
    <w:rsid w:val="003A70F7"/>
    <w:rsid w:val="003D1CC9"/>
    <w:rsid w:val="003F0563"/>
    <w:rsid w:val="004124F9"/>
    <w:rsid w:val="00413FA9"/>
    <w:rsid w:val="004200B6"/>
    <w:rsid w:val="00422289"/>
    <w:rsid w:val="00422F40"/>
    <w:rsid w:val="004409D2"/>
    <w:rsid w:val="004423BF"/>
    <w:rsid w:val="00481FC3"/>
    <w:rsid w:val="00494671"/>
    <w:rsid w:val="004A458E"/>
    <w:rsid w:val="004C2788"/>
    <w:rsid w:val="004F579B"/>
    <w:rsid w:val="00503A03"/>
    <w:rsid w:val="00516A22"/>
    <w:rsid w:val="0054378E"/>
    <w:rsid w:val="005457F6"/>
    <w:rsid w:val="00556563"/>
    <w:rsid w:val="005617C0"/>
    <w:rsid w:val="00562B93"/>
    <w:rsid w:val="0056533B"/>
    <w:rsid w:val="00580ED2"/>
    <w:rsid w:val="0058438C"/>
    <w:rsid w:val="00587E56"/>
    <w:rsid w:val="00590FE4"/>
    <w:rsid w:val="00597A75"/>
    <w:rsid w:val="005A32EF"/>
    <w:rsid w:val="005C1DC6"/>
    <w:rsid w:val="005D5F43"/>
    <w:rsid w:val="00626F5A"/>
    <w:rsid w:val="00674E64"/>
    <w:rsid w:val="00677CB3"/>
    <w:rsid w:val="00687C31"/>
    <w:rsid w:val="00696DE1"/>
    <w:rsid w:val="006A6414"/>
    <w:rsid w:val="006A6AAB"/>
    <w:rsid w:val="006B79D1"/>
    <w:rsid w:val="006E4F8C"/>
    <w:rsid w:val="006F0666"/>
    <w:rsid w:val="006F4239"/>
    <w:rsid w:val="006F6E4E"/>
    <w:rsid w:val="00703245"/>
    <w:rsid w:val="00714346"/>
    <w:rsid w:val="007313BC"/>
    <w:rsid w:val="0075020A"/>
    <w:rsid w:val="00751505"/>
    <w:rsid w:val="0075345E"/>
    <w:rsid w:val="007743E9"/>
    <w:rsid w:val="00796EF3"/>
    <w:rsid w:val="007A6FAF"/>
    <w:rsid w:val="007B1F74"/>
    <w:rsid w:val="007B56C6"/>
    <w:rsid w:val="007B56F4"/>
    <w:rsid w:val="007E2B91"/>
    <w:rsid w:val="00802310"/>
    <w:rsid w:val="00802EB3"/>
    <w:rsid w:val="0081544B"/>
    <w:rsid w:val="00823EBC"/>
    <w:rsid w:val="008925FA"/>
    <w:rsid w:val="008C0C71"/>
    <w:rsid w:val="008D5F11"/>
    <w:rsid w:val="00900B83"/>
    <w:rsid w:val="00961C2A"/>
    <w:rsid w:val="009919D2"/>
    <w:rsid w:val="00993029"/>
    <w:rsid w:val="00995D3B"/>
    <w:rsid w:val="009B5090"/>
    <w:rsid w:val="009B7929"/>
    <w:rsid w:val="009C057F"/>
    <w:rsid w:val="009D03CA"/>
    <w:rsid w:val="009D41FB"/>
    <w:rsid w:val="009D5FDC"/>
    <w:rsid w:val="009E6763"/>
    <w:rsid w:val="00A1220F"/>
    <w:rsid w:val="00A13DD3"/>
    <w:rsid w:val="00A24F1B"/>
    <w:rsid w:val="00A43FD4"/>
    <w:rsid w:val="00A61CBA"/>
    <w:rsid w:val="00A62321"/>
    <w:rsid w:val="00A757A2"/>
    <w:rsid w:val="00A93D34"/>
    <w:rsid w:val="00AC74CB"/>
    <w:rsid w:val="00AE13B5"/>
    <w:rsid w:val="00AF4520"/>
    <w:rsid w:val="00B0043F"/>
    <w:rsid w:val="00B034ED"/>
    <w:rsid w:val="00B13246"/>
    <w:rsid w:val="00B25D2A"/>
    <w:rsid w:val="00B44C1C"/>
    <w:rsid w:val="00B47137"/>
    <w:rsid w:val="00B4744B"/>
    <w:rsid w:val="00B47601"/>
    <w:rsid w:val="00B53122"/>
    <w:rsid w:val="00B665FF"/>
    <w:rsid w:val="00B66914"/>
    <w:rsid w:val="00B66D9E"/>
    <w:rsid w:val="00B72901"/>
    <w:rsid w:val="00BA4837"/>
    <w:rsid w:val="00BB11BD"/>
    <w:rsid w:val="00BB2E84"/>
    <w:rsid w:val="00BB6358"/>
    <w:rsid w:val="00BD3964"/>
    <w:rsid w:val="00BE6656"/>
    <w:rsid w:val="00BF5ECB"/>
    <w:rsid w:val="00C00452"/>
    <w:rsid w:val="00C01146"/>
    <w:rsid w:val="00C043CB"/>
    <w:rsid w:val="00C043EE"/>
    <w:rsid w:val="00C548D2"/>
    <w:rsid w:val="00C65D21"/>
    <w:rsid w:val="00C737D6"/>
    <w:rsid w:val="00C73FDB"/>
    <w:rsid w:val="00C754CF"/>
    <w:rsid w:val="00CA49D6"/>
    <w:rsid w:val="00CB4D5D"/>
    <w:rsid w:val="00CB7485"/>
    <w:rsid w:val="00CC247B"/>
    <w:rsid w:val="00CD5B38"/>
    <w:rsid w:val="00CD7310"/>
    <w:rsid w:val="00CE1354"/>
    <w:rsid w:val="00D06A72"/>
    <w:rsid w:val="00D07B4F"/>
    <w:rsid w:val="00D27690"/>
    <w:rsid w:val="00D4136D"/>
    <w:rsid w:val="00D6111F"/>
    <w:rsid w:val="00D64727"/>
    <w:rsid w:val="00D72431"/>
    <w:rsid w:val="00D77E42"/>
    <w:rsid w:val="00DA7532"/>
    <w:rsid w:val="00DB7238"/>
    <w:rsid w:val="00DC3248"/>
    <w:rsid w:val="00DD63DC"/>
    <w:rsid w:val="00DE24A6"/>
    <w:rsid w:val="00E022C7"/>
    <w:rsid w:val="00E15614"/>
    <w:rsid w:val="00E21023"/>
    <w:rsid w:val="00E319E9"/>
    <w:rsid w:val="00E35699"/>
    <w:rsid w:val="00E703F0"/>
    <w:rsid w:val="00E75FA0"/>
    <w:rsid w:val="00E76110"/>
    <w:rsid w:val="00E77EE1"/>
    <w:rsid w:val="00E8554D"/>
    <w:rsid w:val="00E87A34"/>
    <w:rsid w:val="00E96FC4"/>
    <w:rsid w:val="00EE147F"/>
    <w:rsid w:val="00EE2356"/>
    <w:rsid w:val="00EE39E0"/>
    <w:rsid w:val="00F0067B"/>
    <w:rsid w:val="00F01B28"/>
    <w:rsid w:val="00F04DDB"/>
    <w:rsid w:val="00F149A1"/>
    <w:rsid w:val="00F51308"/>
    <w:rsid w:val="00F61593"/>
    <w:rsid w:val="00F71D82"/>
    <w:rsid w:val="00F75FB4"/>
    <w:rsid w:val="00F85B52"/>
    <w:rsid w:val="00FA1268"/>
    <w:rsid w:val="00FB034D"/>
    <w:rsid w:val="00FB6881"/>
    <w:rsid w:val="00FC16F2"/>
    <w:rsid w:val="00FD24CC"/>
    <w:rsid w:val="00FD7AB4"/>
    <w:rsid w:val="00FE0F7B"/>
    <w:rsid w:val="00FF242A"/>
    <w:rsid w:val="01327A1F"/>
    <w:rsid w:val="0454F7AE"/>
    <w:rsid w:val="094DE425"/>
    <w:rsid w:val="1196DD57"/>
    <w:rsid w:val="1B3678DB"/>
    <w:rsid w:val="1B62E620"/>
    <w:rsid w:val="20AE3E9E"/>
    <w:rsid w:val="33F5247C"/>
    <w:rsid w:val="3527D9B6"/>
    <w:rsid w:val="35FE54CE"/>
    <w:rsid w:val="3DB4EA34"/>
    <w:rsid w:val="3DFA8769"/>
    <w:rsid w:val="3E354936"/>
    <w:rsid w:val="4513D2F2"/>
    <w:rsid w:val="4ACFD0BC"/>
    <w:rsid w:val="4D930D68"/>
    <w:rsid w:val="4DA0FF0E"/>
    <w:rsid w:val="4E21AA39"/>
    <w:rsid w:val="502F1C41"/>
    <w:rsid w:val="5F1AD8F5"/>
    <w:rsid w:val="62F8D40F"/>
    <w:rsid w:val="73AFEEA9"/>
    <w:rsid w:val="7A774051"/>
    <w:rsid w:val="7A8CD364"/>
    <w:rsid w:val="7E6C7B5C"/>
    <w:rsid w:val="7F2B51E4"/>
    <w:rsid w:val="7F9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D7A9AE9"/>
  <w15:docId w15:val="{E79BA05A-E055-4BF6-970B-9D243784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0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95D3B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587E56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F149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149A1"/>
  </w:style>
  <w:style w:styleId="Pieddepage" w:type="paragraph">
    <w:name w:val="footer"/>
    <w:basedOn w:val="Normal"/>
    <w:link w:val="PieddepageCar"/>
    <w:uiPriority w:val="99"/>
    <w:unhideWhenUsed/>
    <w:rsid w:val="00F149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149A1"/>
  </w:style>
  <w:style w:styleId="Textedebulles" w:type="paragraph">
    <w:name w:val="Balloon Text"/>
    <w:basedOn w:val="Normal"/>
    <w:link w:val="TextedebullesCar"/>
    <w:uiPriority w:val="99"/>
    <w:semiHidden/>
    <w:unhideWhenUsed/>
    <w:rsid w:val="006F6E4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F6E4E"/>
    <w:rPr>
      <w:rFonts w:ascii="Segoe UI" w:cs="Segoe UI" w:hAnsi="Segoe UI"/>
      <w:sz w:val="18"/>
      <w:szCs w:val="18"/>
    </w:rPr>
  </w:style>
  <w:style w:styleId="lev" w:type="character">
    <w:name w:val="Strong"/>
    <w:qFormat/>
    <w:rsid w:val="00FE0F7B"/>
    <w:rPr>
      <w:b/>
      <w:bCs/>
    </w:rPr>
  </w:style>
  <w:style w:customStyle="1" w:styleId="Body1" w:type="paragraph">
    <w:name w:val="Body 1"/>
    <w:rsid w:val="00494671"/>
    <w:pPr>
      <w:jc w:val="both"/>
      <w:outlineLvl w:val="0"/>
    </w:pPr>
    <w:rPr>
      <w:rFonts w:ascii="Helvetica" w:cs="Times New Roman" w:eastAsia="Arial Unicode MS" w:hAnsi="Helvetica"/>
      <w:color w:val="000000"/>
      <w:sz w:val="20"/>
      <w:szCs w:val="20"/>
      <w:u w:color="000000"/>
      <w:lang w:eastAsia="fr-FR"/>
    </w:rPr>
  </w:style>
  <w:style w:styleId="Rvision" w:type="paragraph">
    <w:name w:val="Revision"/>
    <w:hidden/>
    <w:uiPriority w:val="99"/>
    <w:semiHidden/>
    <w:rsid w:val="0020442F"/>
    <w:pPr>
      <w:spacing w:after="0" w:line="240" w:lineRule="auto"/>
    </w:pPr>
  </w:style>
  <w:style w:styleId="Marquedecommentaire" w:type="character">
    <w:name w:val="annotation reference"/>
    <w:basedOn w:val="Policepardfaut"/>
    <w:uiPriority w:val="99"/>
    <w:semiHidden/>
    <w:unhideWhenUsed/>
    <w:rsid w:val="00191BA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191BA0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191BA0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91BA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91B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F6245BDF5C44D81363AABF91F46C5" ma:contentTypeVersion="4" ma:contentTypeDescription="Crée un document." ma:contentTypeScope="" ma:versionID="d940e8a734fa1d92c711ae1af3520bec">
  <xsd:schema xmlns:xsd="http://www.w3.org/2001/XMLSchema" xmlns:xs="http://www.w3.org/2001/XMLSchema" xmlns:p="http://schemas.microsoft.com/office/2006/metadata/properties" xmlns:ns2="85d9b228-2421-43a4-8204-4fa92999ad97" targetNamespace="http://schemas.microsoft.com/office/2006/metadata/properties" ma:root="true" ma:fieldsID="6bd1a737f46de69ca5c9a8909bc13e06" ns2:_="">
    <xsd:import namespace="85d9b228-2421-43a4-8204-4fa92999a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9b228-2421-43a4-8204-4fa92999a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03D5-34ED-4DCB-98F2-D8C19CD2947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85d9b228-2421-43a4-8204-4fa92999ad97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89F3AD-4BCE-4CB0-B6F7-3559367DD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9b228-2421-43a4-8204-4fa92999a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2E429-8550-4A6E-BBD0-9CB859FF03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9976D-E3C4-439F-9094-0D4191B9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1114</Words>
  <Characters>6129</Characters>
  <Application>Microsoft Office Word</Application>
  <DocSecurity>4</DocSecurity>
  <Lines>51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Berger-Levrault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2022-10-12T14:10:00Z</dcterms:created>
  <cp:lastPrinted>2020-09-07T08:41:00Z</cp:lastPrinted>
  <dcterms:modified xsi:type="dcterms:W3CDTF">2022-10-12T14:10:00Z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0x010100E05F6245BDF5C44D81363AABF91F46C5</vt:lpwstr>
  </property>
</Properties>
</file>