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spacing w:lineRule="auto" w:line="312"/>
        <w:ind w:left="-480" w:right="-302" w:hanging="0"/>
        <w:jc w:val="center"/>
        <w:rPr>
          <w:rFonts w:ascii="Verdana" w:hAnsi="Verdana" w:eastAsia="Arial Unicode MS" w:cs="Verdana"/>
          <w:b/>
          <w:b/>
          <w:sz w:val="48"/>
          <w:szCs w:val="48"/>
        </w:rPr>
      </w:pPr>
      <w:r>
        <w:rPr>
          <w:rFonts w:cs="Verdana" w:ascii="Verdana" w:hAnsi="Verdana"/>
          <w:b/>
          <w:bCs/>
          <w:sz w:val="48"/>
          <w:szCs w:val="48"/>
        </w:rPr>
        <w:t>PROCES VERBAL D’ACCORD</w:t>
      </w:r>
    </w:p>
    <w:p>
      <w:pPr>
        <w:pStyle w:val="Normal"/>
        <w:pBdr>
          <w:bottom w:val="single" w:sz="12" w:space="1" w:color="000000"/>
        </w:pBdr>
        <w:spacing w:lineRule="auto" w:line="312"/>
        <w:ind w:left="-480" w:right="-302" w:hanging="0"/>
        <w:jc w:val="center"/>
        <w:rPr>
          <w:rFonts w:ascii="Verdana" w:hAnsi="Verdana" w:eastAsia="Arial Unicode MS" w:cs="Verdana"/>
          <w:b/>
          <w:b/>
          <w:sz w:val="48"/>
          <w:szCs w:val="48"/>
        </w:rPr>
      </w:pPr>
      <w:r>
        <w:rPr>
          <w:rFonts w:eastAsia="Arial Unicode MS" w:cs="Verdana" w:ascii="Verdana" w:hAnsi="Verdana"/>
          <w:b/>
          <w:sz w:val="48"/>
          <w:szCs w:val="48"/>
        </w:rPr>
        <w:t>NEGOCIATIONS ANNUELLES 2022</w:t>
      </w:r>
    </w:p>
    <w:p>
      <w:pPr>
        <w:pStyle w:val="Normal"/>
        <w:spacing w:lineRule="auto" w:line="312"/>
        <w:ind w:left="-480" w:right="-302" w:hanging="0"/>
        <w:jc w:val="center"/>
        <w:rPr>
          <w:rFonts w:ascii="Verdana" w:hAnsi="Verdana" w:cs="Verdana"/>
          <w:sz w:val="20"/>
          <w:szCs w:val="20"/>
        </w:rPr>
      </w:pPr>
      <w:r>
        <w:rPr>
          <w:rFonts w:eastAsia="Arial Unicode MS" w:cs="Verdana" w:ascii="Verdana" w:hAnsi="Verdana"/>
          <w:b/>
          <w:sz w:val="20"/>
          <w:szCs w:val="20"/>
        </w:rPr>
        <w:br/>
      </w:r>
    </w:p>
    <w:p>
      <w:pPr>
        <w:pStyle w:val="Normal"/>
        <w:spacing w:lineRule="auto" w:line="312"/>
        <w:jc w:val="both"/>
        <w:rPr>
          <w:rFonts w:ascii="Verdana" w:hAnsi="Verdana" w:cs="Verdana"/>
          <w:sz w:val="20"/>
          <w:szCs w:val="20"/>
        </w:rPr>
      </w:pPr>
      <w:r>
        <w:rPr>
          <w:rFonts w:cs="Verdana" w:ascii="Verdana" w:hAnsi="Verdana"/>
          <w:sz w:val="20"/>
          <w:szCs w:val="20"/>
        </w:rPr>
        <w:t>Entre les soussignés :</w:t>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bCs/>
          <w:sz w:val="20"/>
          <w:szCs w:val="20"/>
        </w:rPr>
      </w:pPr>
      <w:r>
        <w:rPr>
          <w:rFonts w:cs="Verdana" w:ascii="Verdana" w:hAnsi="Verdana"/>
          <w:sz w:val="20"/>
          <w:szCs w:val="20"/>
        </w:rPr>
        <w:t xml:space="preserve">La société </w:t>
      </w:r>
      <w:r>
        <w:rPr>
          <w:rFonts w:cs="Verdana" w:ascii="Verdana" w:hAnsi="Verdana"/>
          <w:b/>
          <w:sz w:val="20"/>
          <w:szCs w:val="20"/>
        </w:rPr>
        <w:t>TRANSDEV BASSIN ANNECIEN</w:t>
      </w:r>
      <w:r>
        <w:rPr>
          <w:rFonts w:cs="Verdana" w:ascii="Verdana" w:hAnsi="Verdana"/>
          <w:bCs/>
          <w:sz w:val="20"/>
          <w:szCs w:val="20"/>
        </w:rPr>
        <w:t>, dont le siège social est sis : 10 Rue de la Césière, 74600 Annecy, représentée par</w:t>
      </w:r>
    </w:p>
    <w:p>
      <w:pPr>
        <w:pStyle w:val="Normal"/>
        <w:spacing w:lineRule="auto" w:line="312"/>
        <w:jc w:val="both"/>
        <w:rPr>
          <w:rFonts w:ascii="Verdana" w:hAnsi="Verdana" w:cs="Verdana"/>
          <w:bCs/>
          <w:sz w:val="8"/>
          <w:szCs w:val="8"/>
        </w:rPr>
      </w:pPr>
      <w:r>
        <w:rPr>
          <w:rFonts w:cs="Verdana" w:ascii="Verdana" w:hAnsi="Verdana"/>
          <w:bCs/>
          <w:sz w:val="8"/>
          <w:szCs w:val="8"/>
        </w:rPr>
      </w:r>
    </w:p>
    <w:p>
      <w:pPr>
        <w:pStyle w:val="Normal"/>
        <w:spacing w:lineRule="auto" w:line="312"/>
        <w:jc w:val="both"/>
        <w:rPr>
          <w:rFonts w:ascii="Verdana" w:hAnsi="Verdana" w:cs="Verdana"/>
          <w:sz w:val="20"/>
          <w:szCs w:val="20"/>
        </w:rPr>
      </w:pPr>
      <w:r>
        <w:rPr>
          <w:rFonts w:cs="Verdana" w:ascii="Verdana" w:hAnsi="Verdana"/>
          <w:sz w:val="20"/>
          <w:szCs w:val="20"/>
        </w:rPr>
        <w:t>D’une part,</w:t>
      </w:r>
    </w:p>
    <w:p>
      <w:pPr>
        <w:pStyle w:val="Normal"/>
        <w:spacing w:lineRule="auto" w:line="312"/>
        <w:jc w:val="both"/>
        <w:rPr>
          <w:rFonts w:ascii="Verdana" w:hAnsi="Verdana" w:cs="Verdana"/>
          <w:bCs/>
          <w:sz w:val="20"/>
          <w:szCs w:val="20"/>
        </w:rPr>
      </w:pPr>
      <w:r>
        <w:rPr>
          <w:rFonts w:cs="Verdana" w:ascii="Verdana" w:hAnsi="Verdana"/>
          <w:bCs/>
          <w:sz w:val="20"/>
          <w:szCs w:val="20"/>
        </w:rPr>
        <w:t>Et :</w:t>
      </w:r>
    </w:p>
    <w:p>
      <w:pPr>
        <w:pStyle w:val="Normal"/>
        <w:spacing w:lineRule="auto" w:line="312"/>
        <w:jc w:val="both"/>
        <w:rPr>
          <w:rFonts w:ascii="Verdana" w:hAnsi="Verdana" w:cs="Verdana"/>
          <w:bCs/>
          <w:sz w:val="10"/>
          <w:szCs w:val="10"/>
        </w:rPr>
      </w:pPr>
      <w:r>
        <w:rPr>
          <w:rFonts w:cs="Verdana" w:ascii="Verdana" w:hAnsi="Verdana"/>
          <w:bCs/>
          <w:sz w:val="10"/>
          <w:szCs w:val="10"/>
        </w:rPr>
      </w:r>
    </w:p>
    <w:p>
      <w:pPr>
        <w:pStyle w:val="Normal"/>
        <w:spacing w:lineRule="auto" w:line="312"/>
        <w:jc w:val="both"/>
        <w:rPr>
          <w:rFonts w:ascii="Verdana" w:hAnsi="Verdana" w:cs="Verdana"/>
          <w:sz w:val="20"/>
          <w:szCs w:val="20"/>
        </w:rPr>
      </w:pPr>
      <w:r>
        <w:rPr>
          <w:rFonts w:cs="Verdana" w:ascii="Verdana" w:hAnsi="Verdana"/>
          <w:sz w:val="20"/>
          <w:szCs w:val="20"/>
        </w:rPr>
        <w:t xml:space="preserve">Le délégué syndical </w:t>
      </w:r>
      <w:r>
        <w:rPr>
          <w:rFonts w:cs="Verdana" w:ascii="Verdana" w:hAnsi="Verdana"/>
          <w:b/>
          <w:sz w:val="20"/>
          <w:szCs w:val="20"/>
        </w:rPr>
        <w:t>FO</w:t>
      </w:r>
      <w:r>
        <w:rPr>
          <w:rFonts w:cs="Verdana" w:ascii="Verdana" w:hAnsi="Verdana"/>
          <w:sz w:val="20"/>
          <w:szCs w:val="20"/>
        </w:rPr>
        <w:t>, D’autre part.</w:t>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pBdr>
          <w:top w:val="single" w:sz="8" w:space="1" w:color="000000"/>
          <w:left w:val="single" w:sz="8" w:space="4" w:color="000000"/>
          <w:bottom w:val="single" w:sz="8" w:space="1" w:color="000000"/>
          <w:right w:val="single" w:sz="8" w:space="4" w:color="000000"/>
        </w:pBdr>
        <w:spacing w:lineRule="auto" w:line="312"/>
        <w:jc w:val="center"/>
        <w:rPr>
          <w:rFonts w:ascii="Verdana" w:hAnsi="Verdana" w:cs="Verdana"/>
          <w:b/>
          <w:b/>
          <w:sz w:val="20"/>
          <w:szCs w:val="20"/>
        </w:rPr>
      </w:pPr>
      <w:r>
        <w:rPr>
          <w:rFonts w:cs="Verdana" w:ascii="Verdana" w:hAnsi="Verdana"/>
          <w:b/>
          <w:sz w:val="20"/>
          <w:szCs w:val="20"/>
        </w:rPr>
        <w:t>PREAMBULE</w:t>
      </w:r>
    </w:p>
    <w:p>
      <w:pPr>
        <w:pStyle w:val="Normal"/>
        <w:spacing w:lineRule="auto" w:line="312"/>
        <w:jc w:val="both"/>
        <w:rPr>
          <w:rFonts w:ascii="Verdana" w:hAnsi="Verdana" w:cs="Verdana"/>
          <w:b/>
          <w:b/>
          <w:sz w:val="20"/>
          <w:szCs w:val="20"/>
        </w:rPr>
      </w:pPr>
      <w:r>
        <w:rPr>
          <w:rFonts w:cs="Verdana" w:ascii="Verdana" w:hAnsi="Verdana"/>
          <w:b/>
          <w:sz w:val="20"/>
          <w:szCs w:val="20"/>
        </w:rPr>
      </w:r>
    </w:p>
    <w:p>
      <w:pPr>
        <w:pStyle w:val="Normal"/>
        <w:spacing w:lineRule="auto" w:line="312"/>
        <w:jc w:val="both"/>
        <w:rPr>
          <w:rFonts w:ascii="Verdana" w:hAnsi="Verdana" w:cs="Verdana"/>
          <w:sz w:val="20"/>
          <w:szCs w:val="20"/>
        </w:rPr>
      </w:pPr>
      <w:r>
        <w:rPr>
          <w:rFonts w:cs="Verdana" w:ascii="Verdana" w:hAnsi="Verdana"/>
          <w:sz w:val="20"/>
          <w:szCs w:val="20"/>
        </w:rPr>
        <w:t>Au titre de la négociation annuelle pour 2022, des discussions ont été menées les 11 et 27 janvier, 9 et 22 février. Monsieur Duriez était accompagné de Monsieur Gaudet. Monsieur Rudyk était accompagné de Madame Personnettaz, Responsable RH.</w:t>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jc w:val="both"/>
        <w:rPr>
          <w:rFonts w:ascii="Calibri" w:hAnsi="Calibri" w:cs="Calibri"/>
          <w:b/>
          <w:b/>
          <w:bCs/>
          <w:sz w:val="26"/>
          <w:szCs w:val="26"/>
        </w:rPr>
      </w:pPr>
      <w:r>
        <w:rPr>
          <w:rFonts w:cs="Verdana" w:ascii="Verdana" w:hAnsi="Verdana"/>
          <w:sz w:val="20"/>
          <w:szCs w:val="20"/>
        </w:rPr>
        <w:t xml:space="preserve">La Direction rappelle la situation financière de l’entreprise Transdev Bassin Annécien avec un résultat négatif après impôt pour l’année 2021 de </w:t>
      </w:r>
      <w:r>
        <w:rPr>
          <w:rFonts w:cs="Calibri" w:ascii="Calibri" w:hAnsi="Calibri"/>
          <w:b/>
          <w:bCs/>
          <w:sz w:val="26"/>
          <w:szCs w:val="26"/>
        </w:rPr>
        <w:t xml:space="preserve">-2 660 000 € engendré par un impact fort des conséquences de l’épidémie COVID </w:t>
      </w:r>
      <w:r>
        <w:rPr>
          <w:rFonts w:cs="Calibri" w:ascii="Calibri" w:hAnsi="Calibri"/>
          <w:sz w:val="26"/>
          <w:szCs w:val="26"/>
        </w:rPr>
        <w:t>et la chute de l’activité occasionnelle.</w:t>
      </w:r>
      <w:r>
        <w:rPr>
          <w:rFonts w:cs="Calibri" w:ascii="Calibri" w:hAnsi="Calibri"/>
          <w:b/>
          <w:bCs/>
          <w:sz w:val="26"/>
          <w:szCs w:val="26"/>
        </w:rPr>
        <w:t xml:space="preserve"> </w:t>
      </w:r>
    </w:p>
    <w:p>
      <w:pPr>
        <w:pStyle w:val="Normal"/>
        <w:jc w:val="both"/>
        <w:rPr>
          <w:rFonts w:ascii="Verdana" w:hAnsi="Verdana" w:cs="Verdana"/>
          <w:b/>
          <w:b/>
          <w:bCs/>
          <w:color w:val="FF0000"/>
          <w:sz w:val="20"/>
          <w:szCs w:val="20"/>
        </w:rPr>
      </w:pPr>
      <w:r>
        <w:rPr>
          <w:rFonts w:cs="Verdana" w:ascii="Verdana" w:hAnsi="Verdana"/>
          <w:b/>
          <w:bCs/>
          <w:color w:val="FF0000"/>
          <w:sz w:val="20"/>
          <w:szCs w:val="20"/>
        </w:rPr>
      </w:r>
    </w:p>
    <w:p>
      <w:pPr>
        <w:pStyle w:val="Normal"/>
        <w:spacing w:lineRule="auto" w:line="312"/>
        <w:jc w:val="both"/>
        <w:rPr/>
      </w:pPr>
      <w:r>
        <w:rPr>
          <w:rFonts w:cs="Verdana" w:ascii="Verdana" w:hAnsi="Verdana"/>
          <w:sz w:val="20"/>
          <w:szCs w:val="20"/>
        </w:rPr>
        <w:t>En tenant compte de ce contexte, les intérêts et préoccupations exprimés par les Parties ont conduit à évoquer différentes hypothèses de travail, pour finalement porter l’effort sur la rémunération de l’ensemble du personnel.</w:t>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pBdr>
          <w:top w:val="single" w:sz="8" w:space="1" w:color="000000"/>
          <w:left w:val="single" w:sz="8" w:space="4" w:color="000000"/>
          <w:bottom w:val="single" w:sz="8" w:space="1" w:color="000000"/>
          <w:right w:val="single" w:sz="8" w:space="4" w:color="000000"/>
        </w:pBdr>
        <w:spacing w:lineRule="auto" w:line="312"/>
        <w:jc w:val="center"/>
        <w:rPr>
          <w:rFonts w:ascii="Verdana" w:hAnsi="Verdana" w:cs="Verdana"/>
          <w:b/>
          <w:b/>
          <w:smallCaps/>
          <w:sz w:val="20"/>
          <w:szCs w:val="20"/>
        </w:rPr>
      </w:pPr>
      <w:r>
        <w:rPr>
          <w:rFonts w:cs="Verdana" w:ascii="Verdana" w:hAnsi="Verdana"/>
          <w:b/>
          <w:smallCaps/>
          <w:sz w:val="20"/>
          <w:szCs w:val="20"/>
        </w:rPr>
        <w:t>I- EGALITE PROFESSIONNELLE ENTRE LES FEMMES ET LES HOMMES</w:t>
      </w:r>
    </w:p>
    <w:p>
      <w:pPr>
        <w:pStyle w:val="Normal"/>
        <w:spacing w:lineRule="auto" w:line="312"/>
        <w:jc w:val="both"/>
        <w:rPr>
          <w:rFonts w:ascii="Verdana" w:hAnsi="Verdana" w:cs="Verdana"/>
          <w:b/>
          <w:b/>
          <w:smallCaps/>
          <w:sz w:val="20"/>
          <w:szCs w:val="20"/>
        </w:rPr>
      </w:pPr>
      <w:r>
        <w:rPr>
          <w:rFonts w:cs="Verdana" w:ascii="Verdana" w:hAnsi="Verdana"/>
          <w:b/>
          <w:smallCaps/>
          <w:sz w:val="20"/>
          <w:szCs w:val="20"/>
        </w:rPr>
      </w:r>
    </w:p>
    <w:p>
      <w:pPr>
        <w:pStyle w:val="Normal"/>
        <w:spacing w:lineRule="auto" w:line="312"/>
        <w:jc w:val="both"/>
        <w:rPr/>
      </w:pPr>
      <w:r>
        <w:rPr>
          <w:rFonts w:cs="Verdana" w:ascii="Verdana" w:hAnsi="Verdana"/>
          <w:sz w:val="20"/>
          <w:szCs w:val="20"/>
        </w:rPr>
        <w:t xml:space="preserve">Des tableaux extraits du rapport économique et social de l’exercice 2021 ont été présenté afin d’apprécier la situation comparée des Femmes et des Hommes, plus particulièrement au regard du recrutement, de l’emploi, de la formation et de la rémunération. </w:t>
      </w:r>
    </w:p>
    <w:p>
      <w:pPr>
        <w:pStyle w:val="Normal"/>
        <w:spacing w:lineRule="auto" w:line="312"/>
        <w:jc w:val="both"/>
        <w:rPr>
          <w:rFonts w:ascii="Verdana" w:hAnsi="Verdana" w:cs="Verdana"/>
          <w:sz w:val="20"/>
          <w:szCs w:val="20"/>
        </w:rPr>
      </w:pPr>
      <w:r>
        <w:rPr>
          <w:rFonts w:cs="Verdana" w:ascii="Verdana" w:hAnsi="Verdana"/>
          <w:sz w:val="20"/>
          <w:szCs w:val="20"/>
        </w:rPr>
        <w:t>Suite à cette présentation, les membres de la Délégation syndicale constatent qu’il n’y a pas d’écart de traitement entre les hommes et les femmes autres que ceux justifiés par des critères objectifs, tel que l’ancienneté. Ils s’accordent sur le fait que les pratiques de gestion et de rémunération sont conformes au principe d’égalité hommes-femmes.</w:t>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pBdr>
          <w:top w:val="single" w:sz="8" w:space="1" w:color="000000"/>
          <w:left w:val="single" w:sz="8" w:space="4" w:color="000000"/>
          <w:bottom w:val="single" w:sz="8" w:space="1" w:color="000000"/>
          <w:right w:val="single" w:sz="8" w:space="4" w:color="000000"/>
        </w:pBdr>
        <w:spacing w:lineRule="auto" w:line="312"/>
        <w:jc w:val="center"/>
        <w:rPr>
          <w:rFonts w:ascii="Verdana" w:hAnsi="Verdana" w:cs="Verdana"/>
          <w:b/>
          <w:b/>
          <w:sz w:val="20"/>
          <w:szCs w:val="20"/>
        </w:rPr>
      </w:pPr>
      <w:r>
        <w:rPr>
          <w:rFonts w:cs="Verdana" w:ascii="Verdana" w:hAnsi="Verdana"/>
          <w:b/>
          <w:sz w:val="20"/>
          <w:szCs w:val="20"/>
        </w:rPr>
        <w:t>II – DISPOSITIONS</w:t>
      </w:r>
    </w:p>
    <w:p>
      <w:pPr>
        <w:pStyle w:val="Normal"/>
        <w:spacing w:lineRule="auto" w:line="312"/>
        <w:jc w:val="both"/>
        <w:rPr>
          <w:rFonts w:ascii="Verdana" w:hAnsi="Verdana" w:cs="Verdana"/>
          <w:b/>
          <w:b/>
          <w:sz w:val="20"/>
          <w:szCs w:val="20"/>
        </w:rPr>
      </w:pPr>
      <w:r>
        <w:rPr>
          <w:rFonts w:cs="Verdana" w:ascii="Verdana" w:hAnsi="Verdana"/>
          <w:b/>
          <w:sz w:val="20"/>
          <w:szCs w:val="20"/>
        </w:rPr>
      </w:r>
    </w:p>
    <w:p>
      <w:pPr>
        <w:pStyle w:val="Normal"/>
        <w:spacing w:lineRule="auto" w:line="312"/>
        <w:jc w:val="both"/>
        <w:rPr>
          <w:rFonts w:ascii="Verdana" w:hAnsi="Verdana" w:cs="Verdana"/>
          <w:sz w:val="20"/>
          <w:szCs w:val="20"/>
        </w:rPr>
      </w:pPr>
      <w:r>
        <w:rPr>
          <w:rFonts w:cs="Verdana" w:ascii="Verdana" w:hAnsi="Verdana"/>
          <w:sz w:val="20"/>
          <w:szCs w:val="20"/>
        </w:rPr>
      </w:r>
    </w:p>
    <w:p>
      <w:pPr>
        <w:pStyle w:val="Paragraphedeliste"/>
        <w:numPr>
          <w:ilvl w:val="1"/>
          <w:numId w:val="3"/>
        </w:numPr>
        <w:pBdr>
          <w:bottom w:val="single" w:sz="4" w:space="1" w:color="000000"/>
        </w:pBdr>
        <w:spacing w:lineRule="auto" w:line="276" w:before="0" w:after="200"/>
        <w:contextualSpacing/>
        <w:jc w:val="both"/>
        <w:rPr>
          <w:b/>
          <w:b/>
        </w:rPr>
      </w:pPr>
      <w:r>
        <w:rPr>
          <w:b/>
        </w:rPr>
        <w:t>AUGMENTATION DU SALAIRE DE BASE</w:t>
      </w:r>
    </w:p>
    <w:p>
      <w:pPr>
        <w:pStyle w:val="Paragraphedeliste"/>
        <w:spacing w:lineRule="auto" w:line="312"/>
        <w:jc w:val="both"/>
        <w:rPr>
          <w:b/>
          <w:b/>
        </w:rPr>
      </w:pPr>
      <w:r>
        <w:rPr>
          <w:b/>
        </w:rPr>
      </w:r>
    </w:p>
    <w:p>
      <w:pPr>
        <w:pStyle w:val="Normal"/>
        <w:spacing w:lineRule="auto" w:line="312"/>
        <w:jc w:val="both"/>
        <w:rPr>
          <w:rFonts w:ascii="Verdana" w:hAnsi="Verdana" w:cs="Verdana"/>
          <w:sz w:val="20"/>
          <w:szCs w:val="20"/>
        </w:rPr>
      </w:pPr>
      <w:r>
        <w:rPr>
          <w:rFonts w:cs="Verdana" w:ascii="Verdana" w:hAnsi="Verdana"/>
          <w:sz w:val="20"/>
          <w:szCs w:val="20"/>
        </w:rPr>
        <w:t>Les taux horaires et salaires mensuels de base de l’ensemble des personnels hors Cadres font l’objet d’une revalorisation à compter du 1</w:t>
      </w:r>
      <w:r>
        <w:rPr>
          <w:rFonts w:cs="Verdana" w:ascii="Verdana" w:hAnsi="Verdana"/>
          <w:sz w:val="20"/>
          <w:szCs w:val="20"/>
          <w:vertAlign w:val="superscript"/>
        </w:rPr>
        <w:t>er</w:t>
      </w:r>
      <w:r>
        <w:rPr>
          <w:rFonts w:cs="Verdana" w:ascii="Verdana" w:hAnsi="Verdana"/>
          <w:sz w:val="20"/>
          <w:szCs w:val="20"/>
        </w:rPr>
        <w:t xml:space="preserve"> janvier 2022 :</w:t>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numPr>
          <w:ilvl w:val="0"/>
          <w:numId w:val="2"/>
        </w:numPr>
        <w:spacing w:lineRule="auto" w:line="312"/>
        <w:jc w:val="both"/>
        <w:rPr>
          <w:rFonts w:ascii="Verdana" w:hAnsi="Verdana" w:cs="Verdana"/>
          <w:sz w:val="20"/>
          <w:szCs w:val="20"/>
        </w:rPr>
      </w:pPr>
      <w:r>
        <w:rPr>
          <w:rFonts w:cs="Verdana" w:ascii="Verdana" w:hAnsi="Verdana"/>
          <w:sz w:val="20"/>
          <w:szCs w:val="20"/>
        </w:rPr>
        <w:t>De 3% pour les conducteurs et administratifs</w:t>
      </w:r>
    </w:p>
    <w:p>
      <w:pPr>
        <w:pStyle w:val="Normal"/>
        <w:numPr>
          <w:ilvl w:val="0"/>
          <w:numId w:val="2"/>
        </w:numPr>
        <w:spacing w:lineRule="auto" w:line="312"/>
        <w:jc w:val="both"/>
        <w:rPr>
          <w:rFonts w:ascii="Verdana" w:hAnsi="Verdana" w:cs="Verdana"/>
          <w:sz w:val="20"/>
          <w:szCs w:val="20"/>
        </w:rPr>
      </w:pPr>
      <w:r>
        <w:rPr>
          <w:rFonts w:cs="Verdana" w:ascii="Verdana" w:hAnsi="Verdana"/>
          <w:sz w:val="20"/>
          <w:szCs w:val="20"/>
        </w:rPr>
        <w:t>De 5% pour le personnel d’atelier</w:t>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jc w:val="both"/>
        <w:rPr>
          <w:rFonts w:ascii="Verdana" w:hAnsi="Verdana" w:cs="Verdana"/>
          <w:sz w:val="20"/>
          <w:szCs w:val="20"/>
        </w:rPr>
      </w:pPr>
      <w:r>
        <w:rPr>
          <w:rFonts w:cs="Verdana" w:ascii="Verdana" w:hAnsi="Verdana"/>
          <w:sz w:val="20"/>
          <w:szCs w:val="20"/>
        </w:rPr>
        <w:t xml:space="preserve">Les nouveaux taux horaires conducteurs sont déterminés dans le tableau suivant : </w:t>
      </w:r>
    </w:p>
    <w:p>
      <w:pPr>
        <w:pStyle w:val="Normal"/>
        <w:spacing w:lineRule="auto" w:line="312"/>
        <w:jc w:val="both"/>
        <w:rPr>
          <w:rFonts w:ascii="Verdana" w:hAnsi="Verdana" w:cs="Verdana"/>
          <w:sz w:val="20"/>
          <w:szCs w:val="20"/>
        </w:rPr>
      </w:pPr>
      <w:r>
        <w:rPr>
          <w:rFonts w:cs="Verdana" w:ascii="Verdana" w:hAnsi="Verdana"/>
          <w:sz w:val="20"/>
          <w:szCs w:val="20"/>
        </w:rPr>
      </w:r>
    </w:p>
    <w:tbl>
      <w:tblPr>
        <w:tblW w:w="2268" w:type="dxa"/>
        <w:jc w:val="left"/>
        <w:tblInd w:w="70" w:type="dxa"/>
        <w:tblBorders>
          <w:top w:val="single" w:sz="8" w:space="0" w:color="000000"/>
          <w:left w:val="single" w:sz="8" w:space="0" w:color="000000"/>
        </w:tblBorders>
        <w:tblCellMar>
          <w:top w:w="0" w:type="dxa"/>
          <w:left w:w="60" w:type="dxa"/>
          <w:bottom w:w="0" w:type="dxa"/>
          <w:right w:w="70" w:type="dxa"/>
        </w:tblCellMar>
      </w:tblPr>
      <w:tblGrid>
        <w:gridCol w:w="661"/>
        <w:gridCol w:w="1607"/>
      </w:tblGrid>
      <w:tr>
        <w:trPr>
          <w:trHeight w:val="375" w:hRule="atLeast"/>
        </w:trPr>
        <w:tc>
          <w:tcPr>
            <w:tcW w:w="661" w:type="dxa"/>
            <w:tcBorders>
              <w:top w:val="single" w:sz="8" w:space="0" w:color="000000"/>
              <w:left w:val="single" w:sz="8" w:space="0" w:color="000000"/>
            </w:tcBorders>
            <w:shd w:fill="FFFFFF" w:val="clear"/>
            <w:tcMar>
              <w:left w:w="60" w:type="dxa"/>
            </w:tcMar>
            <w:vAlign w:val="bottom"/>
          </w:tcPr>
          <w:p>
            <w:pPr>
              <w:pStyle w:val="Normal"/>
              <w:rPr>
                <w:rFonts w:ascii="Verdana" w:hAnsi="Verdana" w:cs="Calibri"/>
                <w:color w:val="000000"/>
                <w:sz w:val="20"/>
                <w:szCs w:val="20"/>
              </w:rPr>
            </w:pPr>
            <w:r>
              <w:rPr>
                <w:rFonts w:cs="Calibri" w:ascii="Verdana" w:hAnsi="Verdana"/>
                <w:color w:val="000000"/>
                <w:sz w:val="20"/>
                <w:szCs w:val="20"/>
              </w:rPr>
              <w:t>Coeff</w:t>
            </w:r>
          </w:p>
        </w:tc>
        <w:tc>
          <w:tcPr>
            <w:tcW w:w="1607" w:type="dxa"/>
            <w:tcBorders>
              <w:top w:val="single" w:sz="8" w:space="0" w:color="000000"/>
              <w:left w:val="single" w:sz="8" w:space="0" w:color="000000"/>
              <w:right w:val="single" w:sz="4" w:space="0" w:color="000000"/>
              <w:insideV w:val="single" w:sz="4" w:space="0" w:color="000000"/>
            </w:tcBorders>
            <w:shd w:fill="FFFFFF" w:val="clear"/>
            <w:tcMar>
              <w:left w:w="60" w:type="dxa"/>
            </w:tcMar>
            <w:vAlign w:val="center"/>
          </w:tcPr>
          <w:p>
            <w:pPr>
              <w:pStyle w:val="Normal"/>
              <w:jc w:val="center"/>
              <w:rPr>
                <w:rFonts w:ascii="Verdana" w:hAnsi="Verdana" w:cs="Calibri"/>
                <w:color w:val="000000"/>
                <w:sz w:val="20"/>
                <w:szCs w:val="20"/>
              </w:rPr>
            </w:pPr>
            <w:r>
              <w:rPr>
                <w:rFonts w:cs="Calibri" w:ascii="Verdana" w:hAnsi="Verdana"/>
                <w:color w:val="000000"/>
                <w:sz w:val="20"/>
                <w:szCs w:val="20"/>
              </w:rPr>
              <w:t>Tx horaire</w:t>
            </w:r>
          </w:p>
        </w:tc>
      </w:tr>
      <w:tr>
        <w:trPr>
          <w:trHeight w:val="402" w:hRule="atLeast"/>
        </w:trPr>
        <w:tc>
          <w:tcPr>
            <w:tcW w:w="661" w:type="dxa"/>
            <w:tcBorders>
              <w:top w:val="single" w:sz="8" w:space="0" w:color="000000"/>
              <w:left w:val="single" w:sz="8" w:space="0" w:color="000000"/>
              <w:bottom w:val="single" w:sz="4" w:space="0" w:color="000000"/>
              <w:insideH w:val="single" w:sz="4" w:space="0" w:color="000000"/>
            </w:tcBorders>
            <w:shd w:fill="FFFFFF" w:val="clear"/>
            <w:tcMar>
              <w:left w:w="60" w:type="dxa"/>
            </w:tcMar>
            <w:vAlign w:val="bottom"/>
          </w:tcPr>
          <w:p>
            <w:pPr>
              <w:pStyle w:val="Normal"/>
              <w:rPr>
                <w:rFonts w:ascii="Verdana" w:hAnsi="Verdana" w:cs="Calibri"/>
                <w:color w:val="000000"/>
                <w:sz w:val="20"/>
                <w:szCs w:val="20"/>
              </w:rPr>
            </w:pPr>
            <w:r>
              <w:rPr>
                <w:rFonts w:cs="Calibri" w:ascii="Verdana" w:hAnsi="Verdana"/>
                <w:color w:val="000000"/>
                <w:sz w:val="20"/>
                <w:szCs w:val="20"/>
              </w:rPr>
              <w:t>140V</w:t>
            </w:r>
          </w:p>
        </w:tc>
        <w:tc>
          <w:tcPr>
            <w:tcW w:w="1607" w:type="dxa"/>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FFFFFF" w:val="clear"/>
            <w:tcMar>
              <w:left w:w="60" w:type="dxa"/>
            </w:tcMar>
            <w:vAlign w:val="bottom"/>
          </w:tcPr>
          <w:p>
            <w:pPr>
              <w:pStyle w:val="Normal"/>
              <w:rPr>
                <w:rFonts w:ascii="Verdana" w:hAnsi="Verdana"/>
                <w:b/>
                <w:b/>
                <w:bCs/>
                <w:color w:val="000000"/>
                <w:sz w:val="20"/>
                <w:szCs w:val="20"/>
              </w:rPr>
            </w:pPr>
            <w:r>
              <w:rPr>
                <w:rFonts w:eastAsia="Verdana" w:cs="Verdana" w:ascii="Verdana" w:hAnsi="Verdana"/>
                <w:b/>
                <w:bCs/>
                <w:color w:val="000000"/>
                <w:sz w:val="20"/>
                <w:szCs w:val="20"/>
              </w:rPr>
              <w:t xml:space="preserve">     </w:t>
            </w:r>
            <w:r>
              <w:rPr>
                <w:rFonts w:cs="Calibri" w:ascii="Verdana" w:hAnsi="Verdana"/>
                <w:b/>
                <w:bCs/>
                <w:color w:val="000000"/>
                <w:sz w:val="20"/>
                <w:szCs w:val="20"/>
              </w:rPr>
              <w:t xml:space="preserve">11,562 € </w:t>
            </w:r>
          </w:p>
        </w:tc>
      </w:tr>
      <w:tr>
        <w:trPr>
          <w:trHeight w:val="402" w:hRule="atLeast"/>
        </w:trPr>
        <w:tc>
          <w:tcPr>
            <w:tcW w:w="661" w:type="dxa"/>
            <w:tcBorders>
              <w:left w:val="single" w:sz="8" w:space="0" w:color="000000"/>
              <w:bottom w:val="single" w:sz="4" w:space="0" w:color="000000"/>
              <w:insideH w:val="single" w:sz="4" w:space="0" w:color="000000"/>
            </w:tcBorders>
            <w:shd w:fill="FFFFFF" w:val="clear"/>
            <w:tcMar>
              <w:left w:w="60" w:type="dxa"/>
            </w:tcMar>
            <w:vAlign w:val="bottom"/>
          </w:tcPr>
          <w:p>
            <w:pPr>
              <w:pStyle w:val="Normal"/>
              <w:rPr>
                <w:rFonts w:ascii="Verdana" w:hAnsi="Verdana" w:cs="Calibri"/>
                <w:color w:val="000000"/>
                <w:sz w:val="20"/>
                <w:szCs w:val="20"/>
              </w:rPr>
            </w:pPr>
            <w:r>
              <w:rPr>
                <w:rFonts w:cs="Calibri" w:ascii="Verdana" w:hAnsi="Verdana"/>
                <w:color w:val="000000"/>
                <w:sz w:val="20"/>
                <w:szCs w:val="20"/>
              </w:rPr>
              <w:t>142V</w:t>
            </w:r>
          </w:p>
        </w:tc>
        <w:tc>
          <w:tcPr>
            <w:tcW w:w="1607" w:type="dxa"/>
            <w:tcBorders>
              <w:left w:val="single" w:sz="8" w:space="0" w:color="000000"/>
              <w:bottom w:val="single" w:sz="4" w:space="0" w:color="000000"/>
              <w:right w:val="single" w:sz="4" w:space="0" w:color="000000"/>
              <w:insideH w:val="single" w:sz="4" w:space="0" w:color="000000"/>
              <w:insideV w:val="single" w:sz="4" w:space="0" w:color="000000"/>
            </w:tcBorders>
            <w:shd w:fill="FFFFFF" w:val="clear"/>
            <w:tcMar>
              <w:left w:w="60" w:type="dxa"/>
            </w:tcMar>
            <w:vAlign w:val="bottom"/>
          </w:tcPr>
          <w:p>
            <w:pPr>
              <w:pStyle w:val="Normal"/>
              <w:rPr>
                <w:rFonts w:ascii="Verdana" w:hAnsi="Verdana"/>
                <w:b/>
                <w:b/>
                <w:bCs/>
                <w:color w:val="000000"/>
                <w:sz w:val="20"/>
                <w:szCs w:val="20"/>
              </w:rPr>
            </w:pPr>
            <w:r>
              <w:rPr>
                <w:rFonts w:eastAsia="Verdana" w:cs="Verdana" w:ascii="Verdana" w:hAnsi="Verdana"/>
                <w:b/>
                <w:bCs/>
                <w:color w:val="000000"/>
                <w:sz w:val="20"/>
                <w:szCs w:val="20"/>
              </w:rPr>
              <w:t xml:space="preserve">     </w:t>
            </w:r>
            <w:r>
              <w:rPr>
                <w:rFonts w:cs="Calibri" w:ascii="Verdana" w:hAnsi="Verdana"/>
                <w:b/>
                <w:bCs/>
                <w:color w:val="000000"/>
                <w:sz w:val="20"/>
                <w:szCs w:val="20"/>
              </w:rPr>
              <w:t xml:space="preserve">11,675 € </w:t>
            </w:r>
          </w:p>
        </w:tc>
      </w:tr>
      <w:tr>
        <w:trPr>
          <w:trHeight w:val="375" w:hRule="atLeast"/>
        </w:trPr>
        <w:tc>
          <w:tcPr>
            <w:tcW w:w="661" w:type="dxa"/>
            <w:tcBorders>
              <w:left w:val="single" w:sz="8" w:space="0" w:color="000000"/>
              <w:bottom w:val="single" w:sz="4" w:space="0" w:color="000000"/>
              <w:insideH w:val="single" w:sz="4" w:space="0" w:color="000000"/>
            </w:tcBorders>
            <w:shd w:fill="FFFFFF" w:val="clear"/>
            <w:tcMar>
              <w:left w:w="60" w:type="dxa"/>
            </w:tcMar>
            <w:vAlign w:val="bottom"/>
          </w:tcPr>
          <w:p>
            <w:pPr>
              <w:pStyle w:val="Normal"/>
              <w:rPr>
                <w:rFonts w:ascii="Verdana" w:hAnsi="Verdana" w:cs="Calibri"/>
                <w:color w:val="000000"/>
                <w:sz w:val="20"/>
                <w:szCs w:val="20"/>
              </w:rPr>
            </w:pPr>
            <w:r>
              <w:rPr>
                <w:rFonts w:cs="Calibri" w:ascii="Verdana" w:hAnsi="Verdana"/>
                <w:color w:val="000000"/>
                <w:sz w:val="20"/>
                <w:szCs w:val="20"/>
              </w:rPr>
              <w:t>145V</w:t>
            </w:r>
          </w:p>
        </w:tc>
        <w:tc>
          <w:tcPr>
            <w:tcW w:w="1607" w:type="dxa"/>
            <w:tcBorders>
              <w:left w:val="single" w:sz="8" w:space="0" w:color="000000"/>
              <w:bottom w:val="single" w:sz="4" w:space="0" w:color="000000"/>
              <w:right w:val="single" w:sz="4" w:space="0" w:color="000000"/>
              <w:insideH w:val="single" w:sz="4" w:space="0" w:color="000000"/>
              <w:insideV w:val="single" w:sz="4" w:space="0" w:color="000000"/>
            </w:tcBorders>
            <w:shd w:fill="FFFFFF" w:val="clear"/>
            <w:tcMar>
              <w:left w:w="60" w:type="dxa"/>
            </w:tcMar>
            <w:vAlign w:val="bottom"/>
          </w:tcPr>
          <w:p>
            <w:pPr>
              <w:pStyle w:val="Normal"/>
              <w:rPr>
                <w:rFonts w:ascii="Verdana" w:hAnsi="Verdana"/>
                <w:b/>
                <w:b/>
                <w:bCs/>
                <w:color w:val="000000"/>
                <w:sz w:val="20"/>
                <w:szCs w:val="20"/>
              </w:rPr>
            </w:pPr>
            <w:r>
              <w:rPr>
                <w:rFonts w:eastAsia="Verdana" w:cs="Verdana" w:ascii="Verdana" w:hAnsi="Verdana"/>
                <w:b/>
                <w:bCs/>
                <w:color w:val="000000"/>
                <w:sz w:val="20"/>
                <w:szCs w:val="20"/>
              </w:rPr>
              <w:t xml:space="preserve">     </w:t>
            </w:r>
            <w:r>
              <w:rPr>
                <w:rFonts w:cs="Calibri" w:ascii="Verdana" w:hAnsi="Verdana"/>
                <w:b/>
                <w:bCs/>
                <w:color w:val="000000"/>
                <w:sz w:val="20"/>
                <w:szCs w:val="20"/>
              </w:rPr>
              <w:t xml:space="preserve">11,794 € </w:t>
            </w:r>
          </w:p>
        </w:tc>
      </w:tr>
      <w:tr>
        <w:trPr>
          <w:trHeight w:val="402" w:hRule="atLeast"/>
        </w:trPr>
        <w:tc>
          <w:tcPr>
            <w:tcW w:w="661" w:type="dxa"/>
            <w:tcBorders>
              <w:left w:val="single" w:sz="8" w:space="0" w:color="000000"/>
              <w:bottom w:val="single" w:sz="4" w:space="0" w:color="000000"/>
              <w:insideH w:val="single" w:sz="4" w:space="0" w:color="000000"/>
            </w:tcBorders>
            <w:shd w:fill="FFFFFF" w:val="clear"/>
            <w:tcMar>
              <w:left w:w="60" w:type="dxa"/>
            </w:tcMar>
            <w:vAlign w:val="bottom"/>
          </w:tcPr>
          <w:p>
            <w:pPr>
              <w:pStyle w:val="Normal"/>
              <w:rPr>
                <w:rFonts w:ascii="Verdana" w:hAnsi="Verdana" w:cs="Calibri"/>
                <w:color w:val="000000"/>
                <w:sz w:val="20"/>
                <w:szCs w:val="20"/>
              </w:rPr>
            </w:pPr>
            <w:r>
              <w:rPr>
                <w:rFonts w:cs="Calibri" w:ascii="Verdana" w:hAnsi="Verdana"/>
                <w:color w:val="000000"/>
                <w:sz w:val="20"/>
                <w:szCs w:val="20"/>
              </w:rPr>
              <w:t>150V</w:t>
            </w:r>
          </w:p>
        </w:tc>
        <w:tc>
          <w:tcPr>
            <w:tcW w:w="1607" w:type="dxa"/>
            <w:tcBorders>
              <w:left w:val="single" w:sz="8" w:space="0" w:color="000000"/>
              <w:bottom w:val="single" w:sz="4" w:space="0" w:color="000000"/>
              <w:right w:val="single" w:sz="4" w:space="0" w:color="000000"/>
              <w:insideH w:val="single" w:sz="4" w:space="0" w:color="000000"/>
              <w:insideV w:val="single" w:sz="4" w:space="0" w:color="000000"/>
            </w:tcBorders>
            <w:shd w:fill="FFFFFF" w:val="clear"/>
            <w:tcMar>
              <w:left w:w="60" w:type="dxa"/>
            </w:tcMar>
            <w:vAlign w:val="bottom"/>
          </w:tcPr>
          <w:p>
            <w:pPr>
              <w:pStyle w:val="Normal"/>
              <w:rPr>
                <w:rFonts w:ascii="Verdana" w:hAnsi="Verdana"/>
                <w:b/>
                <w:b/>
                <w:bCs/>
                <w:color w:val="000000"/>
                <w:sz w:val="20"/>
                <w:szCs w:val="20"/>
              </w:rPr>
            </w:pPr>
            <w:r>
              <w:rPr>
                <w:rFonts w:eastAsia="Verdana" w:cs="Verdana" w:ascii="Verdana" w:hAnsi="Verdana"/>
                <w:b/>
                <w:bCs/>
                <w:color w:val="000000"/>
                <w:sz w:val="20"/>
                <w:szCs w:val="20"/>
              </w:rPr>
              <w:t xml:space="preserve">     </w:t>
            </w:r>
            <w:r>
              <w:rPr>
                <w:rFonts w:cs="Calibri" w:ascii="Verdana" w:hAnsi="Verdana"/>
                <w:b/>
                <w:bCs/>
                <w:color w:val="000000"/>
                <w:sz w:val="20"/>
                <w:szCs w:val="20"/>
              </w:rPr>
              <w:t xml:space="preserve">12,079 € </w:t>
            </w:r>
          </w:p>
        </w:tc>
      </w:tr>
      <w:tr>
        <w:trPr>
          <w:trHeight w:val="315" w:hRule="atLeast"/>
        </w:trPr>
        <w:tc>
          <w:tcPr>
            <w:tcW w:w="661" w:type="dxa"/>
            <w:tcBorders>
              <w:left w:val="single" w:sz="8" w:space="0" w:color="000000"/>
              <w:bottom w:val="single" w:sz="8" w:space="0" w:color="000000"/>
              <w:insideH w:val="single" w:sz="8" w:space="0" w:color="000000"/>
            </w:tcBorders>
            <w:shd w:fill="FFFFFF" w:val="clear"/>
            <w:tcMar>
              <w:left w:w="60" w:type="dxa"/>
            </w:tcMar>
            <w:vAlign w:val="bottom"/>
          </w:tcPr>
          <w:p>
            <w:pPr>
              <w:pStyle w:val="Normal"/>
              <w:rPr>
                <w:rFonts w:ascii="Verdana" w:hAnsi="Verdana" w:cs="Calibri"/>
                <w:color w:val="000000"/>
                <w:sz w:val="20"/>
                <w:szCs w:val="20"/>
              </w:rPr>
            </w:pPr>
            <w:r>
              <w:rPr>
                <w:rFonts w:cs="Calibri" w:ascii="Verdana" w:hAnsi="Verdana"/>
                <w:color w:val="000000"/>
                <w:sz w:val="20"/>
                <w:szCs w:val="20"/>
              </w:rPr>
              <w:t>155V</w:t>
            </w:r>
          </w:p>
        </w:tc>
        <w:tc>
          <w:tcPr>
            <w:tcW w:w="1607" w:type="dxa"/>
            <w:tcBorders>
              <w:left w:val="single" w:sz="8" w:space="0" w:color="000000"/>
              <w:bottom w:val="single" w:sz="8" w:space="0" w:color="000000"/>
              <w:right w:val="single" w:sz="4" w:space="0" w:color="000000"/>
              <w:insideH w:val="single" w:sz="8" w:space="0" w:color="000000"/>
              <w:insideV w:val="single" w:sz="4" w:space="0" w:color="000000"/>
            </w:tcBorders>
            <w:shd w:fill="FFFFFF" w:val="clear"/>
            <w:tcMar>
              <w:left w:w="60" w:type="dxa"/>
            </w:tcMar>
            <w:vAlign w:val="bottom"/>
          </w:tcPr>
          <w:p>
            <w:pPr>
              <w:pStyle w:val="Normal"/>
              <w:rPr>
                <w:rFonts w:ascii="Verdana" w:hAnsi="Verdana"/>
                <w:b/>
                <w:b/>
                <w:bCs/>
                <w:color w:val="000000"/>
                <w:sz w:val="20"/>
                <w:szCs w:val="20"/>
              </w:rPr>
            </w:pPr>
            <w:r>
              <w:rPr>
                <w:rFonts w:eastAsia="Verdana" w:cs="Verdana" w:ascii="Verdana" w:hAnsi="Verdana"/>
                <w:b/>
                <w:bCs/>
                <w:color w:val="000000"/>
                <w:sz w:val="20"/>
                <w:szCs w:val="20"/>
              </w:rPr>
              <w:t xml:space="preserve">     </w:t>
            </w:r>
            <w:r>
              <w:rPr>
                <w:rFonts w:cs="Calibri" w:ascii="Verdana" w:hAnsi="Verdana"/>
                <w:b/>
                <w:bCs/>
                <w:color w:val="000000"/>
                <w:sz w:val="20"/>
                <w:szCs w:val="20"/>
              </w:rPr>
              <w:t xml:space="preserve">12,238 € </w:t>
            </w:r>
          </w:p>
        </w:tc>
      </w:tr>
    </w:tbl>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sz w:val="20"/>
          <w:szCs w:val="20"/>
        </w:rPr>
      </w:pPr>
      <w:r>
        <w:rPr>
          <w:rFonts w:cs="Verdana" w:ascii="Verdana" w:hAnsi="Verdana"/>
          <w:sz w:val="20"/>
          <w:szCs w:val="20"/>
        </w:rPr>
      </w:r>
    </w:p>
    <w:p>
      <w:pPr>
        <w:pStyle w:val="Paragraphedeliste"/>
        <w:numPr>
          <w:ilvl w:val="1"/>
          <w:numId w:val="3"/>
        </w:numPr>
        <w:pBdr>
          <w:bottom w:val="single" w:sz="4" w:space="1" w:color="000000"/>
        </w:pBdr>
        <w:spacing w:lineRule="auto" w:line="276" w:before="0" w:after="200"/>
        <w:contextualSpacing/>
        <w:jc w:val="both"/>
        <w:rPr>
          <w:b/>
          <w:b/>
        </w:rPr>
      </w:pPr>
      <w:r>
        <w:rPr>
          <w:b/>
        </w:rPr>
        <w:t>SUPRESSION DE LA PRIME PQSS</w:t>
      </w:r>
    </w:p>
    <w:p>
      <w:pPr>
        <w:pStyle w:val="Normal"/>
        <w:spacing w:lineRule="auto" w:line="312"/>
        <w:jc w:val="both"/>
        <w:rPr>
          <w:rFonts w:ascii="Verdana" w:hAnsi="Verdana" w:cs="Verdana"/>
          <w:b/>
          <w:b/>
          <w:sz w:val="20"/>
          <w:szCs w:val="20"/>
        </w:rPr>
      </w:pPr>
      <w:r>
        <w:rPr>
          <w:rFonts w:cs="Verdana" w:ascii="Verdana" w:hAnsi="Verdana"/>
          <w:b/>
          <w:sz w:val="20"/>
          <w:szCs w:val="20"/>
        </w:rPr>
      </w:r>
    </w:p>
    <w:p>
      <w:pPr>
        <w:pStyle w:val="Normal"/>
        <w:spacing w:lineRule="auto" w:line="312"/>
        <w:jc w:val="both"/>
        <w:rPr>
          <w:rFonts w:ascii="Verdana" w:hAnsi="Verdana" w:cs="Verdana"/>
          <w:sz w:val="20"/>
          <w:szCs w:val="20"/>
        </w:rPr>
      </w:pPr>
      <w:r>
        <w:rPr>
          <w:rFonts w:cs="Verdana" w:ascii="Verdana" w:hAnsi="Verdana"/>
          <w:sz w:val="20"/>
          <w:szCs w:val="20"/>
        </w:rPr>
        <w:t>La prime PQSS perçue par le personnel d’atelier est supprimée à compter du 1</w:t>
      </w:r>
      <w:r>
        <w:rPr>
          <w:rFonts w:cs="Verdana" w:ascii="Verdana" w:hAnsi="Verdana"/>
          <w:sz w:val="20"/>
          <w:szCs w:val="20"/>
          <w:vertAlign w:val="superscript"/>
        </w:rPr>
        <w:t>er</w:t>
      </w:r>
      <w:r>
        <w:rPr>
          <w:rFonts w:cs="Verdana" w:ascii="Verdana" w:hAnsi="Verdana"/>
          <w:sz w:val="20"/>
          <w:szCs w:val="20"/>
        </w:rPr>
        <w:t xml:space="preserve"> mars 2022.</w:t>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sz w:val="20"/>
          <w:szCs w:val="20"/>
        </w:rPr>
      </w:pPr>
      <w:r>
        <w:rPr>
          <w:rFonts w:cs="Verdana" w:ascii="Verdana" w:hAnsi="Verdana"/>
          <w:sz w:val="20"/>
          <w:szCs w:val="20"/>
        </w:rPr>
      </w:r>
    </w:p>
    <w:p>
      <w:pPr>
        <w:pStyle w:val="Paragraphedeliste"/>
        <w:numPr>
          <w:ilvl w:val="1"/>
          <w:numId w:val="3"/>
        </w:numPr>
        <w:pBdr>
          <w:bottom w:val="single" w:sz="4" w:space="1" w:color="000000"/>
        </w:pBdr>
        <w:spacing w:lineRule="auto" w:line="276" w:before="0" w:after="200"/>
        <w:contextualSpacing/>
        <w:jc w:val="both"/>
        <w:rPr>
          <w:b/>
          <w:b/>
        </w:rPr>
      </w:pPr>
      <w:r>
        <w:rPr>
          <w:b/>
        </w:rPr>
        <w:t>CREATION DE LA PRIME DE REACTIVITE</w:t>
      </w:r>
    </w:p>
    <w:p>
      <w:pPr>
        <w:pStyle w:val="Normal"/>
        <w:spacing w:lineRule="auto" w:line="312"/>
        <w:jc w:val="both"/>
        <w:rPr/>
      </w:pPr>
      <w:r>
        <w:rPr>
          <w:rFonts w:cs="Verdana" w:ascii="Verdana" w:hAnsi="Verdana"/>
          <w:sz w:val="20"/>
          <w:szCs w:val="20"/>
        </w:rPr>
        <w:t>Pour toute modification de planning transmise au conducteur après 18h et engendrant un temps de travail effectif supplémentaire supérieur à 30 minutes, sera versée à compter du 1</w:t>
      </w:r>
      <w:r>
        <w:rPr>
          <w:rFonts w:cs="Verdana" w:ascii="Verdana" w:hAnsi="Verdana"/>
          <w:sz w:val="20"/>
          <w:szCs w:val="20"/>
          <w:vertAlign w:val="superscript"/>
        </w:rPr>
        <w:t>er</w:t>
      </w:r>
      <w:r>
        <w:rPr>
          <w:rFonts w:cs="Verdana" w:ascii="Verdana" w:hAnsi="Verdana"/>
          <w:sz w:val="20"/>
          <w:szCs w:val="20"/>
        </w:rPr>
        <w:t xml:space="preserve"> mars 2022 une prime de dépannage de 10€ brut.</w:t>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sz w:val="20"/>
          <w:szCs w:val="20"/>
        </w:rPr>
      </w:pPr>
      <w:r>
        <w:rPr>
          <w:rFonts w:cs="Verdana" w:ascii="Verdana" w:hAnsi="Verdana"/>
          <w:sz w:val="20"/>
          <w:szCs w:val="20"/>
        </w:rPr>
      </w:r>
    </w:p>
    <w:p>
      <w:pPr>
        <w:pStyle w:val="Paragraphedeliste"/>
        <w:numPr>
          <w:ilvl w:val="1"/>
          <w:numId w:val="3"/>
        </w:numPr>
        <w:pBdr>
          <w:bottom w:val="single" w:sz="4" w:space="1" w:color="000000"/>
        </w:pBdr>
        <w:spacing w:lineRule="auto" w:line="276" w:before="0" w:after="200"/>
        <w:contextualSpacing/>
        <w:jc w:val="both"/>
        <w:rPr>
          <w:b/>
          <w:b/>
        </w:rPr>
      </w:pPr>
      <w:r>
        <w:rPr>
          <w:b/>
        </w:rPr>
        <w:t>MODIFICATION DES GRILLES D’ANCIENNETE</w:t>
      </w:r>
    </w:p>
    <w:p>
      <w:pPr>
        <w:pStyle w:val="Normal"/>
        <w:spacing w:lineRule="auto" w:line="312"/>
        <w:jc w:val="both"/>
        <w:rPr>
          <w:rFonts w:ascii="Verdana" w:hAnsi="Verdana" w:cs="Verdana"/>
          <w:b/>
          <w:b/>
          <w:sz w:val="20"/>
          <w:szCs w:val="20"/>
        </w:rPr>
      </w:pPr>
      <w:r>
        <w:rPr>
          <w:rFonts w:cs="Verdana" w:ascii="Verdana" w:hAnsi="Verdana"/>
          <w:b/>
          <w:sz w:val="20"/>
          <w:szCs w:val="20"/>
        </w:rPr>
      </w:r>
    </w:p>
    <w:p>
      <w:pPr>
        <w:pStyle w:val="Normal"/>
        <w:spacing w:lineRule="auto" w:line="312"/>
        <w:jc w:val="both"/>
        <w:rPr/>
      </w:pPr>
      <w:r>
        <w:rPr>
          <w:rFonts w:cs="Verdana" w:ascii="Verdana" w:hAnsi="Verdana"/>
          <w:sz w:val="20"/>
          <w:szCs w:val="20"/>
        </w:rPr>
        <w:t>A compter du 1</w:t>
      </w:r>
      <w:r>
        <w:rPr>
          <w:rFonts w:cs="Verdana" w:ascii="Verdana" w:hAnsi="Verdana"/>
          <w:sz w:val="20"/>
          <w:szCs w:val="20"/>
          <w:vertAlign w:val="superscript"/>
        </w:rPr>
        <w:t>er</w:t>
      </w:r>
      <w:r>
        <w:rPr>
          <w:rFonts w:cs="Verdana" w:ascii="Verdana" w:hAnsi="Verdana"/>
          <w:sz w:val="20"/>
          <w:szCs w:val="20"/>
        </w:rPr>
        <w:t xml:space="preserve"> janvier 2022, il est créé dans la grille d’ancienneté conducteur un palier de 11% à 10 ans tel qu’indiqué ci-dessous.</w:t>
      </w:r>
    </w:p>
    <w:p>
      <w:pPr>
        <w:pStyle w:val="Normal"/>
        <w:spacing w:lineRule="auto" w:line="312"/>
        <w:jc w:val="both"/>
        <w:rPr>
          <w:rFonts w:ascii="Verdana" w:hAnsi="Verdana" w:cs="Verdana"/>
          <w:sz w:val="20"/>
          <w:szCs w:val="20"/>
        </w:rPr>
      </w:pPr>
      <w:r>
        <w:rPr>
          <w:rFonts w:cs="Verdana" w:ascii="Verdana" w:hAnsi="Verdana"/>
          <w:sz w:val="20"/>
          <w:szCs w:val="20"/>
        </w:rPr>
      </w:r>
    </w:p>
    <w:tbl>
      <w:tblPr>
        <w:tblW w:w="283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620"/>
        <w:gridCol w:w="1210"/>
      </w:tblGrid>
      <w:tr>
        <w:trPr>
          <w:trHeight w:val="600" w:hRule="atLeast"/>
        </w:trPr>
        <w:tc>
          <w:tcPr>
            <w:tcW w:w="162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center"/>
          </w:tcPr>
          <w:p>
            <w:pPr>
              <w:pStyle w:val="Normal"/>
              <w:jc w:val="center"/>
              <w:rPr>
                <w:rFonts w:ascii="Calibri" w:hAnsi="Calibri" w:cs="Calibri"/>
                <w:b/>
                <w:b/>
                <w:bCs/>
                <w:color w:val="000000"/>
                <w:sz w:val="22"/>
                <w:szCs w:val="22"/>
              </w:rPr>
            </w:pPr>
            <w:r>
              <w:rPr>
                <w:rFonts w:cs="Calibri" w:ascii="Calibri" w:hAnsi="Calibri"/>
                <w:b/>
                <w:bCs/>
                <w:color w:val="000000"/>
                <w:sz w:val="22"/>
                <w:szCs w:val="22"/>
              </w:rPr>
              <w:t>Grille Ancienneté Conducteur</w:t>
            </w:r>
          </w:p>
        </w:tc>
        <w:tc>
          <w:tcPr>
            <w:tcW w:w="1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center"/>
          </w:tcPr>
          <w:p>
            <w:pPr>
              <w:pStyle w:val="Normal"/>
              <w:snapToGrid w:val="false"/>
              <w:jc w:val="center"/>
              <w:rPr>
                <w:rFonts w:ascii="Calibri" w:hAnsi="Calibri" w:cs="Calibri"/>
                <w:b/>
                <w:b/>
                <w:bCs/>
                <w:color w:val="000000"/>
                <w:sz w:val="22"/>
                <w:szCs w:val="22"/>
              </w:rPr>
            </w:pPr>
            <w:r>
              <w:rPr>
                <w:rFonts w:cs="Calibri" w:ascii="Calibri" w:hAnsi="Calibri"/>
                <w:b/>
                <w:bCs/>
                <w:color w:val="000000"/>
                <w:sz w:val="22"/>
                <w:szCs w:val="22"/>
              </w:rPr>
            </w:r>
          </w:p>
        </w:tc>
      </w:tr>
      <w:tr>
        <w:trPr>
          <w:trHeight w:val="300" w:hRule="atLeast"/>
        </w:trPr>
        <w:tc>
          <w:tcPr>
            <w:tcW w:w="1620" w:type="dxa"/>
            <w:tcBorders>
              <w:left w:val="single" w:sz="4" w:space="0" w:color="000000"/>
              <w:bottom w:val="single" w:sz="4" w:space="0" w:color="000000"/>
              <w:insideH w:val="single" w:sz="4" w:space="0" w:color="000000"/>
            </w:tcBorders>
            <w:shd w:fill="auto" w:val="clear"/>
            <w:tcMar>
              <w:left w:w="65" w:type="dxa"/>
            </w:tcMar>
            <w:vAlign w:val="bottom"/>
          </w:tcPr>
          <w:p>
            <w:pPr>
              <w:pStyle w:val="Normal"/>
              <w:rPr>
                <w:rFonts w:ascii="Calibri" w:hAnsi="Calibri" w:cs="Calibri"/>
                <w:sz w:val="22"/>
                <w:szCs w:val="22"/>
              </w:rPr>
            </w:pPr>
            <w:r>
              <w:rPr>
                <w:rFonts w:cs="Calibri" w:ascii="Calibri" w:hAnsi="Calibri"/>
                <w:sz w:val="22"/>
                <w:szCs w:val="22"/>
              </w:rPr>
              <w:t>Moins de 1 an</w:t>
            </w:r>
          </w:p>
        </w:tc>
        <w:tc>
          <w:tcPr>
            <w:tcW w:w="12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right"/>
              <w:rPr>
                <w:rFonts w:ascii="Calibri" w:hAnsi="Calibri" w:cs="Calibri"/>
                <w:sz w:val="22"/>
                <w:szCs w:val="22"/>
              </w:rPr>
            </w:pPr>
            <w:r>
              <w:rPr>
                <w:rFonts w:cs="Calibri" w:ascii="Calibri" w:hAnsi="Calibri"/>
                <w:sz w:val="22"/>
                <w:szCs w:val="22"/>
              </w:rPr>
              <w:t>0%</w:t>
            </w:r>
          </w:p>
        </w:tc>
      </w:tr>
      <w:tr>
        <w:trPr>
          <w:trHeight w:val="300" w:hRule="atLeast"/>
        </w:trPr>
        <w:tc>
          <w:tcPr>
            <w:tcW w:w="1620" w:type="dxa"/>
            <w:tcBorders>
              <w:left w:val="single" w:sz="4" w:space="0" w:color="000000"/>
              <w:bottom w:val="single" w:sz="4" w:space="0" w:color="000000"/>
              <w:insideH w:val="single" w:sz="4" w:space="0" w:color="000000"/>
            </w:tcBorders>
            <w:shd w:fill="auto" w:val="clear"/>
            <w:tcMar>
              <w:left w:w="65" w:type="dxa"/>
            </w:tcMar>
            <w:vAlign w:val="bottom"/>
          </w:tcPr>
          <w:p>
            <w:pPr>
              <w:pStyle w:val="Normal"/>
              <w:rPr>
                <w:rFonts w:ascii="Calibri" w:hAnsi="Calibri" w:cs="Calibri"/>
                <w:sz w:val="22"/>
                <w:szCs w:val="22"/>
              </w:rPr>
            </w:pPr>
            <w:r>
              <w:rPr>
                <w:rFonts w:cs="Calibri" w:ascii="Calibri" w:hAnsi="Calibri"/>
                <w:sz w:val="22"/>
                <w:szCs w:val="22"/>
              </w:rPr>
              <w:t>1 an</w:t>
            </w:r>
          </w:p>
        </w:tc>
        <w:tc>
          <w:tcPr>
            <w:tcW w:w="12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right"/>
              <w:rPr>
                <w:rFonts w:ascii="Calibri" w:hAnsi="Calibri" w:cs="Calibri"/>
                <w:sz w:val="22"/>
                <w:szCs w:val="22"/>
              </w:rPr>
            </w:pPr>
            <w:r>
              <w:rPr>
                <w:rFonts w:cs="Calibri" w:ascii="Calibri" w:hAnsi="Calibri"/>
                <w:sz w:val="22"/>
                <w:szCs w:val="22"/>
              </w:rPr>
              <w:t>3%</w:t>
            </w:r>
          </w:p>
        </w:tc>
      </w:tr>
      <w:tr>
        <w:trPr>
          <w:trHeight w:val="300" w:hRule="atLeast"/>
        </w:trPr>
        <w:tc>
          <w:tcPr>
            <w:tcW w:w="1620" w:type="dxa"/>
            <w:tcBorders>
              <w:left w:val="single" w:sz="4" w:space="0" w:color="000000"/>
              <w:bottom w:val="single" w:sz="4" w:space="0" w:color="000000"/>
              <w:insideH w:val="single" w:sz="4" w:space="0" w:color="000000"/>
            </w:tcBorders>
            <w:shd w:fill="auto" w:val="clear"/>
            <w:tcMar>
              <w:left w:w="65" w:type="dxa"/>
            </w:tcMar>
            <w:vAlign w:val="bottom"/>
          </w:tcPr>
          <w:p>
            <w:pPr>
              <w:pStyle w:val="Normal"/>
              <w:rPr>
                <w:rFonts w:ascii="Calibri" w:hAnsi="Calibri" w:cs="Calibri"/>
                <w:sz w:val="22"/>
                <w:szCs w:val="22"/>
              </w:rPr>
            </w:pPr>
            <w:r>
              <w:rPr>
                <w:rFonts w:cs="Calibri" w:ascii="Calibri" w:hAnsi="Calibri"/>
                <w:sz w:val="22"/>
                <w:szCs w:val="22"/>
              </w:rPr>
              <w:t>2 ans</w:t>
            </w:r>
          </w:p>
        </w:tc>
        <w:tc>
          <w:tcPr>
            <w:tcW w:w="12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right"/>
              <w:rPr>
                <w:rFonts w:ascii="Calibri" w:hAnsi="Calibri" w:cs="Calibri"/>
                <w:sz w:val="22"/>
                <w:szCs w:val="22"/>
              </w:rPr>
            </w:pPr>
            <w:r>
              <w:rPr>
                <w:rFonts w:cs="Calibri" w:ascii="Calibri" w:hAnsi="Calibri"/>
                <w:sz w:val="22"/>
                <w:szCs w:val="22"/>
              </w:rPr>
              <w:t>4%</w:t>
            </w:r>
          </w:p>
        </w:tc>
      </w:tr>
      <w:tr>
        <w:trPr>
          <w:trHeight w:val="300" w:hRule="atLeast"/>
        </w:trPr>
        <w:tc>
          <w:tcPr>
            <w:tcW w:w="1620" w:type="dxa"/>
            <w:tcBorders>
              <w:left w:val="single" w:sz="4" w:space="0" w:color="000000"/>
              <w:bottom w:val="single" w:sz="4" w:space="0" w:color="000000"/>
              <w:insideH w:val="single" w:sz="4" w:space="0" w:color="000000"/>
            </w:tcBorders>
            <w:shd w:fill="auto" w:val="clear"/>
            <w:tcMar>
              <w:left w:w="65" w:type="dxa"/>
            </w:tcMar>
            <w:vAlign w:val="bottom"/>
          </w:tcPr>
          <w:p>
            <w:pPr>
              <w:pStyle w:val="Normal"/>
              <w:rPr>
                <w:rFonts w:ascii="Calibri" w:hAnsi="Calibri" w:cs="Calibri"/>
                <w:sz w:val="22"/>
                <w:szCs w:val="22"/>
              </w:rPr>
            </w:pPr>
            <w:r>
              <w:rPr>
                <w:rFonts w:cs="Calibri" w:ascii="Calibri" w:hAnsi="Calibri"/>
                <w:sz w:val="22"/>
                <w:szCs w:val="22"/>
              </w:rPr>
              <w:t>5 ans</w:t>
            </w:r>
          </w:p>
        </w:tc>
        <w:tc>
          <w:tcPr>
            <w:tcW w:w="12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right"/>
              <w:rPr>
                <w:rFonts w:ascii="Calibri" w:hAnsi="Calibri" w:cs="Calibri"/>
                <w:sz w:val="22"/>
                <w:szCs w:val="22"/>
              </w:rPr>
            </w:pPr>
            <w:r>
              <w:rPr>
                <w:rFonts w:cs="Calibri" w:ascii="Calibri" w:hAnsi="Calibri"/>
                <w:sz w:val="22"/>
                <w:szCs w:val="22"/>
              </w:rPr>
              <w:t>6%</w:t>
            </w:r>
          </w:p>
        </w:tc>
      </w:tr>
      <w:tr>
        <w:trPr>
          <w:trHeight w:val="300" w:hRule="atLeast"/>
        </w:trPr>
        <w:tc>
          <w:tcPr>
            <w:tcW w:w="1620" w:type="dxa"/>
            <w:tcBorders>
              <w:left w:val="single" w:sz="4" w:space="0" w:color="000000"/>
              <w:bottom w:val="single" w:sz="4" w:space="0" w:color="000000"/>
              <w:insideH w:val="single" w:sz="4" w:space="0" w:color="000000"/>
            </w:tcBorders>
            <w:shd w:fill="auto" w:val="clear"/>
            <w:tcMar>
              <w:left w:w="65" w:type="dxa"/>
            </w:tcMar>
            <w:vAlign w:val="bottom"/>
          </w:tcPr>
          <w:p>
            <w:pPr>
              <w:pStyle w:val="Normal"/>
              <w:rPr>
                <w:rFonts w:ascii="Calibri" w:hAnsi="Calibri" w:cs="Calibri"/>
                <w:sz w:val="22"/>
                <w:szCs w:val="22"/>
              </w:rPr>
            </w:pPr>
            <w:r>
              <w:rPr>
                <w:rFonts w:cs="Calibri" w:ascii="Calibri" w:hAnsi="Calibri"/>
                <w:sz w:val="22"/>
                <w:szCs w:val="22"/>
              </w:rPr>
              <w:t>7 ans</w:t>
            </w:r>
          </w:p>
        </w:tc>
        <w:tc>
          <w:tcPr>
            <w:tcW w:w="12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right"/>
              <w:rPr>
                <w:rFonts w:ascii="Calibri" w:hAnsi="Calibri" w:cs="Calibri"/>
                <w:sz w:val="22"/>
                <w:szCs w:val="22"/>
              </w:rPr>
            </w:pPr>
            <w:r>
              <w:rPr>
                <w:rFonts w:cs="Calibri" w:ascii="Calibri" w:hAnsi="Calibri"/>
                <w:sz w:val="22"/>
                <w:szCs w:val="22"/>
              </w:rPr>
              <w:t>10%</w:t>
            </w:r>
          </w:p>
        </w:tc>
      </w:tr>
      <w:tr>
        <w:trPr>
          <w:trHeight w:val="300" w:hRule="atLeast"/>
        </w:trPr>
        <w:tc>
          <w:tcPr>
            <w:tcW w:w="1620" w:type="dxa"/>
            <w:tcBorders>
              <w:left w:val="single" w:sz="4" w:space="0" w:color="000000"/>
              <w:bottom w:val="single" w:sz="4" w:space="0" w:color="000000"/>
              <w:insideH w:val="single" w:sz="4" w:space="0" w:color="000000"/>
            </w:tcBorders>
            <w:shd w:fill="auto" w:val="clear"/>
            <w:tcMar>
              <w:left w:w="65" w:type="dxa"/>
            </w:tcMar>
            <w:vAlign w:val="bottom"/>
          </w:tcPr>
          <w:p>
            <w:pPr>
              <w:pStyle w:val="Normal"/>
              <w:rPr>
                <w:rFonts w:ascii="Calibri" w:hAnsi="Calibri" w:cs="Calibri"/>
                <w:b/>
                <w:b/>
                <w:sz w:val="22"/>
                <w:szCs w:val="22"/>
              </w:rPr>
            </w:pPr>
            <w:r>
              <w:rPr>
                <w:rFonts w:cs="Calibri" w:ascii="Calibri" w:hAnsi="Calibri"/>
                <w:b/>
                <w:sz w:val="22"/>
                <w:szCs w:val="22"/>
              </w:rPr>
              <w:t>10 ans</w:t>
            </w:r>
          </w:p>
        </w:tc>
        <w:tc>
          <w:tcPr>
            <w:tcW w:w="12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right"/>
              <w:rPr>
                <w:rFonts w:ascii="Calibri" w:hAnsi="Calibri" w:cs="Calibri"/>
                <w:b/>
                <w:b/>
                <w:sz w:val="22"/>
                <w:szCs w:val="22"/>
              </w:rPr>
            </w:pPr>
            <w:r>
              <w:rPr>
                <w:rFonts w:cs="Calibri" w:ascii="Calibri" w:hAnsi="Calibri"/>
                <w:b/>
                <w:sz w:val="22"/>
                <w:szCs w:val="22"/>
              </w:rPr>
              <w:t>11%</w:t>
            </w:r>
          </w:p>
        </w:tc>
      </w:tr>
      <w:tr>
        <w:trPr>
          <w:trHeight w:val="300" w:hRule="atLeast"/>
        </w:trPr>
        <w:tc>
          <w:tcPr>
            <w:tcW w:w="1620" w:type="dxa"/>
            <w:tcBorders>
              <w:left w:val="single" w:sz="4" w:space="0" w:color="000000"/>
              <w:bottom w:val="single" w:sz="4" w:space="0" w:color="000000"/>
              <w:insideH w:val="single" w:sz="4" w:space="0" w:color="000000"/>
            </w:tcBorders>
            <w:shd w:fill="auto" w:val="clear"/>
            <w:tcMar>
              <w:left w:w="65" w:type="dxa"/>
            </w:tcMar>
            <w:vAlign w:val="bottom"/>
          </w:tcPr>
          <w:p>
            <w:pPr>
              <w:pStyle w:val="Normal"/>
              <w:rPr>
                <w:rFonts w:ascii="Calibri" w:hAnsi="Calibri" w:cs="Calibri"/>
                <w:sz w:val="22"/>
                <w:szCs w:val="22"/>
              </w:rPr>
            </w:pPr>
            <w:r>
              <w:rPr>
                <w:rFonts w:cs="Calibri" w:ascii="Calibri" w:hAnsi="Calibri"/>
                <w:sz w:val="22"/>
                <w:szCs w:val="22"/>
              </w:rPr>
              <w:t>15 ans</w:t>
            </w:r>
          </w:p>
        </w:tc>
        <w:tc>
          <w:tcPr>
            <w:tcW w:w="12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right"/>
              <w:rPr>
                <w:rFonts w:ascii="Calibri" w:hAnsi="Calibri" w:cs="Calibri"/>
                <w:sz w:val="22"/>
                <w:szCs w:val="22"/>
              </w:rPr>
            </w:pPr>
            <w:r>
              <w:rPr>
                <w:rFonts w:cs="Calibri" w:ascii="Calibri" w:hAnsi="Calibri"/>
                <w:sz w:val="22"/>
                <w:szCs w:val="22"/>
              </w:rPr>
              <w:t>12%</w:t>
            </w:r>
          </w:p>
        </w:tc>
      </w:tr>
      <w:tr>
        <w:trPr>
          <w:trHeight w:val="300" w:hRule="atLeast"/>
        </w:trPr>
        <w:tc>
          <w:tcPr>
            <w:tcW w:w="1620" w:type="dxa"/>
            <w:tcBorders>
              <w:left w:val="single" w:sz="4" w:space="0" w:color="000000"/>
              <w:bottom w:val="single" w:sz="4" w:space="0" w:color="000000"/>
              <w:insideH w:val="single" w:sz="4" w:space="0" w:color="000000"/>
            </w:tcBorders>
            <w:shd w:fill="auto" w:val="clear"/>
            <w:tcMar>
              <w:left w:w="65" w:type="dxa"/>
            </w:tcMar>
            <w:vAlign w:val="bottom"/>
          </w:tcPr>
          <w:p>
            <w:pPr>
              <w:pStyle w:val="Normal"/>
              <w:rPr>
                <w:rFonts w:ascii="Calibri" w:hAnsi="Calibri" w:cs="Calibri"/>
                <w:sz w:val="22"/>
                <w:szCs w:val="22"/>
              </w:rPr>
            </w:pPr>
            <w:r>
              <w:rPr>
                <w:rFonts w:cs="Calibri" w:ascii="Calibri" w:hAnsi="Calibri"/>
                <w:sz w:val="22"/>
                <w:szCs w:val="22"/>
              </w:rPr>
              <w:t>20 ans</w:t>
            </w:r>
          </w:p>
        </w:tc>
        <w:tc>
          <w:tcPr>
            <w:tcW w:w="12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right"/>
              <w:rPr>
                <w:rFonts w:ascii="Calibri" w:hAnsi="Calibri" w:cs="Calibri"/>
                <w:sz w:val="22"/>
                <w:szCs w:val="22"/>
              </w:rPr>
            </w:pPr>
            <w:r>
              <w:rPr>
                <w:rFonts w:cs="Calibri" w:ascii="Calibri" w:hAnsi="Calibri"/>
                <w:sz w:val="22"/>
                <w:szCs w:val="22"/>
              </w:rPr>
              <w:t>16%</w:t>
            </w:r>
          </w:p>
        </w:tc>
      </w:tr>
      <w:tr>
        <w:trPr>
          <w:trHeight w:val="300" w:hRule="atLeast"/>
        </w:trPr>
        <w:tc>
          <w:tcPr>
            <w:tcW w:w="1620" w:type="dxa"/>
            <w:tcBorders>
              <w:left w:val="single" w:sz="4" w:space="0" w:color="000000"/>
              <w:bottom w:val="single" w:sz="4" w:space="0" w:color="000000"/>
              <w:insideH w:val="single" w:sz="4" w:space="0" w:color="000000"/>
            </w:tcBorders>
            <w:shd w:fill="auto" w:val="clear"/>
            <w:tcMar>
              <w:left w:w="65" w:type="dxa"/>
            </w:tcMar>
            <w:vAlign w:val="bottom"/>
          </w:tcPr>
          <w:p>
            <w:pPr>
              <w:pStyle w:val="Normal"/>
              <w:rPr>
                <w:rFonts w:ascii="Calibri" w:hAnsi="Calibri" w:cs="Calibri"/>
                <w:sz w:val="22"/>
                <w:szCs w:val="22"/>
              </w:rPr>
            </w:pPr>
            <w:r>
              <w:rPr>
                <w:rFonts w:cs="Calibri" w:ascii="Calibri" w:hAnsi="Calibri"/>
                <w:sz w:val="22"/>
                <w:szCs w:val="22"/>
              </w:rPr>
              <w:t>25 ans</w:t>
            </w:r>
          </w:p>
        </w:tc>
        <w:tc>
          <w:tcPr>
            <w:tcW w:w="12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right"/>
              <w:rPr>
                <w:rFonts w:ascii="Calibri" w:hAnsi="Calibri" w:cs="Calibri"/>
                <w:sz w:val="22"/>
                <w:szCs w:val="22"/>
              </w:rPr>
            </w:pPr>
            <w:r>
              <w:rPr>
                <w:rFonts w:cs="Calibri" w:ascii="Calibri" w:hAnsi="Calibri"/>
                <w:sz w:val="22"/>
                <w:szCs w:val="22"/>
              </w:rPr>
              <w:t>18%</w:t>
            </w:r>
          </w:p>
        </w:tc>
      </w:tr>
    </w:tbl>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pPr>
      <w:r>
        <w:rPr>
          <w:rFonts w:cs="Verdana" w:ascii="Verdana" w:hAnsi="Verdana"/>
          <w:sz w:val="20"/>
          <w:szCs w:val="20"/>
        </w:rPr>
        <w:t>A compter du 1</w:t>
      </w:r>
      <w:r>
        <w:rPr>
          <w:rFonts w:cs="Verdana" w:ascii="Verdana" w:hAnsi="Verdana"/>
          <w:sz w:val="20"/>
          <w:szCs w:val="20"/>
          <w:vertAlign w:val="superscript"/>
        </w:rPr>
        <w:t>er</w:t>
      </w:r>
      <w:r>
        <w:rPr>
          <w:rFonts w:cs="Verdana" w:ascii="Verdana" w:hAnsi="Verdana"/>
          <w:sz w:val="20"/>
          <w:szCs w:val="20"/>
        </w:rPr>
        <w:t xml:space="preserve"> janvier 2022, les grilles d’ancienneté administratif et atelier sont harmonisées tel qu’indiqué ci-dessous. Cela engendre un palier à 3% à 2 ans au lieu de 3 ans pour les administratifs et un palier à 6% au lieu de 5% à 5 ans pour l’atelier.</w:t>
      </w:r>
    </w:p>
    <w:p>
      <w:pPr>
        <w:pStyle w:val="Normal"/>
        <w:spacing w:lineRule="auto" w:line="312"/>
        <w:jc w:val="both"/>
        <w:rPr>
          <w:rFonts w:ascii="Verdana" w:hAnsi="Verdana" w:cs="Verdana"/>
          <w:sz w:val="20"/>
          <w:szCs w:val="20"/>
        </w:rPr>
      </w:pPr>
      <w:r>
        <w:rPr>
          <w:rFonts w:cs="Verdana" w:ascii="Verdana" w:hAnsi="Verdana"/>
          <w:sz w:val="20"/>
          <w:szCs w:val="20"/>
        </w:rPr>
      </w:r>
    </w:p>
    <w:tbl>
      <w:tblPr>
        <w:tblW w:w="283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620"/>
        <w:gridCol w:w="1210"/>
      </w:tblGrid>
      <w:tr>
        <w:trPr>
          <w:trHeight w:val="300" w:hRule="atLeast"/>
        </w:trPr>
        <w:tc>
          <w:tcPr>
            <w:tcW w:w="1620" w:type="dxa"/>
            <w:tcBorders>
              <w:top w:val="single" w:sz="4" w:space="0" w:color="000000"/>
              <w:left w:val="single" w:sz="4" w:space="0" w:color="000000"/>
              <w:bottom w:val="single" w:sz="4" w:space="0" w:color="000000"/>
              <w:insideH w:val="single" w:sz="4" w:space="0" w:color="000000"/>
            </w:tcBorders>
            <w:shd w:fill="auto" w:val="clear"/>
            <w:tcMar>
              <w:left w:w="65" w:type="dxa"/>
            </w:tcMar>
            <w:vAlign w:val="bottom"/>
          </w:tcPr>
          <w:p>
            <w:pPr>
              <w:pStyle w:val="Normal"/>
              <w:jc w:val="center"/>
              <w:rPr>
                <w:rFonts w:ascii="Calibri" w:hAnsi="Calibri" w:cs="Calibri"/>
                <w:b/>
                <w:b/>
                <w:bCs/>
                <w:color w:val="000000"/>
                <w:sz w:val="22"/>
                <w:szCs w:val="22"/>
              </w:rPr>
            </w:pPr>
            <w:r>
              <w:rPr>
                <w:rFonts w:cs="Calibri" w:ascii="Calibri" w:hAnsi="Calibri"/>
                <w:b/>
                <w:bCs/>
                <w:color w:val="000000"/>
                <w:sz w:val="22"/>
                <w:szCs w:val="22"/>
              </w:rPr>
              <w:t>Grille Ancienneté</w:t>
            </w:r>
          </w:p>
          <w:p>
            <w:pPr>
              <w:pStyle w:val="Normal"/>
              <w:jc w:val="center"/>
              <w:rPr/>
            </w:pPr>
            <w:r>
              <w:rPr>
                <w:rFonts w:cs="Calibri" w:ascii="Calibri" w:hAnsi="Calibri"/>
                <w:b/>
                <w:bCs/>
                <w:color w:val="000000"/>
                <w:sz w:val="22"/>
                <w:szCs w:val="22"/>
              </w:rPr>
              <w:t>Administratif + Atelier</w:t>
            </w:r>
          </w:p>
        </w:tc>
        <w:tc>
          <w:tcPr>
            <w:tcW w:w="1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center"/>
              <w:rPr>
                <w:rFonts w:ascii="Calibri" w:hAnsi="Calibri" w:cs="Calibri"/>
                <w:b/>
                <w:b/>
                <w:bCs/>
                <w:color w:val="000000"/>
                <w:sz w:val="22"/>
                <w:szCs w:val="22"/>
              </w:rPr>
            </w:pPr>
            <w:r>
              <w:rPr>
                <w:rFonts w:cs="Calibri" w:ascii="Calibri" w:hAnsi="Calibri"/>
                <w:b/>
                <w:bCs/>
                <w:color w:val="000000"/>
                <w:sz w:val="22"/>
                <w:szCs w:val="22"/>
              </w:rPr>
              <w:t>TDBA</w:t>
            </w:r>
          </w:p>
        </w:tc>
      </w:tr>
      <w:tr>
        <w:trPr>
          <w:trHeight w:val="300" w:hRule="atLeast"/>
        </w:trPr>
        <w:tc>
          <w:tcPr>
            <w:tcW w:w="1620" w:type="dxa"/>
            <w:tcBorders>
              <w:left w:val="single" w:sz="4" w:space="0" w:color="000000"/>
              <w:bottom w:val="single" w:sz="4" w:space="0" w:color="000000"/>
              <w:insideH w:val="single" w:sz="4" w:space="0" w:color="000000"/>
            </w:tcBorders>
            <w:shd w:fill="auto" w:val="clear"/>
            <w:tcMar>
              <w:left w:w="65" w:type="dxa"/>
            </w:tcMar>
            <w:vAlign w:val="bottom"/>
          </w:tcPr>
          <w:p>
            <w:pPr>
              <w:pStyle w:val="Normal"/>
              <w:rPr>
                <w:rFonts w:ascii="Calibri" w:hAnsi="Calibri" w:cs="Calibri"/>
                <w:b/>
                <w:b/>
                <w:color w:val="000000"/>
                <w:sz w:val="22"/>
                <w:szCs w:val="22"/>
              </w:rPr>
            </w:pPr>
            <w:r>
              <w:rPr>
                <w:rFonts w:cs="Calibri" w:ascii="Calibri" w:hAnsi="Calibri"/>
                <w:b/>
                <w:color w:val="000000"/>
                <w:sz w:val="22"/>
                <w:szCs w:val="22"/>
              </w:rPr>
              <w:t>2 ans</w:t>
            </w:r>
          </w:p>
        </w:tc>
        <w:tc>
          <w:tcPr>
            <w:tcW w:w="12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right"/>
              <w:rPr>
                <w:rFonts w:ascii="Calibri" w:hAnsi="Calibri" w:cs="Calibri"/>
                <w:b/>
                <w:b/>
                <w:color w:val="000000"/>
                <w:sz w:val="22"/>
                <w:szCs w:val="22"/>
              </w:rPr>
            </w:pPr>
            <w:r>
              <w:rPr>
                <w:rFonts w:cs="Calibri" w:ascii="Calibri" w:hAnsi="Calibri"/>
                <w:b/>
                <w:color w:val="000000"/>
                <w:sz w:val="22"/>
                <w:szCs w:val="22"/>
              </w:rPr>
              <w:t>3%</w:t>
            </w:r>
          </w:p>
        </w:tc>
      </w:tr>
      <w:tr>
        <w:trPr>
          <w:trHeight w:val="300" w:hRule="atLeast"/>
        </w:trPr>
        <w:tc>
          <w:tcPr>
            <w:tcW w:w="1620" w:type="dxa"/>
            <w:tcBorders>
              <w:left w:val="single" w:sz="4" w:space="0" w:color="000000"/>
              <w:bottom w:val="single" w:sz="4" w:space="0" w:color="000000"/>
              <w:insideH w:val="single" w:sz="4" w:space="0" w:color="000000"/>
            </w:tcBorders>
            <w:shd w:fill="auto" w:val="clear"/>
            <w:tcMar>
              <w:left w:w="65" w:type="dxa"/>
            </w:tcMar>
            <w:vAlign w:val="bottom"/>
          </w:tcPr>
          <w:p>
            <w:pPr>
              <w:pStyle w:val="Normal"/>
              <w:rPr>
                <w:rFonts w:ascii="Calibri" w:hAnsi="Calibri" w:cs="Calibri"/>
                <w:b/>
                <w:b/>
                <w:color w:val="000000"/>
                <w:sz w:val="22"/>
                <w:szCs w:val="22"/>
              </w:rPr>
            </w:pPr>
            <w:r>
              <w:rPr>
                <w:rFonts w:cs="Calibri" w:ascii="Calibri" w:hAnsi="Calibri"/>
                <w:b/>
                <w:color w:val="000000"/>
                <w:sz w:val="22"/>
                <w:szCs w:val="22"/>
              </w:rPr>
              <w:t>5 ans</w:t>
            </w:r>
          </w:p>
        </w:tc>
        <w:tc>
          <w:tcPr>
            <w:tcW w:w="12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right"/>
              <w:rPr>
                <w:rFonts w:ascii="Calibri" w:hAnsi="Calibri" w:cs="Calibri"/>
                <w:b/>
                <w:b/>
                <w:color w:val="000000"/>
                <w:sz w:val="22"/>
                <w:szCs w:val="22"/>
              </w:rPr>
            </w:pPr>
            <w:r>
              <w:rPr>
                <w:rFonts w:cs="Calibri" w:ascii="Calibri" w:hAnsi="Calibri"/>
                <w:b/>
                <w:color w:val="000000"/>
                <w:sz w:val="22"/>
                <w:szCs w:val="22"/>
              </w:rPr>
              <w:t>6%</w:t>
            </w:r>
          </w:p>
        </w:tc>
      </w:tr>
      <w:tr>
        <w:trPr>
          <w:trHeight w:val="300" w:hRule="atLeast"/>
        </w:trPr>
        <w:tc>
          <w:tcPr>
            <w:tcW w:w="1620" w:type="dxa"/>
            <w:tcBorders>
              <w:left w:val="single" w:sz="4" w:space="0" w:color="000000"/>
              <w:bottom w:val="single" w:sz="4" w:space="0" w:color="000000"/>
              <w:insideH w:val="single" w:sz="4" w:space="0" w:color="000000"/>
            </w:tcBorders>
            <w:shd w:fill="auto" w:val="clear"/>
            <w:tcMar>
              <w:left w:w="65" w:type="dxa"/>
            </w:tcMar>
            <w:vAlign w:val="bottom"/>
          </w:tcPr>
          <w:p>
            <w:pPr>
              <w:pStyle w:val="Normal"/>
              <w:rPr>
                <w:rFonts w:ascii="Calibri" w:hAnsi="Calibri" w:cs="Calibri"/>
                <w:color w:val="000000"/>
                <w:sz w:val="22"/>
                <w:szCs w:val="22"/>
              </w:rPr>
            </w:pPr>
            <w:r>
              <w:rPr>
                <w:rFonts w:cs="Calibri" w:ascii="Calibri" w:hAnsi="Calibri"/>
                <w:color w:val="000000"/>
                <w:sz w:val="22"/>
                <w:szCs w:val="22"/>
              </w:rPr>
              <w:t>9 ans</w:t>
            </w:r>
          </w:p>
        </w:tc>
        <w:tc>
          <w:tcPr>
            <w:tcW w:w="12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right"/>
              <w:rPr>
                <w:rFonts w:ascii="Calibri" w:hAnsi="Calibri" w:cs="Calibri"/>
                <w:color w:val="000000"/>
                <w:sz w:val="22"/>
                <w:szCs w:val="22"/>
              </w:rPr>
            </w:pPr>
            <w:r>
              <w:rPr>
                <w:rFonts w:cs="Calibri" w:ascii="Calibri" w:hAnsi="Calibri"/>
                <w:color w:val="000000"/>
                <w:sz w:val="22"/>
                <w:szCs w:val="22"/>
              </w:rPr>
              <w:t>9%</w:t>
            </w:r>
          </w:p>
        </w:tc>
      </w:tr>
      <w:tr>
        <w:trPr>
          <w:trHeight w:val="300" w:hRule="atLeast"/>
        </w:trPr>
        <w:tc>
          <w:tcPr>
            <w:tcW w:w="1620" w:type="dxa"/>
            <w:tcBorders>
              <w:left w:val="single" w:sz="4" w:space="0" w:color="000000"/>
              <w:bottom w:val="single" w:sz="4" w:space="0" w:color="000000"/>
              <w:insideH w:val="single" w:sz="4" w:space="0" w:color="000000"/>
            </w:tcBorders>
            <w:shd w:fill="auto" w:val="clear"/>
            <w:tcMar>
              <w:left w:w="65" w:type="dxa"/>
            </w:tcMar>
            <w:vAlign w:val="bottom"/>
          </w:tcPr>
          <w:p>
            <w:pPr>
              <w:pStyle w:val="Normal"/>
              <w:rPr>
                <w:rFonts w:ascii="Calibri" w:hAnsi="Calibri" w:cs="Calibri"/>
                <w:color w:val="000000"/>
                <w:sz w:val="22"/>
                <w:szCs w:val="22"/>
              </w:rPr>
            </w:pPr>
            <w:r>
              <w:rPr>
                <w:rFonts w:cs="Calibri" w:ascii="Calibri" w:hAnsi="Calibri"/>
                <w:color w:val="000000"/>
                <w:sz w:val="22"/>
                <w:szCs w:val="22"/>
              </w:rPr>
              <w:t>12 ans</w:t>
            </w:r>
          </w:p>
        </w:tc>
        <w:tc>
          <w:tcPr>
            <w:tcW w:w="12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right"/>
              <w:rPr>
                <w:rFonts w:ascii="Calibri" w:hAnsi="Calibri" w:cs="Calibri"/>
                <w:color w:val="000000"/>
                <w:sz w:val="22"/>
                <w:szCs w:val="22"/>
              </w:rPr>
            </w:pPr>
            <w:r>
              <w:rPr>
                <w:rFonts w:cs="Calibri" w:ascii="Calibri" w:hAnsi="Calibri"/>
                <w:color w:val="000000"/>
                <w:sz w:val="22"/>
                <w:szCs w:val="22"/>
              </w:rPr>
              <w:t>12%</w:t>
            </w:r>
          </w:p>
        </w:tc>
      </w:tr>
      <w:tr>
        <w:trPr>
          <w:trHeight w:val="300" w:hRule="atLeast"/>
        </w:trPr>
        <w:tc>
          <w:tcPr>
            <w:tcW w:w="1620" w:type="dxa"/>
            <w:tcBorders>
              <w:left w:val="single" w:sz="4" w:space="0" w:color="000000"/>
              <w:bottom w:val="single" w:sz="4" w:space="0" w:color="000000"/>
              <w:insideH w:val="single" w:sz="4" w:space="0" w:color="000000"/>
            </w:tcBorders>
            <w:shd w:fill="auto" w:val="clear"/>
            <w:tcMar>
              <w:left w:w="65" w:type="dxa"/>
            </w:tcMar>
            <w:vAlign w:val="bottom"/>
          </w:tcPr>
          <w:p>
            <w:pPr>
              <w:pStyle w:val="Normal"/>
              <w:rPr>
                <w:rFonts w:ascii="Calibri" w:hAnsi="Calibri" w:cs="Calibri"/>
                <w:color w:val="000000"/>
                <w:sz w:val="22"/>
                <w:szCs w:val="22"/>
              </w:rPr>
            </w:pPr>
            <w:r>
              <w:rPr>
                <w:rFonts w:cs="Calibri" w:ascii="Calibri" w:hAnsi="Calibri"/>
                <w:color w:val="000000"/>
                <w:sz w:val="22"/>
                <w:szCs w:val="22"/>
              </w:rPr>
              <w:t>15 ans</w:t>
            </w:r>
          </w:p>
        </w:tc>
        <w:tc>
          <w:tcPr>
            <w:tcW w:w="12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right"/>
              <w:rPr>
                <w:rFonts w:ascii="Calibri" w:hAnsi="Calibri" w:cs="Calibri"/>
                <w:color w:val="000000"/>
                <w:sz w:val="22"/>
                <w:szCs w:val="22"/>
              </w:rPr>
            </w:pPr>
            <w:r>
              <w:rPr>
                <w:rFonts w:cs="Calibri" w:ascii="Calibri" w:hAnsi="Calibri"/>
                <w:color w:val="000000"/>
                <w:sz w:val="22"/>
                <w:szCs w:val="22"/>
              </w:rPr>
              <w:t>15%</w:t>
            </w:r>
          </w:p>
        </w:tc>
      </w:tr>
      <w:tr>
        <w:trPr>
          <w:trHeight w:val="300" w:hRule="atLeast"/>
        </w:trPr>
        <w:tc>
          <w:tcPr>
            <w:tcW w:w="1620" w:type="dxa"/>
            <w:tcBorders>
              <w:left w:val="single" w:sz="4" w:space="0" w:color="000000"/>
              <w:bottom w:val="single" w:sz="4" w:space="0" w:color="000000"/>
              <w:insideH w:val="single" w:sz="4" w:space="0" w:color="000000"/>
            </w:tcBorders>
            <w:shd w:fill="auto" w:val="clear"/>
            <w:tcMar>
              <w:left w:w="65" w:type="dxa"/>
            </w:tcMar>
            <w:vAlign w:val="bottom"/>
          </w:tcPr>
          <w:p>
            <w:pPr>
              <w:pStyle w:val="Normal"/>
              <w:rPr>
                <w:rFonts w:ascii="Calibri" w:hAnsi="Calibri" w:cs="Calibri"/>
                <w:color w:val="000000"/>
                <w:sz w:val="22"/>
                <w:szCs w:val="22"/>
              </w:rPr>
            </w:pPr>
            <w:r>
              <w:rPr>
                <w:rFonts w:cs="Calibri" w:ascii="Calibri" w:hAnsi="Calibri"/>
                <w:color w:val="000000"/>
                <w:sz w:val="22"/>
                <w:szCs w:val="22"/>
              </w:rPr>
              <w:t>20 ans</w:t>
            </w:r>
          </w:p>
        </w:tc>
        <w:tc>
          <w:tcPr>
            <w:tcW w:w="12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vAlign w:val="bottom"/>
          </w:tcPr>
          <w:p>
            <w:pPr>
              <w:pStyle w:val="Normal"/>
              <w:jc w:val="right"/>
              <w:rPr>
                <w:rFonts w:ascii="Calibri" w:hAnsi="Calibri" w:cs="Calibri"/>
                <w:color w:val="000000"/>
                <w:sz w:val="22"/>
                <w:szCs w:val="22"/>
              </w:rPr>
            </w:pPr>
            <w:r>
              <w:rPr>
                <w:rFonts w:cs="Calibri" w:ascii="Calibri" w:hAnsi="Calibri"/>
                <w:color w:val="000000"/>
                <w:sz w:val="22"/>
                <w:szCs w:val="22"/>
              </w:rPr>
              <w:t>17%</w:t>
            </w:r>
          </w:p>
        </w:tc>
      </w:tr>
    </w:tbl>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pBdr>
          <w:top w:val="single" w:sz="8" w:space="1" w:color="000000"/>
          <w:left w:val="single" w:sz="8" w:space="4" w:color="000000"/>
          <w:bottom w:val="single" w:sz="8" w:space="1" w:color="000000"/>
          <w:right w:val="single" w:sz="8" w:space="4" w:color="000000"/>
        </w:pBdr>
        <w:spacing w:lineRule="auto" w:line="312"/>
        <w:jc w:val="center"/>
        <w:rPr/>
      </w:pPr>
      <w:r>
        <w:rPr>
          <w:rFonts w:cs="Verdana" w:ascii="Verdana" w:hAnsi="Verdana"/>
          <w:b/>
          <w:sz w:val="20"/>
          <w:szCs w:val="20"/>
        </w:rPr>
        <w:t>III – CONDITIONS D’APPLICATION ET PUBLICITE</w:t>
      </w:r>
    </w:p>
    <w:p>
      <w:pPr>
        <w:pStyle w:val="TextBody"/>
        <w:spacing w:lineRule="auto" w:line="312"/>
        <w:rPr>
          <w:rFonts w:ascii="Verdana" w:hAnsi="Verdana" w:cs="Verdana"/>
          <w:b/>
          <w:b/>
          <w:sz w:val="20"/>
          <w:szCs w:val="20"/>
        </w:rPr>
      </w:pPr>
      <w:r>
        <w:rPr>
          <w:rFonts w:cs="Verdana" w:ascii="Verdana" w:hAnsi="Verdana"/>
          <w:b/>
          <w:sz w:val="20"/>
          <w:szCs w:val="20"/>
        </w:rPr>
      </w:r>
    </w:p>
    <w:p>
      <w:pPr>
        <w:pStyle w:val="TextBody"/>
        <w:spacing w:lineRule="auto" w:line="312"/>
        <w:rPr>
          <w:rFonts w:ascii="Verdana" w:hAnsi="Verdana" w:cs="Verdana"/>
          <w:sz w:val="20"/>
          <w:szCs w:val="20"/>
        </w:rPr>
      </w:pPr>
      <w:r>
        <w:rPr>
          <w:rFonts w:cs="Verdana" w:ascii="Verdana" w:hAnsi="Verdana"/>
          <w:sz w:val="20"/>
          <w:szCs w:val="20"/>
        </w:rPr>
      </w:r>
    </w:p>
    <w:p>
      <w:pPr>
        <w:pStyle w:val="TextBody"/>
        <w:spacing w:lineRule="auto" w:line="312"/>
        <w:rPr/>
      </w:pPr>
      <w:bookmarkStart w:id="0" w:name="_Hlk69118665"/>
      <w:bookmarkEnd w:id="0"/>
      <w:r>
        <w:rPr>
          <w:rFonts w:eastAsia="Calibri" w:cs="Verdana" w:ascii="Verdana" w:hAnsi="Verdana"/>
          <w:sz w:val="20"/>
          <w:szCs w:val="20"/>
          <w:lang w:eastAsia="en-US"/>
        </w:rPr>
        <w:t>Il est expressément admis que les majorations convenues ci-dessus viendront en déduction de toute éventuelle augmentation salariale, notamment issue d’un accord de niveau supérieur, qui interviendrait au cours ou au titre de l’année 2022.</w:t>
      </w:r>
    </w:p>
    <w:p>
      <w:pPr>
        <w:pStyle w:val="TextBody"/>
        <w:spacing w:lineRule="auto" w:line="312"/>
        <w:rPr>
          <w:rFonts w:ascii="Verdana" w:hAnsi="Verdana" w:eastAsia="Calibri" w:cs="Verdana"/>
          <w:sz w:val="20"/>
          <w:szCs w:val="20"/>
          <w:lang w:eastAsia="en-US"/>
        </w:rPr>
      </w:pPr>
      <w:r>
        <w:rPr>
          <w:rFonts w:eastAsia="Calibri" w:cs="Verdana" w:ascii="Verdana" w:hAnsi="Verdana"/>
          <w:sz w:val="20"/>
          <w:szCs w:val="20"/>
          <w:lang w:eastAsia="en-US"/>
        </w:rPr>
        <w:t>Dans cette dernière hypothèse, l’application des éventuelles augmentations salariales déterminées par une norme supérieure à l’accord d’entreprise s’effectuera après réalisation de la déduction précitée.</w:t>
      </w:r>
    </w:p>
    <w:p>
      <w:pPr>
        <w:pStyle w:val="TextBody"/>
        <w:spacing w:lineRule="auto" w:line="312"/>
        <w:rPr>
          <w:rFonts w:ascii="Verdana" w:hAnsi="Verdana" w:eastAsia="Calibri" w:cs="Verdana"/>
          <w:sz w:val="20"/>
          <w:szCs w:val="20"/>
          <w:lang w:eastAsia="en-US"/>
        </w:rPr>
      </w:pPr>
      <w:r>
        <w:rPr>
          <w:rFonts w:eastAsia="Calibri" w:cs="Verdana" w:ascii="Verdana" w:hAnsi="Verdana"/>
          <w:sz w:val="20"/>
          <w:szCs w:val="20"/>
          <w:lang w:eastAsia="en-US"/>
        </w:rPr>
      </w:r>
    </w:p>
    <w:p>
      <w:pPr>
        <w:pStyle w:val="TextBody"/>
        <w:spacing w:lineRule="auto" w:line="312"/>
        <w:rPr/>
      </w:pPr>
      <w:r>
        <w:rPr>
          <w:rFonts w:cs="Verdana" w:ascii="Verdana" w:hAnsi="Verdana"/>
          <w:sz w:val="20"/>
          <w:szCs w:val="20"/>
        </w:rPr>
        <w:t>Le présent accord fera l’objet des mesures de publicité prévues par l’article D 2231-2 du Code du Travail : il sera déposé en un exemplaire à la Direccte, ainsi qu’un exemplaire au conseil des Prud’hommes compétent.</w:t>
      </w:r>
    </w:p>
    <w:p>
      <w:pPr>
        <w:pStyle w:val="TextBody"/>
        <w:spacing w:lineRule="auto" w:line="312"/>
        <w:rPr>
          <w:rFonts w:ascii="Verdana" w:hAnsi="Verdana" w:cs="Verdana"/>
          <w:sz w:val="20"/>
          <w:szCs w:val="20"/>
        </w:rPr>
      </w:pPr>
      <w:bookmarkStart w:id="1" w:name="_Hlk69118665"/>
      <w:bookmarkStart w:id="2" w:name="_Hlk69118665"/>
      <w:bookmarkEnd w:id="2"/>
      <w:r>
        <w:rPr>
          <w:rFonts w:cs="Verdana" w:ascii="Verdana" w:hAnsi="Verdana"/>
          <w:sz w:val="20"/>
          <w:szCs w:val="20"/>
        </w:rPr>
      </w:r>
    </w:p>
    <w:p>
      <w:pPr>
        <w:pStyle w:val="TextBody"/>
        <w:spacing w:lineRule="auto" w:line="312"/>
        <w:rPr>
          <w:rFonts w:ascii="Verdana" w:hAnsi="Verdana" w:cs="Verdana"/>
          <w:sz w:val="20"/>
          <w:szCs w:val="20"/>
        </w:rPr>
      </w:pPr>
      <w:r>
        <w:rPr>
          <w:rFonts w:cs="Verdana" w:ascii="Verdana" w:hAnsi="Verdana"/>
          <w:sz w:val="20"/>
          <w:szCs w:val="20"/>
        </w:rPr>
      </w:r>
    </w:p>
    <w:p>
      <w:pPr>
        <w:pStyle w:val="TextBody"/>
        <w:spacing w:lineRule="auto" w:line="312"/>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sz w:val="20"/>
          <w:szCs w:val="20"/>
        </w:rPr>
      </w:pPr>
      <w:r>
        <w:rPr>
          <w:rFonts w:cs="Verdana" w:ascii="Verdana" w:hAnsi="Verdana"/>
          <w:sz w:val="20"/>
          <w:szCs w:val="20"/>
        </w:rPr>
        <w:t>Fait à Annecy, en 4 exemplaires originaux, dont un pour chacune des Parties,</w:t>
      </w:r>
    </w:p>
    <w:p>
      <w:pPr>
        <w:pStyle w:val="Normal"/>
        <w:spacing w:lineRule="auto" w:line="312"/>
        <w:jc w:val="both"/>
        <w:rPr/>
      </w:pPr>
      <w:r>
        <w:rPr>
          <w:rFonts w:cs="Verdana" w:ascii="Verdana" w:hAnsi="Verdana"/>
          <w:sz w:val="20"/>
          <w:szCs w:val="20"/>
        </w:rPr>
        <w:t xml:space="preserve">Le </w:t>
      </w:r>
      <w:r>
        <w:rPr>
          <w:rFonts w:cs="Verdana" w:ascii="Verdana" w:hAnsi="Verdana"/>
          <w:b/>
          <w:sz w:val="20"/>
          <w:szCs w:val="20"/>
        </w:rPr>
        <w:t>28 février 2022</w:t>
      </w:r>
      <w:r>
        <w:rPr>
          <w:rFonts w:cs="Verdana" w:ascii="Verdana" w:hAnsi="Verdana"/>
          <w:sz w:val="20"/>
          <w:szCs w:val="20"/>
        </w:rPr>
        <w:t>.</w:t>
      </w:r>
    </w:p>
    <w:p>
      <w:pPr>
        <w:pStyle w:val="Normal"/>
        <w:spacing w:lineRule="auto" w:line="312"/>
        <w:ind w:left="2124" w:firstLine="708"/>
        <w:jc w:val="both"/>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sz w:val="20"/>
          <w:szCs w:val="20"/>
        </w:rPr>
      </w:pPr>
      <w:r>
        <w:rPr>
          <w:rFonts w:cs="Verdana" w:ascii="Verdana" w:hAnsi="Verdana"/>
          <w:sz w:val="20"/>
          <w:szCs w:val="20"/>
        </w:rPr>
        <w:t>Directeur</w:t>
      </w:r>
    </w:p>
    <w:p>
      <w:pPr>
        <w:pStyle w:val="Normal"/>
        <w:spacing w:lineRule="auto" w:line="312"/>
        <w:jc w:val="both"/>
        <w:rPr>
          <w:rFonts w:ascii="Verdana" w:hAnsi="Verdana" w:cs="Verdana"/>
          <w:sz w:val="20"/>
          <w:szCs w:val="20"/>
        </w:rPr>
      </w:pPr>
      <w:r>
        <w:rPr>
          <w:rFonts w:cs="Verdana" w:ascii="Verdana" w:hAnsi="Verdana"/>
          <w:sz w:val="20"/>
          <w:szCs w:val="20"/>
        </w:rPr>
        <w:t>TRANSDEV Bassin Annécien</w:t>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rFonts w:ascii="Verdana" w:hAnsi="Verdana" w:cs="Verdana"/>
          <w:sz w:val="20"/>
          <w:szCs w:val="20"/>
        </w:rPr>
      </w:pPr>
      <w:r>
        <w:rPr>
          <w:rFonts w:cs="Verdana" w:ascii="Verdana" w:hAnsi="Verdana"/>
          <w:sz w:val="20"/>
          <w:szCs w:val="20"/>
        </w:rPr>
      </w:r>
    </w:p>
    <w:p>
      <w:pPr>
        <w:pStyle w:val="Normal"/>
        <w:spacing w:lineRule="auto" w:line="312"/>
        <w:jc w:val="both"/>
        <w:rPr/>
      </w:pPr>
      <w:r>
        <w:rPr>
          <w:rFonts w:cs="Verdana" w:ascii="Verdana" w:hAnsi="Verdana"/>
          <w:sz w:val="20"/>
          <w:szCs w:val="20"/>
        </w:rPr>
        <w:t>Délégué syndical FO</w:t>
        <w:tab/>
        <w:tab/>
        <w:tab/>
        <w:tab/>
      </w:r>
    </w:p>
    <w:sectPr>
      <w:headerReference w:type="default" r:id="rId2"/>
      <w:footerReference w:type="default" r:id="rId3"/>
      <w:type w:val="nextPage"/>
      <w:pgSz w:w="11906" w:h="16838"/>
      <w:pgMar w:left="1191" w:right="1191" w:header="454" w:top="2268" w:footer="284"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Black">
    <w:charset w:val="00"/>
    <w:family w:val="swiss"/>
    <w:pitch w:val="variable"/>
  </w:font>
  <w:font w:name="Verdana">
    <w:charset w:val="00"/>
    <w:family w:val="swiss"/>
    <w:pitch w:val="variable"/>
  </w:font>
  <w:font w:name="Courier New">
    <w:charset w:val="00"/>
    <w:family w:val="modern"/>
    <w:pitch w:val="default"/>
  </w:font>
  <w:font w:name="Wingdings">
    <w:charset w:val="02"/>
    <w:family w:val="auto"/>
    <w:pitch w:val="variable"/>
  </w:font>
  <w:font w:name="Bookman Old Style">
    <w:charset w:val="00"/>
    <w:family w:val="roman"/>
    <w:pitch w:val="variable"/>
  </w:font>
  <w:font w:name="Book Antiqua">
    <w:charset w:val="00"/>
    <w:family w:val="roman"/>
    <w:pitch w:val="variable"/>
  </w:font>
  <w:font w:name="Liberation Sans">
    <w:altName w:val="Arial"/>
    <w:charset w:val="01"/>
    <w:family w:val="swiss"/>
    <w:pitch w:val="variable"/>
  </w:font>
  <w:font w:name="Comic Sans MS">
    <w:charset w:val="00"/>
    <w:family w:val="script"/>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5">
              <wp:simplePos x="0" y="0"/>
              <wp:positionH relativeFrom="page">
                <wp:posOffset>6700520</wp:posOffset>
              </wp:positionH>
              <wp:positionV relativeFrom="paragraph">
                <wp:posOffset>14605</wp:posOffset>
              </wp:positionV>
              <wp:extent cx="65405" cy="118110"/>
              <wp:effectExtent l="0" t="0" r="0" b="0"/>
              <wp:wrapSquare wrapText="largest"/>
              <wp:docPr id="1" name="Frame1"/>
              <a:graphic xmlns:a="http://schemas.openxmlformats.org/drawingml/2006/main">
                <a:graphicData uri="http://schemas.microsoft.com/office/word/2010/wordprocessingShape">
                  <wps:wsp>
                    <wps:cNvSpPr txBox="1"/>
                    <wps:spPr>
                      <a:xfrm>
                        <a:off x="0" y="0"/>
                        <a:ext cx="65405" cy="118110"/>
                      </a:xfrm>
                      <a:prstGeom prst="rect"/>
                      <a:solidFill>
                        <a:srgbClr val="FFFFFF">
                          <a:alpha val="0"/>
                        </a:srgbClr>
                      </a:solidFill>
                    </wps:spPr>
                    <wps:txbx>
                      <w:txbxContent>
                        <w:p>
                          <w:pPr>
                            <w:pStyle w:val="Footer"/>
                            <w:rPr>
                              <w:rStyle w:val="PageNumber"/>
                              <w:rFonts w:ascii="Verdana" w:hAnsi="Verdana" w:cs="Verdana"/>
                              <w:sz w:val="16"/>
                              <w:szCs w:val="16"/>
                            </w:rPr>
                          </w:pPr>
                          <w:r>
                            <w:rPr>
                              <w:rStyle w:val="PageNumber"/>
                              <w:rFonts w:cs="Verdana" w:ascii="Verdana" w:hAnsi="Verdana"/>
                              <w:sz w:val="16"/>
                              <w:szCs w:val="16"/>
                            </w:rPr>
                            <w:fldChar w:fldCharType="begin"/>
                          </w:r>
                          <w:r>
                            <w:instrText> PAGE </w:instrText>
                          </w:r>
                          <w:r>
                            <w:fldChar w:fldCharType="separate"/>
                          </w:r>
                          <w:r>
                            <w:t>4</w:t>
                          </w:r>
                          <w:r>
                            <w:fldChar w:fldCharType="end"/>
                          </w:r>
                        </w:p>
                      </w:txbxContent>
                    </wps:txbx>
                    <wps:bodyPr anchor="t">
                      <a:noAutofit/>
                    </wps:bodyPr>
                  </wps:wsp>
                </a:graphicData>
              </a:graphic>
            </wp:anchor>
          </w:drawing>
        </mc:Choice>
        <mc:Fallback>
          <w:pict>
            <v:rect fillcolor="#FFFFFF" style="position:absolute;rotation:0;width:5.15pt;height:9.3pt;margin-top:1.15pt;mso-position-vertical-relative:text;margin-left:527.6pt;mso-position-horizontal-relative:page">
              <v:fill opacity="0f"/>
              <v:textbox>
                <w:txbxContent>
                  <w:p>
                    <w:pPr>
                      <w:pStyle w:val="Footer"/>
                      <w:rPr>
                        <w:rStyle w:val="PageNumber"/>
                        <w:rFonts w:ascii="Verdana" w:hAnsi="Verdana" w:cs="Verdana"/>
                        <w:sz w:val="16"/>
                        <w:szCs w:val="16"/>
                      </w:rPr>
                    </w:pPr>
                    <w:r>
                      <w:rPr>
                        <w:rStyle w:val="PageNumber"/>
                        <w:rFonts w:cs="Verdana" w:ascii="Verdana" w:hAnsi="Verdana"/>
                        <w:sz w:val="16"/>
                        <w:szCs w:val="16"/>
                      </w:rPr>
                      <w:fldChar w:fldCharType="begin"/>
                    </w:r>
                    <w:r>
                      <w:instrText> PAGE </w:instrText>
                    </w:r>
                    <w:r>
                      <w:fldChar w:fldCharType="separate"/>
                    </w:r>
                    <w:r>
                      <w:t>4</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Verdana" w:hAnsi="Verdana" w:cs="Verdana"/>
        <w:sz w:val="20"/>
        <w:szCs w:val="20"/>
      </w:rPr>
    </w:pPr>
    <w:r>
      <w:rPr>
        <w:rFonts w:cs="Verdana" w:ascii="Verdana" w:hAnsi="Verdana"/>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bullet"/>
      <w:lvlText w:val="-"/>
      <w:lvlJc w:val="left"/>
      <w:pPr>
        <w:ind w:left="720" w:hanging="360"/>
      </w:pPr>
      <w:rPr>
        <w:rFonts w:ascii="Verdana" w:hAnsi="Verdana" w:cs="Verdana" w:hint="default"/>
        <w:rFonts w:cs="Times New Roman"/>
      </w:rPr>
    </w:lvl>
  </w:abstractNum>
  <w:abstractNum w:abstractNumId="3">
    <w:lvl w:ilvl="0">
      <w:start w:val="2"/>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right"/>
      <w:outlineLvl w:val="0"/>
    </w:pPr>
    <w:rPr>
      <w:rFonts w:ascii="Arial Black" w:hAnsi="Arial Black" w:cs="Arial Black"/>
      <w:b/>
      <w:bCs/>
      <w:sz w:val="12"/>
      <w:szCs w:val="12"/>
    </w:rPr>
  </w:style>
  <w:style w:type="character" w:styleId="WW8Num1z0">
    <w:name w:val="WW8Num1z0"/>
    <w:qFormat/>
    <w:rPr>
      <w:rFonts w:ascii="Verdana" w:hAnsi="Verdana"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Verdana" w:hAnsi="Verdana"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b/>
    </w:rPr>
  </w:style>
  <w:style w:type="character" w:styleId="WW8Num4z0">
    <w:name w:val="WW8Num4z0"/>
    <w:qFormat/>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Verdana" w:hAnsi="Verdana"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rFonts w:ascii="Verdana" w:hAnsi="Verdana"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eastAsia="Calibri"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Bookman Old Style" w:hAnsi="Bookman Old Style"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rFonts w:ascii="Verdana" w:hAnsi="Verdana"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8z1">
    <w:name w:val="WW8Num18z1"/>
    <w:qFormat/>
    <w:rPr>
      <w:b/>
    </w:rPr>
  </w:style>
  <w:style w:type="character" w:styleId="WW8Num19z0">
    <w:name w:val="WW8Num19z0"/>
    <w:qFormat/>
    <w:rPr>
      <w:rFonts w:ascii="Book Antiqua" w:hAnsi="Book Antiqua"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1z0">
    <w:name w:val="WW8Num21z0"/>
    <w:qFormat/>
    <w:rPr/>
  </w:style>
  <w:style w:type="character" w:styleId="WW8Num22z0">
    <w:name w:val="WW8Num22z0"/>
    <w:qFormat/>
    <w:rPr>
      <w:rFonts w:ascii="Wingdings" w:hAnsi="Wingdings" w:eastAsia="Times New Roman" w:cs="Times New Roman"/>
      <w:b/>
      <w:sz w:val="22"/>
      <w:szCs w:val="22"/>
      <w:u w:val="none"/>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4z0">
    <w:name w:val="WW8Num24z0"/>
    <w:qFormat/>
    <w:rPr/>
  </w:style>
  <w:style w:type="character" w:styleId="WW8Num25z0">
    <w:name w:val="WW8Num25z0"/>
    <w:qFormat/>
    <w:rPr>
      <w:u w:val="none"/>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Verdana" w:hAnsi="Verdana"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rFonts w:ascii="Comic Sans MS" w:hAnsi="Comic Sans MS" w:cs="Comic Sans M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Paragraphedeliste">
    <w:name w:val="Paragraphe de liste"/>
    <w:basedOn w:val="Normal"/>
    <w:qFormat/>
    <w:pPr>
      <w:spacing w:lineRule="auto" w:line="256" w:before="0" w:after="160"/>
      <w:ind w:left="720" w:hanging="0"/>
      <w:contextualSpacing/>
    </w:pPr>
    <w:rPr>
      <w:rFonts w:ascii="Calibri" w:hAnsi="Calibri" w:eastAsia="Calibri" w:cs="Times New Roman"/>
      <w:sz w:val="22"/>
      <w:szCs w:val="22"/>
    </w:rPr>
  </w:style>
  <w:style w:type="paragraph" w:styleId="Xxxmsolistparagraph">
    <w:name w:val="x_x_xmsolistparagraph"/>
    <w:basedOn w:val="Normal"/>
    <w:qFormat/>
    <w:pPr>
      <w:spacing w:lineRule="auto" w:line="252" w:before="0" w:after="160"/>
      <w:ind w:left="720" w:hanging="0"/>
    </w:pPr>
    <w:rPr>
      <w:rFonts w:ascii="Calibri" w:hAnsi="Calibri" w:eastAsia="Calibri" w:cs="Calibri"/>
      <w:sz w:val="22"/>
      <w:szCs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2022-03-10T11:43:00Z</dcterms:created>
  <dc:creator/>
  <dc:description/>
  <dc:language>en-GB</dc:language>
  <cp:lastModifiedBy/>
  <cp:lastPrinted>2009-12-22T14:47:00Z</cp:lastPrinted>
  <dcterms:modified xsi:type="dcterms:W3CDTF">2022-04-19T13:22:00Z</dcterms:modified>
  <cp:revision>5</cp:revision>
  <dc:subject/>
  <dc:title>Entre les soussignés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0x0101002B122DA53A0B4944899128F13334DB2C</vt:lpwstr>
  </property>
</Properties>
</file>