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R="000F44CD" w:rsidRDefault="000F44CD">
      <w:pPr>
        <w:spacing w:line="360" w:lineRule="auto"/>
        <w:jc w:val="both"/>
        <w:rPr>
          <w:rFonts w:ascii="Arial" w:cs="Arial" w:eastAsia="Arial" w:hAnsi="Arial"/>
          <w:sz w:val="36"/>
          <w:szCs w:val="36"/>
        </w:rPr>
      </w:pPr>
    </w:p>
    <w:p w:rsidR="000F44CD" w:rsidRDefault="00100080">
      <w:pPr>
        <w:pStyle w:val="Titre"/>
        <w:pBdr>
          <w:top w:color="000000" w:space="1" w:sz="4" w:val="single"/>
          <w:left w:color="000000" w:space="0" w:sz="4" w:val="single"/>
          <w:bottom w:color="000000" w:space="1" w:sz="4" w:val="single"/>
          <w:right w:color="000000" w:space="17" w:sz="4" w:val="single"/>
        </w:pBdr>
        <w:tabs>
          <w:tab w:pos="9072" w:val="left"/>
        </w:tabs>
        <w:ind w:left="0" w:right="0"/>
        <w:rPr>
          <w:sz w:val="28"/>
          <w:szCs w:val="28"/>
        </w:rPr>
      </w:pPr>
      <w:r>
        <w:rPr>
          <w:sz w:val="28"/>
          <w:szCs w:val="28"/>
        </w:rPr>
        <w:t xml:space="preserve">  Accord d’entreprise relatif à la négociation annuelle sur la rémunération, le temps de travail et le partage de la valeur ajoutée 2022 </w:t>
      </w:r>
      <w:r>
        <w:rPr>
          <w:sz w:val="28"/>
          <w:szCs w:val="28"/>
        </w:rPr>
        <w:br/>
        <w:t xml:space="preserve">Société DAV SAS </w:t>
      </w:r>
    </w:p>
    <w:p w:rsidR="000F44CD" w:rsidRDefault="000F44CD">
      <w:pPr>
        <w:spacing w:line="276" w:lineRule="auto"/>
        <w:jc w:val="both"/>
        <w:rPr>
          <w:rFonts w:ascii="Arial" w:cs="Arial" w:eastAsia="Arial" w:hAnsi="Arial"/>
          <w:sz w:val="36"/>
          <w:szCs w:val="36"/>
        </w:rPr>
      </w:pPr>
    </w:p>
    <w:p w:rsidR="000F44CD" w:rsidRDefault="00100080">
      <w:pPr>
        <w:spacing w:line="276" w:lineRule="auto"/>
        <w:jc w:val="both"/>
        <w:rPr>
          <w:rFonts w:ascii="Arial" w:cs="Arial" w:eastAsia="Arial" w:hAnsi="Arial"/>
          <w:b/>
          <w:sz w:val="22"/>
          <w:szCs w:val="22"/>
        </w:rPr>
      </w:pPr>
      <w:r>
        <w:rPr>
          <w:rFonts w:ascii="Arial" w:cs="Arial" w:eastAsia="Arial" w:hAnsi="Arial"/>
          <w:b/>
          <w:sz w:val="22"/>
          <w:szCs w:val="22"/>
        </w:rPr>
        <w:br/>
        <w:t xml:space="preserve">ENTRE, </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La Société Anonyme par Actions Simplifiées, Valeo DAV SAS dont le siège social se situe à 6 rue Daniel COSTANTINI 94000 CRETEIL, représentée par la Responsable des Ressource</w:t>
      </w:r>
      <w:r w:rsidR="00610254">
        <w:rPr>
          <w:rFonts w:ascii="Arial" w:cs="Arial" w:eastAsia="Arial" w:hAnsi="Arial"/>
          <w:sz w:val="22"/>
          <w:szCs w:val="22"/>
        </w:rPr>
        <w:t>s Humaines</w:t>
      </w:r>
      <w:proofErr w:type="gramStart"/>
      <w:r w:rsidR="00610254">
        <w:rPr>
          <w:rFonts w:ascii="Arial" w:cs="Arial" w:eastAsia="Arial" w:hAnsi="Arial"/>
          <w:sz w:val="22"/>
          <w:szCs w:val="22"/>
        </w:rPr>
        <w:t xml:space="preserve">, </w:t>
      </w:r>
      <w:r>
        <w:rPr>
          <w:rFonts w:ascii="Arial" w:cs="Arial" w:eastAsia="Arial" w:hAnsi="Arial"/>
          <w:sz w:val="22"/>
          <w:szCs w:val="22"/>
        </w:rPr>
        <w:t>,</w:t>
      </w:r>
      <w:proofErr w:type="gramEnd"/>
      <w:r>
        <w:rPr>
          <w:rFonts w:ascii="Arial" w:cs="Arial" w:eastAsia="Arial" w:hAnsi="Arial"/>
          <w:sz w:val="22"/>
          <w:szCs w:val="22"/>
        </w:rPr>
        <w:t xml:space="preserve"> </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b/>
          <w:sz w:val="22"/>
          <w:szCs w:val="22"/>
        </w:rPr>
      </w:pPr>
      <w:r>
        <w:rPr>
          <w:rFonts w:ascii="Arial" w:cs="Arial" w:eastAsia="Arial" w:hAnsi="Arial"/>
          <w:b/>
          <w:sz w:val="22"/>
          <w:szCs w:val="22"/>
        </w:rPr>
        <w:t>ET</w:t>
      </w: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br/>
        <w:t>Les Organisations Syndicales représentative</w:t>
      </w:r>
      <w:r>
        <w:rPr>
          <w:rFonts w:ascii="Arial" w:cs="Arial" w:eastAsia="Arial" w:hAnsi="Arial"/>
          <w:sz w:val="22"/>
          <w:szCs w:val="22"/>
        </w:rPr>
        <w:t xml:space="preserve">s : </w:t>
      </w: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 Le syndicat CFDT, représenté</w:t>
      </w:r>
      <w:r w:rsidR="00610254">
        <w:rPr>
          <w:rFonts w:ascii="Arial" w:cs="Arial" w:eastAsia="Arial" w:hAnsi="Arial"/>
          <w:sz w:val="22"/>
          <w:szCs w:val="22"/>
        </w:rPr>
        <w:t xml:space="preserve"> par</w:t>
      </w:r>
      <w:r>
        <w:rPr>
          <w:rFonts w:ascii="Arial" w:cs="Arial" w:eastAsia="Arial" w:hAnsi="Arial"/>
          <w:sz w:val="22"/>
          <w:szCs w:val="22"/>
        </w:rPr>
        <w:t>, Délégué Syndical,</w:t>
      </w: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 Le syndicat CFE / CGC, représent</w:t>
      </w:r>
      <w:r w:rsidR="00610254">
        <w:rPr>
          <w:rFonts w:ascii="Arial" w:cs="Arial" w:eastAsia="Arial" w:hAnsi="Arial"/>
          <w:sz w:val="22"/>
          <w:szCs w:val="22"/>
        </w:rPr>
        <w:t>é par</w:t>
      </w:r>
      <w:r>
        <w:rPr>
          <w:rFonts w:ascii="Arial" w:cs="Arial" w:eastAsia="Arial" w:hAnsi="Arial"/>
          <w:sz w:val="22"/>
          <w:szCs w:val="22"/>
        </w:rPr>
        <w:t>, Délégué Syndical.</w:t>
      </w:r>
    </w:p>
    <w:p w:rsidR="000F44CD" w:rsidRDefault="000F44CD">
      <w:pPr>
        <w:spacing w:line="276" w:lineRule="auto"/>
        <w:jc w:val="both"/>
        <w:rPr>
          <w:rFonts w:ascii="Arial" w:cs="Arial" w:eastAsia="Arial" w:hAnsi="Arial"/>
          <w:sz w:val="22"/>
          <w:szCs w:val="22"/>
        </w:rPr>
      </w:pPr>
    </w:p>
    <w:p w:rsidR="000F44CD" w:rsidRDefault="00100080">
      <w:pPr>
        <w:pStyle w:val="Heading2"/>
        <w:spacing w:line="276" w:lineRule="auto"/>
        <w:ind w:left="360"/>
        <w:jc w:val="both"/>
        <w:rPr>
          <w:sz w:val="22"/>
          <w:szCs w:val="22"/>
        </w:rPr>
      </w:pPr>
      <w:r>
        <w:rPr>
          <w:sz w:val="22"/>
          <w:szCs w:val="22"/>
        </w:rPr>
        <w:t>Article 1 : Champ d’application</w:t>
      </w:r>
    </w:p>
    <w:p w:rsidR="000F44CD" w:rsidRDefault="000F44CD">
      <w:pPr>
        <w:spacing w:line="276" w:lineRule="auto"/>
        <w:jc w:val="both"/>
        <w:rPr>
          <w:rFonts w:ascii="Arial" w:cs="Arial" w:eastAsia="Arial" w:hAnsi="Arial"/>
          <w:sz w:val="22"/>
          <w:szCs w:val="22"/>
        </w:rPr>
      </w:pPr>
    </w:p>
    <w:p w:rsidR="000F44CD" w:rsidRDefault="00100080">
      <w:pPr>
        <w:widowControl/>
        <w:tabs>
          <w:tab w:pos="3402" w:val="left"/>
        </w:tabs>
        <w:spacing w:line="276" w:lineRule="auto"/>
        <w:ind w:hanging="426"/>
        <w:jc w:val="both"/>
      </w:pPr>
      <w:r>
        <w:rPr>
          <w:rFonts w:ascii="Arial" w:cs="Arial" w:eastAsia="Arial" w:hAnsi="Arial"/>
          <w:sz w:val="22"/>
          <w:szCs w:val="22"/>
        </w:rPr>
        <w:tab/>
      </w:r>
      <w:r>
        <w:rPr>
          <w:rFonts w:ascii="Arial" w:cs="Arial" w:eastAsia="Arial" w:hAnsi="Arial"/>
          <w:color w:val="000000"/>
          <w:sz w:val="22"/>
          <w:szCs w:val="22"/>
        </w:rPr>
        <w:t>Le présent accord est conclu à l’issue de la nég</w:t>
      </w:r>
      <w:r>
        <w:rPr>
          <w:rFonts w:ascii="Arial" w:cs="Arial" w:eastAsia="Arial" w:hAnsi="Arial"/>
          <w:color w:val="000000"/>
          <w:sz w:val="22"/>
          <w:szCs w:val="22"/>
        </w:rPr>
        <w:t>ociation annuelle obligatoire prévue aux articles</w:t>
      </w:r>
      <w:r>
        <w:rPr>
          <w:rFonts w:ascii="Arial" w:cs="Arial" w:eastAsia="Arial" w:hAnsi="Arial"/>
          <w:sz w:val="22"/>
          <w:szCs w:val="22"/>
        </w:rPr>
        <w:t xml:space="preserve"> </w:t>
      </w:r>
      <w:r>
        <w:rPr>
          <w:rFonts w:ascii="Arial" w:cs="Arial" w:eastAsia="Arial" w:hAnsi="Arial"/>
          <w:color w:val="000000"/>
          <w:sz w:val="22"/>
          <w:szCs w:val="22"/>
        </w:rPr>
        <w:t>L2242-1 et suivants du Code du travail, et des réunions qui se sont tenues le</w:t>
      </w:r>
      <w:r>
        <w:rPr>
          <w:rFonts w:ascii="Arial" w:cs="Arial" w:eastAsia="Arial" w:hAnsi="Arial"/>
          <w:sz w:val="22"/>
          <w:szCs w:val="22"/>
        </w:rPr>
        <w:t xml:space="preserve"> 9 février et le 1er mars 2022.</w:t>
      </w:r>
    </w:p>
    <w:p w:rsidR="000F44CD" w:rsidRDefault="000F44CD">
      <w:pPr>
        <w:widowControl/>
        <w:tabs>
          <w:tab w:pos="3402" w:val="left"/>
        </w:tabs>
        <w:spacing w:line="276" w:lineRule="auto"/>
        <w:ind w:hanging="426"/>
        <w:jc w:val="both"/>
        <w:rPr>
          <w:rFonts w:ascii="Arial" w:cs="Arial" w:eastAsia="Arial" w:hAnsi="Arial"/>
          <w:color w:val="000000"/>
          <w:sz w:val="22"/>
          <w:szCs w:val="22"/>
        </w:rPr>
      </w:pPr>
      <w:bookmarkStart w:id="0" w:name="_gjdgxs"/>
      <w:bookmarkEnd w:id="0"/>
    </w:p>
    <w:p w:rsidR="000F44CD" w:rsidRDefault="00100080">
      <w:pPr>
        <w:widowControl/>
        <w:tabs>
          <w:tab w:pos="3402" w:val="left"/>
        </w:tabs>
        <w:spacing w:line="276" w:lineRule="auto"/>
        <w:ind w:hanging="426"/>
        <w:jc w:val="both"/>
      </w:pPr>
      <w:r>
        <w:rPr>
          <w:rFonts w:ascii="Arial" w:cs="Arial" w:eastAsia="Arial" w:hAnsi="Arial"/>
          <w:sz w:val="22"/>
          <w:szCs w:val="22"/>
        </w:rPr>
        <w:tab/>
      </w:r>
      <w:r>
        <w:rPr>
          <w:rFonts w:ascii="Arial" w:cs="Arial" w:eastAsia="Arial" w:hAnsi="Arial"/>
          <w:color w:val="000000"/>
          <w:sz w:val="22"/>
          <w:szCs w:val="22"/>
        </w:rPr>
        <w:t xml:space="preserve">Il a pour objet de fixer la politique salariale pour </w:t>
      </w:r>
      <w:r>
        <w:rPr>
          <w:rFonts w:ascii="Arial" w:cs="Arial" w:eastAsia="Arial" w:hAnsi="Arial"/>
          <w:sz w:val="22"/>
          <w:szCs w:val="22"/>
        </w:rPr>
        <w:t xml:space="preserve">2022 </w:t>
      </w:r>
      <w:r>
        <w:rPr>
          <w:rFonts w:ascii="Arial" w:cs="Arial" w:eastAsia="Arial" w:hAnsi="Arial"/>
          <w:color w:val="000000"/>
          <w:sz w:val="22"/>
          <w:szCs w:val="22"/>
        </w:rPr>
        <w:t xml:space="preserve">de la Société DAV SAS. </w:t>
      </w:r>
    </w:p>
    <w:p w:rsidR="000F44CD" w:rsidRDefault="000F44CD">
      <w:pPr>
        <w:widowControl/>
        <w:tabs>
          <w:tab w:pos="3402" w:val="left"/>
        </w:tabs>
        <w:spacing w:line="276" w:lineRule="auto"/>
        <w:ind w:hanging="426"/>
        <w:jc w:val="both"/>
        <w:rPr>
          <w:rFonts w:ascii="Arial" w:cs="Arial" w:eastAsia="Arial" w:hAnsi="Arial"/>
          <w:sz w:val="22"/>
          <w:szCs w:val="22"/>
        </w:rPr>
      </w:pPr>
    </w:p>
    <w:p w:rsidR="000F44CD" w:rsidRDefault="00100080">
      <w:pPr>
        <w:widowControl/>
        <w:tabs>
          <w:tab w:pos="3402" w:val="left"/>
        </w:tabs>
        <w:spacing w:line="276" w:lineRule="auto"/>
        <w:ind w:hanging="426"/>
        <w:jc w:val="both"/>
      </w:pPr>
      <w:r>
        <w:rPr>
          <w:rFonts w:ascii="Arial" w:cs="Arial" w:eastAsia="Arial" w:hAnsi="Arial"/>
          <w:sz w:val="22"/>
          <w:szCs w:val="22"/>
        </w:rPr>
        <w:tab/>
      </w:r>
      <w:r>
        <w:rPr>
          <w:rFonts w:ascii="Arial" w:cs="Arial" w:eastAsia="Arial" w:hAnsi="Arial"/>
          <w:color w:val="000000"/>
          <w:sz w:val="22"/>
          <w:szCs w:val="22"/>
        </w:rPr>
        <w:t xml:space="preserve">Le présent </w:t>
      </w:r>
      <w:r>
        <w:rPr>
          <w:rFonts w:ascii="Arial" w:cs="Arial" w:eastAsia="Arial" w:hAnsi="Arial"/>
          <w:color w:val="000000"/>
          <w:sz w:val="22"/>
          <w:szCs w:val="22"/>
        </w:rPr>
        <w:t>accord s’applique à l’ensemble des salariés, agents, employés, techniciens, agents</w:t>
      </w:r>
      <w:r>
        <w:rPr>
          <w:rFonts w:ascii="Arial" w:cs="Arial" w:eastAsia="Arial" w:hAnsi="Arial"/>
          <w:sz w:val="22"/>
          <w:szCs w:val="22"/>
        </w:rPr>
        <w:t xml:space="preserve"> </w:t>
      </w:r>
      <w:r>
        <w:rPr>
          <w:rFonts w:ascii="Arial" w:cs="Arial" w:eastAsia="Arial" w:hAnsi="Arial"/>
          <w:color w:val="000000"/>
          <w:sz w:val="22"/>
          <w:szCs w:val="22"/>
        </w:rPr>
        <w:t xml:space="preserve">de maîtrise, ingénieurs et cadres. </w:t>
      </w:r>
    </w:p>
    <w:p w:rsidR="000F44CD" w:rsidRDefault="000F44CD">
      <w:pPr>
        <w:widowControl/>
        <w:tabs>
          <w:tab w:pos="3402" w:val="left"/>
        </w:tabs>
        <w:spacing w:line="276" w:lineRule="auto"/>
        <w:ind w:hanging="426"/>
        <w:jc w:val="both"/>
        <w:rPr>
          <w:rFonts w:ascii="Arial" w:cs="Arial" w:eastAsia="Arial" w:hAnsi="Arial"/>
          <w:color w:val="000000"/>
          <w:sz w:val="22"/>
          <w:szCs w:val="22"/>
        </w:rPr>
      </w:pPr>
    </w:p>
    <w:p w:rsidR="000F44CD" w:rsidRDefault="000F44CD">
      <w:pPr>
        <w:spacing w:line="276" w:lineRule="auto"/>
        <w:jc w:val="both"/>
        <w:rPr>
          <w:rFonts w:ascii="Arial" w:cs="Arial" w:eastAsia="Arial" w:hAnsi="Arial"/>
          <w:sz w:val="22"/>
          <w:szCs w:val="22"/>
        </w:rPr>
      </w:pPr>
    </w:p>
    <w:p w:rsidR="000F44CD" w:rsidRDefault="00100080">
      <w:pPr>
        <w:pStyle w:val="Heading2"/>
        <w:spacing w:line="276" w:lineRule="auto"/>
        <w:ind w:left="360"/>
        <w:jc w:val="both"/>
        <w:rPr>
          <w:sz w:val="22"/>
          <w:szCs w:val="22"/>
        </w:rPr>
      </w:pPr>
      <w:r>
        <w:rPr>
          <w:sz w:val="22"/>
          <w:szCs w:val="22"/>
        </w:rPr>
        <w:t>Article 2 : Dispositions relatives à la politique salariale 2022</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 xml:space="preserve">Les enveloppes d’augmentations par coefficients sur le salaire de base sont précisées ci-dessous pour l’année 2022 : </w:t>
      </w: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br/>
      </w:r>
    </w:p>
    <w:tbl>
      <w:tblPr>
        <w:tblW w:type="dxa" w:w="7579"/>
        <w:jc w:val="center"/>
        <w:tblLayout w:type="fixed"/>
        <w:tblCellMar>
          <w:left w:type="dxa" w:w="113"/>
        </w:tblCellMar>
        <w:tblLook w:val="0000"/>
      </w:tblPr>
      <w:tblGrid>
        <w:gridCol w:w="1745"/>
        <w:gridCol w:w="2308"/>
        <w:gridCol w:w="2431"/>
        <w:gridCol w:w="1095"/>
      </w:tblGrid>
      <w:tr w:rsidR="000F44CD">
        <w:trPr>
          <w:trHeight w:val="397"/>
          <w:jc w:val="center"/>
        </w:trPr>
        <w:tc>
          <w:tcPr>
            <w:tcW w:type="dxa" w:w="1745"/>
            <w:tcBorders>
              <w:top w:color="000000" w:space="0" w:sz="4" w:val="single"/>
              <w:left w:color="000000" w:space="0" w:sz="4" w:val="single"/>
              <w:bottom w:color="000000" w:space="0" w:sz="4" w:val="single"/>
              <w:right w:color="000000" w:space="0" w:sz="4" w:val="single"/>
            </w:tcBorders>
            <w:shd w:color="auto" w:fill="92D050" w:val="clear"/>
            <w:vAlign w:val="center"/>
          </w:tcPr>
          <w:p w:rsidR="000F44CD" w:rsidRDefault="00100080">
            <w:pPr>
              <w:spacing w:line="276" w:lineRule="auto"/>
              <w:jc w:val="center"/>
              <w:rPr>
                <w:rFonts w:ascii="Arial" w:cs="Arial" w:eastAsia="Arial" w:hAnsi="Arial"/>
                <w:b/>
                <w:color w:val="000000"/>
                <w:sz w:val="22"/>
                <w:szCs w:val="22"/>
              </w:rPr>
            </w:pPr>
            <w:r>
              <w:rPr>
                <w:rFonts w:ascii="Arial" w:cs="Arial" w:eastAsia="Arial" w:hAnsi="Arial"/>
                <w:b/>
                <w:color w:val="000000"/>
                <w:sz w:val="22"/>
                <w:szCs w:val="22"/>
              </w:rPr>
              <w:t>Catégories</w:t>
            </w:r>
          </w:p>
        </w:tc>
        <w:tc>
          <w:tcPr>
            <w:tcW w:type="dxa" w:w="2308"/>
            <w:tcBorders>
              <w:top w:color="000000" w:space="0" w:sz="4" w:val="single"/>
              <w:left w:color="000000" w:space="0" w:sz="4" w:val="single"/>
              <w:bottom w:color="000000" w:space="0" w:sz="4" w:val="single"/>
              <w:right w:color="000000" w:space="0" w:sz="4" w:val="single"/>
            </w:tcBorders>
            <w:shd w:color="auto" w:fill="92D050" w:val="clear"/>
            <w:vAlign w:val="center"/>
          </w:tcPr>
          <w:p w:rsidR="000F44CD" w:rsidRDefault="00100080">
            <w:pPr>
              <w:spacing w:line="276" w:lineRule="auto"/>
              <w:jc w:val="center"/>
              <w:rPr>
                <w:rFonts w:ascii="Arial" w:cs="Arial" w:eastAsia="Arial" w:hAnsi="Arial"/>
                <w:b/>
                <w:color w:val="000000"/>
                <w:sz w:val="22"/>
                <w:szCs w:val="22"/>
              </w:rPr>
            </w:pPr>
            <w:r>
              <w:rPr>
                <w:rFonts w:ascii="Arial" w:cs="Arial" w:eastAsia="Arial" w:hAnsi="Arial"/>
                <w:b/>
                <w:color w:val="000000"/>
                <w:sz w:val="22"/>
                <w:szCs w:val="22"/>
              </w:rPr>
              <w:t>AG</w:t>
            </w:r>
          </w:p>
        </w:tc>
        <w:tc>
          <w:tcPr>
            <w:tcW w:type="dxa" w:w="2431"/>
            <w:tcBorders>
              <w:top w:color="000000" w:space="0" w:sz="4" w:val="single"/>
              <w:left w:color="000000" w:space="0" w:sz="4" w:val="single"/>
              <w:bottom w:color="000000" w:space="0" w:sz="4" w:val="single"/>
              <w:right w:color="000000" w:space="0" w:sz="4" w:val="single"/>
            </w:tcBorders>
            <w:shd w:color="auto" w:fill="92D050" w:val="clear"/>
            <w:vAlign w:val="center"/>
          </w:tcPr>
          <w:p w:rsidR="000F44CD" w:rsidRDefault="00100080">
            <w:pPr>
              <w:spacing w:line="276" w:lineRule="auto"/>
              <w:jc w:val="center"/>
              <w:rPr>
                <w:rFonts w:ascii="Arial" w:cs="Arial" w:eastAsia="Arial" w:hAnsi="Arial"/>
                <w:b/>
                <w:color w:val="000000"/>
                <w:sz w:val="22"/>
                <w:szCs w:val="22"/>
              </w:rPr>
            </w:pPr>
            <w:r>
              <w:rPr>
                <w:rFonts w:ascii="Arial" w:cs="Arial" w:eastAsia="Arial" w:hAnsi="Arial"/>
                <w:b/>
                <w:color w:val="000000"/>
                <w:sz w:val="22"/>
                <w:szCs w:val="22"/>
              </w:rPr>
              <w:t>AI</w:t>
            </w:r>
          </w:p>
        </w:tc>
        <w:tc>
          <w:tcPr>
            <w:tcW w:type="dxa" w:w="1095"/>
            <w:tcBorders>
              <w:top w:color="000000" w:space="0" w:sz="4" w:val="single"/>
              <w:left w:color="000000" w:space="0" w:sz="4" w:val="single"/>
              <w:bottom w:color="000000" w:space="0" w:sz="4" w:val="single"/>
              <w:right w:color="000000" w:space="0" w:sz="4" w:val="single"/>
            </w:tcBorders>
            <w:shd w:color="auto" w:fill="92D050" w:val="clear"/>
            <w:vAlign w:val="center"/>
          </w:tcPr>
          <w:p w:rsidR="000F44CD" w:rsidRDefault="00100080">
            <w:pPr>
              <w:spacing w:line="276" w:lineRule="auto"/>
              <w:jc w:val="center"/>
              <w:rPr>
                <w:rFonts w:ascii="Arial" w:cs="Arial" w:eastAsia="Arial" w:hAnsi="Arial"/>
                <w:b/>
                <w:color w:val="000000"/>
                <w:sz w:val="22"/>
                <w:szCs w:val="22"/>
              </w:rPr>
            </w:pPr>
            <w:r>
              <w:rPr>
                <w:rFonts w:ascii="Arial" w:cs="Arial" w:eastAsia="Arial" w:hAnsi="Arial"/>
                <w:b/>
                <w:color w:val="000000"/>
                <w:sz w:val="22"/>
                <w:szCs w:val="22"/>
              </w:rPr>
              <w:t>Total</w:t>
            </w:r>
          </w:p>
        </w:tc>
      </w:tr>
      <w:tr w:rsidR="000F44CD">
        <w:trPr>
          <w:trHeight w:val="385"/>
          <w:jc w:val="center"/>
        </w:trPr>
        <w:tc>
          <w:tcPr>
            <w:tcW w:type="dxa" w:w="174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rPr>
                <w:rFonts w:ascii="Arial" w:cs="Arial" w:eastAsia="Arial" w:hAnsi="Arial"/>
                <w:color w:val="000000"/>
                <w:sz w:val="22"/>
                <w:szCs w:val="22"/>
              </w:rPr>
            </w:pPr>
            <w:r>
              <w:rPr>
                <w:rFonts w:ascii="Arial" w:cs="Arial" w:eastAsia="Arial" w:hAnsi="Arial"/>
                <w:color w:val="000000"/>
                <w:sz w:val="22"/>
                <w:szCs w:val="22"/>
              </w:rPr>
              <w:t xml:space="preserve">Niveaux I/II/III </w:t>
            </w:r>
          </w:p>
        </w:tc>
        <w:tc>
          <w:tcPr>
            <w:tcW w:type="dxa" w:w="2308"/>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2,8%</w:t>
            </w:r>
          </w:p>
        </w:tc>
        <w:tc>
          <w:tcPr>
            <w:tcW w:type="dxa" w:w="2431"/>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w:t>
            </w:r>
          </w:p>
        </w:tc>
        <w:tc>
          <w:tcPr>
            <w:tcW w:type="dxa" w:w="109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2,8%</w:t>
            </w:r>
          </w:p>
        </w:tc>
      </w:tr>
      <w:tr w:rsidR="000F44CD">
        <w:trPr>
          <w:trHeight w:val="385"/>
          <w:jc w:val="center"/>
        </w:trPr>
        <w:tc>
          <w:tcPr>
            <w:tcW w:type="dxa" w:w="174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rPr>
                <w:rFonts w:ascii="Arial" w:cs="Arial" w:eastAsia="Arial" w:hAnsi="Arial"/>
                <w:color w:val="000000"/>
                <w:sz w:val="22"/>
                <w:szCs w:val="22"/>
              </w:rPr>
            </w:pPr>
            <w:r>
              <w:rPr>
                <w:rFonts w:ascii="Arial" w:cs="Arial" w:eastAsia="Arial" w:hAnsi="Arial"/>
                <w:color w:val="000000"/>
                <w:sz w:val="22"/>
                <w:szCs w:val="22"/>
              </w:rPr>
              <w:t xml:space="preserve">Niveaux IV </w:t>
            </w:r>
          </w:p>
        </w:tc>
        <w:tc>
          <w:tcPr>
            <w:tcW w:type="dxa" w:w="2308"/>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2,3%</w:t>
            </w:r>
          </w:p>
        </w:tc>
        <w:tc>
          <w:tcPr>
            <w:tcW w:type="dxa" w:w="2431"/>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0,5%</w:t>
            </w:r>
          </w:p>
        </w:tc>
        <w:tc>
          <w:tcPr>
            <w:tcW w:type="dxa" w:w="109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2,8%</w:t>
            </w:r>
          </w:p>
        </w:tc>
      </w:tr>
      <w:tr w:rsidR="000F44CD">
        <w:trPr>
          <w:trHeight w:val="385"/>
          <w:jc w:val="center"/>
        </w:trPr>
        <w:tc>
          <w:tcPr>
            <w:tcW w:type="dxa" w:w="174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rPr>
                <w:rFonts w:ascii="Arial" w:cs="Arial" w:eastAsia="Arial" w:hAnsi="Arial"/>
                <w:color w:val="000000"/>
                <w:sz w:val="22"/>
                <w:szCs w:val="22"/>
              </w:rPr>
            </w:pPr>
            <w:r>
              <w:rPr>
                <w:rFonts w:ascii="Arial" w:cs="Arial" w:eastAsia="Arial" w:hAnsi="Arial"/>
                <w:color w:val="000000"/>
                <w:sz w:val="22"/>
                <w:szCs w:val="22"/>
              </w:rPr>
              <w:t xml:space="preserve">Niveaux V </w:t>
            </w:r>
          </w:p>
        </w:tc>
        <w:tc>
          <w:tcPr>
            <w:tcW w:type="dxa" w:w="2308"/>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2,3%</w:t>
            </w:r>
          </w:p>
        </w:tc>
        <w:tc>
          <w:tcPr>
            <w:tcW w:type="dxa" w:w="2431"/>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0,5%</w:t>
            </w:r>
          </w:p>
        </w:tc>
        <w:tc>
          <w:tcPr>
            <w:tcW w:type="dxa" w:w="109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2,8%</w:t>
            </w:r>
          </w:p>
        </w:tc>
      </w:tr>
      <w:tr w:rsidR="000F44CD">
        <w:trPr>
          <w:trHeight w:val="385"/>
          <w:jc w:val="center"/>
        </w:trPr>
        <w:tc>
          <w:tcPr>
            <w:tcW w:type="dxa" w:w="174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rPr>
                <w:rFonts w:ascii="Arial" w:cs="Arial" w:eastAsia="Arial" w:hAnsi="Arial"/>
                <w:color w:val="000000"/>
                <w:sz w:val="22"/>
                <w:szCs w:val="22"/>
              </w:rPr>
            </w:pPr>
            <w:r>
              <w:rPr>
                <w:rFonts w:ascii="Arial" w:cs="Arial" w:eastAsia="Arial" w:hAnsi="Arial"/>
                <w:color w:val="000000"/>
                <w:sz w:val="22"/>
                <w:szCs w:val="22"/>
              </w:rPr>
              <w:t xml:space="preserve">Cadres </w:t>
            </w:r>
          </w:p>
        </w:tc>
        <w:tc>
          <w:tcPr>
            <w:tcW w:type="dxa" w:w="2308"/>
            <w:tcBorders>
              <w:top w:color="000000" w:space="0" w:sz="4" w:val="single"/>
              <w:left w:color="000000" w:space="0" w:sz="4" w:val="single"/>
              <w:bottom w:color="000000" w:space="0" w:sz="4" w:val="single"/>
              <w:right w:color="000000" w:space="0" w:sz="4" w:val="single"/>
            </w:tcBorders>
            <w:shd w:color="auto" w:fill="D9D9D9" w:val="clear"/>
            <w:vAlign w:val="center"/>
          </w:tcPr>
          <w:p w:rsidR="000F44CD" w:rsidRDefault="000F44CD">
            <w:pPr>
              <w:spacing w:line="276" w:lineRule="auto"/>
              <w:rPr>
                <w:rFonts w:ascii="Arial" w:cs="Arial" w:eastAsia="Arial" w:hAnsi="Arial"/>
                <w:color w:val="000000"/>
                <w:sz w:val="22"/>
                <w:szCs w:val="22"/>
                <w:shd w:color="auto" w:fill="D9D9D9" w:val="clear"/>
              </w:rPr>
            </w:pPr>
          </w:p>
        </w:tc>
        <w:tc>
          <w:tcPr>
            <w:tcW w:type="dxa" w:w="2431"/>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2,8%</w:t>
            </w:r>
          </w:p>
        </w:tc>
        <w:tc>
          <w:tcPr>
            <w:tcW w:type="dxa" w:w="1095"/>
            <w:tcBorders>
              <w:top w:color="000000" w:space="0" w:sz="4" w:val="single"/>
              <w:left w:color="000000" w:space="0" w:sz="4" w:val="single"/>
              <w:bottom w:color="000000" w:space="0" w:sz="4" w:val="single"/>
              <w:right w:color="000000" w:space="0" w:sz="4" w:val="single"/>
            </w:tcBorders>
            <w:vAlign w:val="center"/>
          </w:tcPr>
          <w:p w:rsidR="000F44CD" w:rsidRDefault="00100080">
            <w:pPr>
              <w:spacing w:line="276" w:lineRule="auto"/>
              <w:jc w:val="center"/>
              <w:rPr>
                <w:rFonts w:ascii="Arial" w:cs="Arial" w:eastAsia="Arial" w:hAnsi="Arial"/>
                <w:sz w:val="22"/>
                <w:szCs w:val="22"/>
              </w:rPr>
            </w:pPr>
            <w:r>
              <w:rPr>
                <w:rFonts w:ascii="Arial" w:cs="Arial" w:eastAsia="Arial" w:hAnsi="Arial"/>
                <w:sz w:val="22"/>
                <w:szCs w:val="22"/>
              </w:rPr>
              <w:t>2,8%</w:t>
            </w:r>
          </w:p>
        </w:tc>
      </w:tr>
    </w:tbl>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 xml:space="preserve">Avec l’application d’un talon de 50 euros sur Augmentation Générale pour l’ensemble des niveaux de I à V. </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lastRenderedPageBreak/>
        <w:t>Le processus des augmentations générales et individuelles fera l’objet d’une application sur la paie du mois d’avril, rétroactif au 1er janvier 2022</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Les augmentations individuelles prendront chaque fois en compte l’appréciation du management, au regard de la maîtrise du poste occupé, de l’élargissement des compétences et/ou de la mission ainsi que du potentiel d’évolution. Il sera également apporté u</w:t>
      </w:r>
      <w:r>
        <w:rPr>
          <w:rFonts w:ascii="Arial" w:cs="Arial" w:eastAsia="Arial" w:hAnsi="Arial"/>
          <w:sz w:val="22"/>
          <w:szCs w:val="22"/>
        </w:rPr>
        <w:t xml:space="preserve">ne attention particulière dans la répartition des augmentations individuelles 2022 aux écarts de rémunération entre les hommes et les femmes. </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Les bénéficiaires d’une augmentation individuelle des niveaux I/II/III/IV/V se verront remettre un courrier dans</w:t>
      </w:r>
      <w:r>
        <w:rPr>
          <w:rFonts w:ascii="Arial" w:cs="Arial" w:eastAsia="Arial" w:hAnsi="Arial"/>
          <w:sz w:val="22"/>
          <w:szCs w:val="22"/>
        </w:rPr>
        <w:t xml:space="preserve"> lequel seront mentionnés les montants des augmentations générales et individuelles. </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 xml:space="preserve">Par ailleurs, l’ensemble des salariés, y compris les personnes n’ayant pas eu d’augmentation individuelle, sera reçu par sa hiérarchie pour un entretien explicatif. </w:t>
      </w:r>
    </w:p>
    <w:p w:rsidR="000F44CD" w:rsidRDefault="000F44CD">
      <w:pPr>
        <w:spacing w:line="276" w:lineRule="auto"/>
        <w:jc w:val="both"/>
        <w:rPr>
          <w:rFonts w:ascii="Arial" w:cs="Arial" w:eastAsia="Arial" w:hAnsi="Arial"/>
          <w:sz w:val="22"/>
          <w:szCs w:val="22"/>
        </w:rPr>
      </w:pPr>
    </w:p>
    <w:p w:rsidR="000F44CD" w:rsidRDefault="000F44CD">
      <w:pPr>
        <w:pStyle w:val="Heading2"/>
        <w:spacing w:line="276" w:lineRule="auto"/>
        <w:ind w:left="360"/>
        <w:jc w:val="both"/>
        <w:rPr>
          <w:sz w:val="22"/>
          <w:szCs w:val="22"/>
        </w:rPr>
      </w:pPr>
    </w:p>
    <w:p w:rsidR="000F44CD" w:rsidRDefault="00100080">
      <w:pPr>
        <w:pStyle w:val="Heading2"/>
        <w:spacing w:line="276" w:lineRule="auto"/>
        <w:ind w:left="360"/>
        <w:jc w:val="both"/>
        <w:rPr>
          <w:sz w:val="22"/>
          <w:szCs w:val="22"/>
        </w:rPr>
      </w:pPr>
      <w:r>
        <w:rPr>
          <w:sz w:val="22"/>
          <w:szCs w:val="22"/>
        </w:rPr>
        <w:t>A</w:t>
      </w:r>
      <w:r>
        <w:rPr>
          <w:sz w:val="22"/>
          <w:szCs w:val="22"/>
        </w:rPr>
        <w:t>rticle 3 : Autres éléments de la politique salariale</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pPr>
      <w:r>
        <w:rPr>
          <w:rFonts w:ascii="Arial" w:cs="Arial" w:eastAsia="Arial" w:hAnsi="Arial"/>
          <w:b/>
          <w:sz w:val="22"/>
          <w:szCs w:val="22"/>
          <w:shd w:color="auto" w:fill="FFFFFF" w:val="clear"/>
        </w:rPr>
        <w:t>Egalité H/F :</w:t>
      </w:r>
      <w:r>
        <w:rPr>
          <w:rFonts w:ascii="Arial" w:cs="Arial" w:eastAsia="Arial" w:hAnsi="Arial"/>
          <w:sz w:val="22"/>
          <w:szCs w:val="22"/>
          <w:shd w:color="auto" w:fill="FFFFFF" w:val="clear"/>
        </w:rPr>
        <w:t xml:space="preserve"> Tel que mentionné dans le Procès-verbal d’ouverture des négociations 2022 portant sur les écarts de rémunération entre les hommes et les femmes du 09/02/2022, la Direction a rappelé les me</w:t>
      </w:r>
      <w:r>
        <w:rPr>
          <w:rFonts w:ascii="Arial" w:cs="Arial" w:eastAsia="Arial" w:hAnsi="Arial"/>
          <w:sz w:val="22"/>
          <w:szCs w:val="22"/>
          <w:shd w:color="auto" w:fill="FFFFFF" w:val="clear"/>
        </w:rPr>
        <w:t>sures déjà mises en place sur l’année 2021 en terme de recrutement, promotion, formation et de rémunération.</w:t>
      </w:r>
    </w:p>
    <w:p w:rsidR="000F44CD" w:rsidRDefault="00100080">
      <w:pPr>
        <w:spacing w:line="276" w:lineRule="auto"/>
        <w:jc w:val="both"/>
        <w:rPr>
          <w:rFonts w:ascii="Arial" w:cs="Arial" w:eastAsia="Arial" w:hAnsi="Arial"/>
          <w:sz w:val="22"/>
          <w:szCs w:val="22"/>
          <w:shd w:color="auto" w:fill="FFFFFF" w:val="clear"/>
        </w:rPr>
      </w:pPr>
      <w:r>
        <w:rPr>
          <w:rFonts w:ascii="Arial" w:cs="Arial" w:eastAsia="Arial" w:hAnsi="Arial"/>
          <w:sz w:val="22"/>
          <w:szCs w:val="22"/>
          <w:shd w:color="auto" w:fill="FFFFFF" w:val="clear"/>
        </w:rPr>
        <w:t xml:space="preserve">Il est décidé de poursuivre la mise en œuvre des mesures prévues par l’accord Groupe et de maintenir une vigilance particulière sur les écarts de </w:t>
      </w:r>
      <w:r>
        <w:rPr>
          <w:rFonts w:ascii="Arial" w:cs="Arial" w:eastAsia="Arial" w:hAnsi="Arial"/>
          <w:sz w:val="22"/>
          <w:szCs w:val="22"/>
          <w:shd w:color="auto" w:fill="FFFFFF" w:val="clear"/>
        </w:rPr>
        <w:t>rémunération entre les femmes et les hommes.</w:t>
      </w:r>
    </w:p>
    <w:p w:rsidR="000F44CD" w:rsidRDefault="000F44CD">
      <w:pPr>
        <w:spacing w:line="276" w:lineRule="auto"/>
        <w:jc w:val="both"/>
        <w:rPr>
          <w:rFonts w:ascii="Arial" w:cs="Arial" w:eastAsia="Arial" w:hAnsi="Arial"/>
          <w:sz w:val="22"/>
          <w:szCs w:val="22"/>
          <w:shd w:color="auto" w:fill="FFFF00" w:val="clear"/>
        </w:rPr>
      </w:pPr>
    </w:p>
    <w:p w:rsidR="000F44CD" w:rsidRDefault="00100080">
      <w:pPr>
        <w:pStyle w:val="Heading2"/>
        <w:spacing w:line="276" w:lineRule="auto"/>
        <w:jc w:val="both"/>
        <w:rPr>
          <w:sz w:val="22"/>
          <w:szCs w:val="22"/>
        </w:rPr>
      </w:pPr>
      <w:r>
        <w:rPr>
          <w:sz w:val="22"/>
          <w:szCs w:val="22"/>
        </w:rPr>
        <w:t xml:space="preserve">Article 4 : Durée et entrée en vigueur de l’accord </w:t>
      </w:r>
    </w:p>
    <w:p w:rsidR="000F44CD" w:rsidRDefault="000F44CD">
      <w:pPr>
        <w:spacing w:line="276" w:lineRule="auto"/>
        <w:jc w:val="both"/>
        <w:rPr>
          <w:rFonts w:ascii="Verdana" w:cs="Verdana" w:eastAsia="Verdana" w:hAnsi="Verdana"/>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Le présent accord est conclu pour une durée déterminée à compter de la date de signature, sous réserve de l’exercice du droit d’opposition et de son dépôt au</w:t>
      </w:r>
      <w:r>
        <w:rPr>
          <w:rFonts w:ascii="Arial" w:cs="Arial" w:eastAsia="Arial" w:hAnsi="Arial"/>
          <w:sz w:val="22"/>
          <w:szCs w:val="22"/>
        </w:rPr>
        <w:t xml:space="preserve">près des instances concernées. </w:t>
      </w: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Il prendra fin de plein droit le 31 décembre 2022.</w:t>
      </w:r>
    </w:p>
    <w:p w:rsidR="000F44CD" w:rsidRDefault="000F44CD">
      <w:pPr>
        <w:spacing w:line="276" w:lineRule="auto"/>
        <w:jc w:val="both"/>
        <w:rPr>
          <w:rFonts w:ascii="Arial" w:cs="Arial" w:eastAsia="Arial" w:hAnsi="Arial"/>
          <w:sz w:val="22"/>
          <w:szCs w:val="22"/>
        </w:rPr>
      </w:pPr>
    </w:p>
    <w:p w:rsidR="000F44CD" w:rsidRDefault="00100080">
      <w:pPr>
        <w:pStyle w:val="Heading2"/>
        <w:spacing w:line="276" w:lineRule="auto"/>
        <w:jc w:val="both"/>
        <w:rPr>
          <w:sz w:val="22"/>
          <w:szCs w:val="22"/>
        </w:rPr>
      </w:pPr>
      <w:r>
        <w:rPr>
          <w:sz w:val="22"/>
          <w:szCs w:val="22"/>
        </w:rPr>
        <w:t>Article 5 : Suivi de l’accord et rendez-vous</w:t>
      </w:r>
    </w:p>
    <w:p w:rsidR="000F44CD" w:rsidRDefault="000F44CD">
      <w:pPr>
        <w:spacing w:line="276" w:lineRule="auto"/>
        <w:jc w:val="both"/>
        <w:rPr>
          <w:sz w:val="22"/>
          <w:szCs w:val="22"/>
        </w:rPr>
      </w:pPr>
    </w:p>
    <w:p w:rsidR="000F44CD" w:rsidRDefault="00100080">
      <w:pPr>
        <w:spacing w:line="276" w:lineRule="auto"/>
        <w:jc w:val="both"/>
      </w:pPr>
      <w:r>
        <w:rPr>
          <w:rFonts w:ascii="Arial" w:cs="Arial" w:eastAsia="Arial" w:hAnsi="Arial"/>
          <w:color w:val="000000"/>
          <w:sz w:val="22"/>
          <w:szCs w:val="22"/>
        </w:rPr>
        <w:t>Un suivi de l’accord sera effectué avant les prochaines négociations annuelles soit en début d’année</w:t>
      </w:r>
      <w:r>
        <w:rPr>
          <w:rFonts w:ascii="Arial" w:cs="Arial" w:eastAsia="Arial" w:hAnsi="Arial"/>
          <w:sz w:val="22"/>
          <w:szCs w:val="22"/>
        </w:rPr>
        <w:t xml:space="preserve"> 2023</w:t>
      </w:r>
      <w:r>
        <w:rPr>
          <w:rFonts w:ascii="Arial" w:cs="Arial" w:eastAsia="Arial" w:hAnsi="Arial"/>
          <w:color w:val="000000"/>
          <w:sz w:val="22"/>
          <w:szCs w:val="22"/>
        </w:rPr>
        <w:t xml:space="preserve">. </w:t>
      </w:r>
    </w:p>
    <w:p w:rsidR="000F44CD" w:rsidRDefault="000F44CD">
      <w:pPr>
        <w:spacing w:line="276" w:lineRule="auto"/>
        <w:jc w:val="both"/>
        <w:rPr>
          <w:rFonts w:ascii="Arial" w:cs="Arial" w:eastAsia="Arial" w:hAnsi="Arial"/>
          <w:sz w:val="22"/>
          <w:szCs w:val="22"/>
        </w:rPr>
      </w:pPr>
    </w:p>
    <w:p w:rsidR="000F44CD" w:rsidRDefault="00100080">
      <w:pPr>
        <w:spacing w:line="276" w:lineRule="auto"/>
        <w:jc w:val="both"/>
        <w:rPr>
          <w:rFonts w:ascii="Arial" w:cs="Arial" w:eastAsia="Arial" w:hAnsi="Arial"/>
          <w:b/>
          <w:sz w:val="22"/>
          <w:szCs w:val="22"/>
        </w:rPr>
      </w:pPr>
      <w:r>
        <w:rPr>
          <w:rFonts w:ascii="Arial" w:cs="Arial" w:eastAsia="Arial" w:hAnsi="Arial"/>
          <w:b/>
          <w:sz w:val="22"/>
          <w:szCs w:val="22"/>
        </w:rPr>
        <w:t>Article 6 : Dépôt</w:t>
      </w:r>
      <w:r>
        <w:rPr>
          <w:rFonts w:ascii="Arial" w:cs="Arial" w:eastAsia="Arial" w:hAnsi="Arial"/>
          <w:b/>
          <w:sz w:val="22"/>
          <w:szCs w:val="22"/>
        </w:rPr>
        <w:t xml:space="preserve"> de l’accord et publicité</w:t>
      </w:r>
    </w:p>
    <w:p w:rsidR="000F44CD" w:rsidRDefault="000F44CD">
      <w:pPr>
        <w:spacing w:line="276" w:lineRule="auto"/>
        <w:jc w:val="both"/>
        <w:rPr>
          <w:sz w:val="22"/>
          <w:szCs w:val="22"/>
        </w:rPr>
      </w:pPr>
    </w:p>
    <w:p w:rsidR="000F44CD" w:rsidRDefault="00100080">
      <w:pPr>
        <w:spacing w:line="276" w:lineRule="auto"/>
        <w:jc w:val="both"/>
        <w:rPr>
          <w:rFonts w:ascii="Arial" w:cs="Arial" w:eastAsia="Arial" w:hAnsi="Arial"/>
          <w:color w:val="000000"/>
          <w:sz w:val="22"/>
          <w:szCs w:val="22"/>
        </w:rPr>
      </w:pPr>
      <w:r>
        <w:rPr>
          <w:rFonts w:ascii="Arial" w:cs="Arial" w:eastAsia="Arial" w:hAnsi="Arial"/>
          <w:color w:val="000000"/>
          <w:sz w:val="22"/>
          <w:szCs w:val="22"/>
        </w:rPr>
        <w:t>Le présent accord sera notifié par la Direction à l’ensemble des Organisations Syndicales. Cette formalité sera effectuée : </w:t>
      </w:r>
    </w:p>
    <w:p w:rsidR="000F44CD" w:rsidRDefault="00100080">
      <w:pPr>
        <w:spacing w:line="276" w:lineRule="auto"/>
        <w:jc w:val="both"/>
        <w:rPr>
          <w:rFonts w:ascii="Arial" w:cs="Arial" w:eastAsia="Arial" w:hAnsi="Arial"/>
          <w:color w:val="000000"/>
          <w:sz w:val="22"/>
          <w:szCs w:val="22"/>
        </w:rPr>
      </w:pPr>
      <w:r>
        <w:rPr>
          <w:rFonts w:ascii="Arial" w:cs="Arial" w:eastAsia="Arial" w:hAnsi="Arial"/>
          <w:color w:val="000000"/>
          <w:sz w:val="22"/>
          <w:szCs w:val="22"/>
        </w:rPr>
        <w:t>- pour les Organisations Syndicales signataires du présent accord : par la remise d’un exemplaire de l'</w:t>
      </w:r>
      <w:r>
        <w:rPr>
          <w:rFonts w:ascii="Arial" w:cs="Arial" w:eastAsia="Arial" w:hAnsi="Arial"/>
          <w:color w:val="000000"/>
          <w:sz w:val="22"/>
          <w:szCs w:val="22"/>
        </w:rPr>
        <w:t>accord lors de sa signature,</w:t>
      </w:r>
    </w:p>
    <w:p w:rsidR="000F44CD" w:rsidRDefault="00100080">
      <w:pPr>
        <w:spacing w:line="276" w:lineRule="auto"/>
        <w:jc w:val="both"/>
        <w:rPr>
          <w:rFonts w:ascii="Arial" w:cs="Arial" w:eastAsia="Arial" w:hAnsi="Arial"/>
          <w:color w:val="000000"/>
          <w:sz w:val="22"/>
          <w:szCs w:val="22"/>
        </w:rPr>
      </w:pPr>
      <w:r>
        <w:rPr>
          <w:rFonts w:ascii="Arial" w:cs="Arial" w:eastAsia="Arial" w:hAnsi="Arial"/>
          <w:color w:val="000000"/>
          <w:sz w:val="22"/>
          <w:szCs w:val="22"/>
        </w:rPr>
        <w:t xml:space="preserve">- pour les Organisations Syndicales non signataires : par lettre recommandée avec AR dans les sept jours calendaires suivant la signature de l’avenant. </w:t>
      </w:r>
    </w:p>
    <w:p w:rsidR="000F44CD" w:rsidRDefault="000F44CD">
      <w:pPr>
        <w:pStyle w:val="Heading2"/>
        <w:spacing w:line="276" w:lineRule="auto"/>
        <w:jc w:val="both"/>
        <w:rPr>
          <w:b w:val="0"/>
          <w:sz w:val="22"/>
          <w:szCs w:val="22"/>
        </w:rPr>
      </w:pPr>
    </w:p>
    <w:p w:rsidR="000F44CD" w:rsidRDefault="00100080">
      <w:pPr>
        <w:pStyle w:val="Heading2"/>
        <w:spacing w:line="276" w:lineRule="auto"/>
        <w:jc w:val="both"/>
        <w:rPr>
          <w:b w:val="0"/>
          <w:color w:val="000000"/>
          <w:sz w:val="22"/>
          <w:szCs w:val="22"/>
        </w:rPr>
      </w:pPr>
      <w:r>
        <w:rPr>
          <w:b w:val="0"/>
          <w:color w:val="000000"/>
          <w:sz w:val="22"/>
          <w:szCs w:val="22"/>
        </w:rPr>
        <w:t xml:space="preserve">En cas d’opposition valablement exercée, le texte du présent accord sera </w:t>
      </w:r>
      <w:r>
        <w:rPr>
          <w:b w:val="0"/>
          <w:color w:val="000000"/>
          <w:sz w:val="22"/>
          <w:szCs w:val="22"/>
        </w:rPr>
        <w:t>considéré comme nul, aucune des Parties ne pouvant plus s’en prévaloir sous quelque forme que ce soit.</w:t>
      </w:r>
    </w:p>
    <w:p w:rsidR="000F44CD" w:rsidRDefault="000F44CD">
      <w:pPr>
        <w:spacing w:line="276" w:lineRule="auto"/>
        <w:ind w:left="284"/>
        <w:jc w:val="both"/>
        <w:rPr>
          <w:rFonts w:ascii="Arial" w:cs="Arial" w:eastAsia="Arial" w:hAnsi="Arial"/>
          <w:sz w:val="22"/>
          <w:szCs w:val="22"/>
        </w:rPr>
      </w:pP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A défaut d’opposition, le présent accord fera l’objet des mesures de publicité légale.</w:t>
      </w:r>
    </w:p>
    <w:p w:rsidR="000F44CD" w:rsidRDefault="00100080">
      <w:pPr>
        <w:spacing w:line="276" w:lineRule="auto"/>
        <w:jc w:val="both"/>
        <w:rPr>
          <w:rFonts w:ascii="Arial" w:cs="Arial" w:eastAsia="Arial" w:hAnsi="Arial"/>
          <w:sz w:val="22"/>
          <w:szCs w:val="22"/>
        </w:rPr>
      </w:pPr>
      <w:r>
        <w:rPr>
          <w:rFonts w:ascii="Arial" w:cs="Arial" w:eastAsia="Arial" w:hAnsi="Arial"/>
          <w:sz w:val="22"/>
          <w:szCs w:val="22"/>
        </w:rPr>
        <w:t xml:space="preserve">A ce titre et après expiration du délai d’opposition, le présent </w:t>
      </w:r>
      <w:r>
        <w:rPr>
          <w:rFonts w:ascii="Arial" w:cs="Arial" w:eastAsia="Arial" w:hAnsi="Arial"/>
          <w:sz w:val="22"/>
          <w:szCs w:val="22"/>
        </w:rPr>
        <w:t>accord sera déposé :</w:t>
      </w:r>
    </w:p>
    <w:p w:rsidR="000F44CD" w:rsidRDefault="00100080">
      <w:pPr>
        <w:keepLines/>
        <w:spacing w:line="276" w:lineRule="auto"/>
        <w:jc w:val="both"/>
        <w:rPr>
          <w:rFonts w:ascii="Arial" w:cs="Arial" w:eastAsia="Arial" w:hAnsi="Arial"/>
          <w:sz w:val="22"/>
          <w:szCs w:val="22"/>
        </w:rPr>
      </w:pPr>
      <w:r>
        <w:rPr>
          <w:rFonts w:ascii="Arial" w:cs="Arial" w:eastAsia="Arial" w:hAnsi="Arial"/>
          <w:sz w:val="22"/>
          <w:szCs w:val="22"/>
        </w:rPr>
        <w:t>- en deux exemplaires signés à la DDETS de Haute-Savoie, dont une version sur support papier et une version sur support électronique,</w:t>
      </w:r>
    </w:p>
    <w:p w:rsidR="000F44CD" w:rsidRDefault="00100080">
      <w:pPr>
        <w:keepLines/>
        <w:spacing w:line="276" w:lineRule="auto"/>
        <w:jc w:val="both"/>
        <w:rPr>
          <w:rFonts w:ascii="Arial" w:cs="Arial" w:eastAsia="Arial" w:hAnsi="Arial"/>
          <w:sz w:val="22"/>
          <w:szCs w:val="22"/>
        </w:rPr>
      </w:pPr>
      <w:r>
        <w:rPr>
          <w:rFonts w:ascii="Arial" w:cs="Arial" w:eastAsia="Arial" w:hAnsi="Arial"/>
          <w:sz w:val="22"/>
          <w:szCs w:val="22"/>
        </w:rPr>
        <w:t>-  en un exemplaire au secrétariat-greffe du Conseil de Prud’hommes d’Annemasse.</w:t>
      </w:r>
    </w:p>
    <w:p w:rsidR="000F44CD" w:rsidRDefault="000F44CD">
      <w:pPr>
        <w:keepLines/>
        <w:spacing w:line="276" w:lineRule="auto"/>
        <w:jc w:val="both"/>
        <w:rPr>
          <w:rFonts w:ascii="Arial" w:cs="Arial" w:eastAsia="Arial" w:hAnsi="Arial"/>
          <w:sz w:val="22"/>
          <w:szCs w:val="22"/>
        </w:rPr>
      </w:pPr>
    </w:p>
    <w:p w:rsidR="000F44CD" w:rsidRDefault="00100080">
      <w:pPr>
        <w:keepLines/>
        <w:spacing w:line="276" w:lineRule="auto"/>
        <w:jc w:val="both"/>
        <w:rPr>
          <w:rFonts w:ascii="Arial" w:cs="Arial" w:eastAsia="Arial" w:hAnsi="Arial"/>
          <w:sz w:val="22"/>
          <w:szCs w:val="22"/>
        </w:rPr>
      </w:pPr>
      <w:r>
        <w:rPr>
          <w:rFonts w:ascii="Arial" w:cs="Arial" w:eastAsia="Arial" w:hAnsi="Arial"/>
          <w:sz w:val="22"/>
          <w:szCs w:val="22"/>
        </w:rPr>
        <w:t>Le présent accord c</w:t>
      </w:r>
      <w:r>
        <w:rPr>
          <w:rFonts w:ascii="Arial" w:cs="Arial" w:eastAsia="Arial" w:hAnsi="Arial"/>
          <w:sz w:val="22"/>
          <w:szCs w:val="22"/>
        </w:rPr>
        <w:t xml:space="preserve">ollectif peut être consulté par chaque salarié auprès de la Direction des Ressources Humaines de la Société et sera diffusé par ailleurs par voie d’affichage sur les panneaux de la Direction. </w:t>
      </w:r>
    </w:p>
    <w:p w:rsidR="000F44CD" w:rsidRDefault="000F44CD">
      <w:pPr>
        <w:widowControl/>
        <w:tabs>
          <w:tab w:pos="3402" w:val="left"/>
        </w:tabs>
        <w:spacing w:line="276" w:lineRule="auto"/>
        <w:jc w:val="both"/>
        <w:rPr>
          <w:rFonts w:ascii="Arial" w:cs="Arial" w:eastAsia="Arial" w:hAnsi="Arial"/>
          <w:color w:val="000000"/>
          <w:sz w:val="22"/>
          <w:szCs w:val="22"/>
        </w:rPr>
      </w:pPr>
    </w:p>
    <w:p w:rsidR="000F44CD" w:rsidRDefault="00100080">
      <w:pPr>
        <w:widowControl/>
        <w:tabs>
          <w:tab w:pos="3402" w:val="left"/>
        </w:tabs>
        <w:spacing w:line="276" w:lineRule="auto"/>
        <w:jc w:val="both"/>
      </w:pPr>
      <w:r>
        <w:rPr>
          <w:rFonts w:ascii="Arial" w:cs="Arial" w:eastAsia="Arial" w:hAnsi="Arial"/>
          <w:color w:val="000000"/>
          <w:sz w:val="22"/>
          <w:szCs w:val="22"/>
        </w:rPr>
        <w:t xml:space="preserve">Fait à </w:t>
      </w:r>
      <w:r>
        <w:rPr>
          <w:rFonts w:ascii="Arial" w:cs="Arial" w:eastAsia="Arial" w:hAnsi="Arial"/>
          <w:sz w:val="22"/>
          <w:szCs w:val="22"/>
        </w:rPr>
        <w:t>ANNEMASSE</w:t>
      </w:r>
      <w:r>
        <w:rPr>
          <w:rFonts w:ascii="Arial" w:cs="Arial" w:eastAsia="Arial" w:hAnsi="Arial"/>
          <w:color w:val="000000"/>
          <w:sz w:val="22"/>
          <w:szCs w:val="22"/>
        </w:rPr>
        <w:t>, le</w:t>
      </w:r>
      <w:r>
        <w:rPr>
          <w:rFonts w:ascii="Arial" w:cs="Arial" w:eastAsia="Arial" w:hAnsi="Arial"/>
          <w:sz w:val="22"/>
          <w:szCs w:val="22"/>
        </w:rPr>
        <w:t xml:space="preserve"> 04/03/2022</w:t>
      </w:r>
      <w:r>
        <w:rPr>
          <w:rFonts w:ascii="Arial" w:cs="Arial" w:eastAsia="Arial" w:hAnsi="Arial"/>
          <w:color w:val="000000"/>
          <w:sz w:val="22"/>
          <w:szCs w:val="22"/>
        </w:rPr>
        <w:t>.</w:t>
      </w:r>
    </w:p>
    <w:p w:rsidR="000F44CD" w:rsidRDefault="000F44CD">
      <w:pPr>
        <w:widowControl/>
        <w:tabs>
          <w:tab w:pos="3402" w:val="left"/>
        </w:tabs>
        <w:spacing w:line="276" w:lineRule="auto"/>
        <w:ind w:left="284"/>
        <w:jc w:val="both"/>
        <w:rPr>
          <w:rFonts w:ascii="Arial" w:cs="Arial" w:eastAsia="Arial" w:hAnsi="Arial"/>
          <w:color w:val="000000"/>
          <w:sz w:val="22"/>
          <w:szCs w:val="22"/>
        </w:rPr>
      </w:pPr>
    </w:p>
    <w:p w:rsidP="00610254" w:rsidR="00610254" w:rsidRDefault="00610254">
      <w:pPr>
        <w:widowControl/>
        <w:tabs>
          <w:tab w:pos="3402" w:val="left"/>
        </w:tabs>
        <w:spacing w:line="276" w:lineRule="auto"/>
        <w:jc w:val="both"/>
        <w:rPr>
          <w:rFonts w:ascii="Arial" w:cs="Arial" w:eastAsia="Arial" w:hAnsi="Arial"/>
          <w:color w:val="000000"/>
          <w:sz w:val="22"/>
          <w:szCs w:val="22"/>
        </w:rPr>
      </w:pPr>
      <w:r>
        <w:rPr>
          <w:rFonts w:ascii="Arial" w:cs="Arial" w:eastAsia="Arial" w:hAnsi="Arial"/>
          <w:color w:val="000000"/>
          <w:sz w:val="22"/>
          <w:szCs w:val="22"/>
        </w:rPr>
        <w:t>Pour la Direction</w:t>
      </w:r>
    </w:p>
    <w:p w:rsidP="00610254" w:rsidR="00610254" w:rsidRDefault="00610254">
      <w:pPr>
        <w:widowControl/>
        <w:tabs>
          <w:tab w:pos="3402" w:val="left"/>
        </w:tabs>
        <w:spacing w:line="276" w:lineRule="auto"/>
        <w:jc w:val="both"/>
        <w:rPr>
          <w:rFonts w:ascii="Arial" w:cs="Arial" w:eastAsia="Arial" w:hAnsi="Arial"/>
          <w:color w:val="000000"/>
          <w:sz w:val="22"/>
          <w:szCs w:val="22"/>
        </w:rPr>
      </w:pPr>
      <w:r>
        <w:rPr>
          <w:rFonts w:ascii="Arial" w:cs="Arial" w:eastAsia="Arial" w:hAnsi="Arial"/>
          <w:color w:val="000000"/>
          <w:sz w:val="22"/>
          <w:szCs w:val="22"/>
        </w:rPr>
        <w:t>, Directrice du site</w:t>
      </w:r>
    </w:p>
    <w:p w:rsidP="00610254" w:rsidR="00610254" w:rsidRDefault="00610254">
      <w:pPr>
        <w:widowControl/>
        <w:tabs>
          <w:tab w:pos="3402" w:val="left"/>
        </w:tabs>
        <w:spacing w:line="276" w:lineRule="auto"/>
        <w:jc w:val="both"/>
        <w:rPr>
          <w:rFonts w:ascii="Arial" w:cs="Arial" w:eastAsia="Arial" w:hAnsi="Arial"/>
          <w:color w:val="000000"/>
          <w:sz w:val="22"/>
          <w:szCs w:val="22"/>
        </w:rPr>
      </w:pPr>
    </w:p>
    <w:p w:rsidP="00610254" w:rsidR="00610254" w:rsidRDefault="00610254">
      <w:pPr>
        <w:widowControl/>
        <w:tabs>
          <w:tab w:pos="3402" w:val="left"/>
        </w:tabs>
        <w:spacing w:line="276" w:lineRule="auto"/>
        <w:jc w:val="both"/>
        <w:rPr>
          <w:rFonts w:ascii="Arial" w:cs="Arial" w:eastAsia="Arial" w:hAnsi="Arial"/>
          <w:color w:val="000000"/>
          <w:sz w:val="22"/>
          <w:szCs w:val="22"/>
        </w:rPr>
      </w:pPr>
      <w:r>
        <w:rPr>
          <w:rFonts w:ascii="Arial" w:cs="Arial" w:eastAsia="Arial" w:hAnsi="Arial"/>
          <w:color w:val="000000"/>
          <w:sz w:val="22"/>
          <w:szCs w:val="22"/>
        </w:rPr>
        <w:t>, Responsable des Ressources Humaines de la Société DAV SAS</w:t>
      </w:r>
    </w:p>
    <w:p w:rsidR="00610254" w:rsidRDefault="00610254">
      <w:pPr>
        <w:widowControl/>
        <w:tabs>
          <w:tab w:pos="3402" w:val="left"/>
        </w:tabs>
        <w:spacing w:line="276" w:lineRule="auto"/>
        <w:rPr>
          <w:rFonts w:ascii="Arial" w:cs="Arial" w:eastAsia="Arial" w:hAnsi="Arial"/>
          <w:b/>
          <w:color w:val="000000"/>
          <w:sz w:val="22"/>
          <w:szCs w:val="22"/>
        </w:rPr>
      </w:pPr>
    </w:p>
    <w:p w:rsidR="00610254" w:rsidRDefault="00610254">
      <w:pPr>
        <w:widowControl/>
        <w:tabs>
          <w:tab w:pos="3402" w:val="left"/>
        </w:tabs>
        <w:spacing w:line="276" w:lineRule="auto"/>
        <w:rPr>
          <w:rFonts w:ascii="Arial" w:cs="Arial" w:eastAsia="Arial" w:hAnsi="Arial"/>
          <w:color w:val="000000"/>
          <w:sz w:val="22"/>
          <w:szCs w:val="22"/>
        </w:rPr>
      </w:pPr>
    </w:p>
    <w:p w:rsidR="00610254" w:rsidRDefault="00610254" w:rsidRPr="00610254">
      <w:pPr>
        <w:widowControl/>
        <w:tabs>
          <w:tab w:pos="3402" w:val="left"/>
        </w:tabs>
        <w:spacing w:line="276" w:lineRule="auto"/>
        <w:rPr>
          <w:rFonts w:ascii="Arial" w:cs="Arial" w:eastAsia="Arial" w:hAnsi="Arial"/>
          <w:color w:val="000000"/>
          <w:sz w:val="22"/>
          <w:szCs w:val="22"/>
        </w:rPr>
      </w:pPr>
      <w:r>
        <w:rPr>
          <w:rFonts w:ascii="Arial" w:cs="Arial" w:eastAsia="Arial" w:hAnsi="Arial"/>
          <w:color w:val="000000"/>
          <w:sz w:val="22"/>
          <w:szCs w:val="22"/>
        </w:rPr>
        <w:t xml:space="preserve">, </w:t>
      </w:r>
      <w:r w:rsidRPr="00610254">
        <w:rPr>
          <w:rFonts w:ascii="Arial" w:cs="Arial" w:eastAsia="Arial" w:hAnsi="Arial"/>
          <w:color w:val="000000"/>
          <w:sz w:val="22"/>
          <w:szCs w:val="22"/>
        </w:rPr>
        <w:t>Pour l’organisation syndicale CFDT</w:t>
      </w:r>
    </w:p>
    <w:p w:rsidR="00610254" w:rsidRDefault="00610254" w:rsidRPr="00610254">
      <w:pPr>
        <w:widowControl/>
        <w:tabs>
          <w:tab w:pos="3402" w:val="left"/>
        </w:tabs>
        <w:spacing w:line="276" w:lineRule="auto"/>
        <w:rPr>
          <w:rFonts w:ascii="Arial" w:cs="Arial" w:eastAsia="Arial" w:hAnsi="Arial"/>
          <w:color w:val="000000"/>
          <w:sz w:val="22"/>
          <w:szCs w:val="22"/>
        </w:rPr>
      </w:pPr>
    </w:p>
    <w:p w:rsidR="00610254" w:rsidRDefault="00610254">
      <w:pPr>
        <w:widowControl/>
        <w:tabs>
          <w:tab w:pos="3402" w:val="left"/>
        </w:tabs>
        <w:spacing w:line="276" w:lineRule="auto"/>
        <w:rPr>
          <w:rFonts w:ascii="Arial" w:cs="Arial" w:eastAsia="Arial" w:hAnsi="Arial"/>
          <w:color w:val="000000"/>
          <w:sz w:val="22"/>
          <w:szCs w:val="22"/>
        </w:rPr>
      </w:pPr>
    </w:p>
    <w:p w:rsidR="000F44CD" w:rsidRDefault="00610254">
      <w:pPr>
        <w:widowControl/>
        <w:tabs>
          <w:tab w:pos="3402" w:val="left"/>
        </w:tabs>
        <w:spacing w:line="276" w:lineRule="auto"/>
        <w:rPr>
          <w:rFonts w:ascii="Arial" w:cs="Arial" w:eastAsia="Arial" w:hAnsi="Arial"/>
          <w:b/>
          <w:color w:val="000000"/>
          <w:sz w:val="22"/>
          <w:szCs w:val="22"/>
        </w:rPr>
      </w:pPr>
      <w:r>
        <w:rPr>
          <w:rFonts w:ascii="Arial" w:cs="Arial" w:eastAsia="Arial" w:hAnsi="Arial"/>
          <w:color w:val="000000"/>
          <w:sz w:val="22"/>
          <w:szCs w:val="22"/>
        </w:rPr>
        <w:t xml:space="preserve">, </w:t>
      </w:r>
      <w:r w:rsidRPr="00610254">
        <w:rPr>
          <w:rFonts w:ascii="Arial" w:cs="Arial" w:eastAsia="Arial" w:hAnsi="Arial"/>
          <w:color w:val="000000"/>
          <w:sz w:val="22"/>
          <w:szCs w:val="22"/>
        </w:rPr>
        <w:t>Pour l’organisation syndicale CFE CGC</w:t>
      </w:r>
      <w:r w:rsidR="00100080">
        <w:rPr>
          <w:rFonts w:ascii="Arial" w:cs="Arial" w:eastAsia="Arial" w:hAnsi="Arial"/>
          <w:b/>
          <w:color w:val="000000"/>
          <w:sz w:val="22"/>
          <w:szCs w:val="22"/>
        </w:rPr>
        <w:br/>
      </w:r>
    </w:p>
    <w:sectPr w:rsidR="000F44CD" w:rsidSect="000F44CD">
      <w:headerReference r:id="rId6" w:type="default"/>
      <w:footerReference r:id="rId7" w:type="default"/>
      <w:pgSz w:h="16838" w:w="11906"/>
      <w:pgMar w:bottom="1418" w:footer="720" w:gutter="0" w:header="720" w:left="1418" w:right="1418" w:top="777"/>
      <w:pgNumType w:start="1"/>
      <w:cols w:space="720"/>
      <w:formProt w:val="0"/>
      <w:docGrid w:charSpace="8192"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080" w:rsidRDefault="00100080" w:rsidP="000F44CD">
      <w:r>
        <w:separator/>
      </w:r>
    </w:p>
  </w:endnote>
  <w:endnote w:type="continuationSeparator" w:id="0">
    <w:p w:rsidR="00100080" w:rsidRDefault="00100080" w:rsidP="000F44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inux Libertine G">
    <w:panose1 w:val="02000503000000000000"/>
    <w:charset w:val="00"/>
    <w:family w:val="auto"/>
    <w:pitch w:val="variable"/>
    <w:sig w:usb0="E0000AFF" w:usb1="5200E5FB" w:usb2="02000020" w:usb3="00000000" w:csb0="000001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F44CD" w:rsidRDefault="000F44CD">
    <w:pPr>
      <w:widowControl/>
      <w:tabs>
        <w:tab w:pos="4320" w:val="center"/>
        <w:tab w:pos="8640" w:val="right"/>
      </w:tabs>
      <w:jc w:val="center"/>
    </w:pPr>
    <w:r>
      <w:fldChar w:fldCharType="begin"/>
    </w:r>
    <w:r w:rsidR="00100080">
      <w:instrText>PAGE</w:instrText>
    </w:r>
    <w:r>
      <w:fldChar w:fldCharType="separate"/>
    </w:r>
    <w:r w:rsidR="00610254">
      <w:rPr>
        <w:noProof/>
      </w:rPr>
      <w:t>3</w:t>
    </w:r>
    <w:r>
      <w:fldChar w:fldCharType="end"/>
    </w:r>
    <w:r w:rsidR="00100080">
      <w:rPr>
        <w:rFonts w:ascii="Arial" w:cs="Arial" w:eastAsia="Arial" w:hAnsi="Arial"/>
        <w:color w:val="000000"/>
        <w:sz w:val="18"/>
        <w:szCs w:val="18"/>
      </w:rPr>
      <w:t>/</w:t>
    </w:r>
    <w:r w:rsidR="00100080">
      <w:rPr>
        <w:rFonts w:ascii="Arial" w:cs="Arial" w:eastAsia="Arial" w:hAnsi="Arial"/>
        <w:sz w:val="18"/>
        <w:szCs w:val="18"/>
      </w:rPr>
      <w:t>3</w:t>
    </w:r>
  </w:p>
  <w:p w:rsidR="000F44CD" w:rsidRDefault="000F44CD">
    <w:pPr>
      <w:widowControl/>
      <w:tabs>
        <w:tab w:pos="4320" w:val="center"/>
        <w:tab w:pos="8640" w:val="right"/>
      </w:tabs>
      <w:jc w:val="center"/>
      <w:rPr>
        <w:sz w:val="22"/>
        <w:szCs w:val="22"/>
      </w:rPr>
    </w:pPr>
  </w:p>
  <w:p w:rsidR="000F44CD" w:rsidRDefault="000F44CD">
    <w:pPr>
      <w:widowControl/>
      <w:tabs>
        <w:tab w:pos="4320" w:val="center"/>
        <w:tab w:pos="8640" w:val="right"/>
      </w:tabs>
      <w:jc w:val="center"/>
      <w:rPr>
        <w:rFonts w:ascii="Arial" w:cs="Arial" w:eastAsia="Arial" w:hAnsi="Arial"/>
        <w:color w:val="000000"/>
        <w:sz w:val="18"/>
        <w:szCs w:val="18"/>
      </w:rPr>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0F44CD" w:rsidR="00100080" w:rsidRDefault="00100080">
      <w:r>
        <w:separator/>
      </w:r>
    </w:p>
  </w:footnote>
  <w:footnote w:id="0" w:type="continuationSeparator">
    <w:p w:rsidP="000F44CD" w:rsidR="00100080" w:rsidRDefault="00100080">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0F44CD" w:rsidRDefault="000F44CD">
    <w:pPr>
      <w:rPr>
        <w:rFonts w:ascii="Arial" w:cs="Arial" w:eastAsia="Arial" w:hAnsi="Arial"/>
        <w:color w:val="FF0000"/>
      </w:rPr>
    </w:pPr>
  </w:p>
</w:hdr>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defaultTabStop w:val="720"/>
  <w:autoHyphenation/>
  <w:hyphenationZone w:val="425"/>
  <w:characterSpacingControl w:val="doNotCompress"/>
  <w:footnotePr>
    <w:footnote w:id="-1"/>
    <w:footnote w:id="0"/>
  </w:footnotePr>
  <w:endnotePr>
    <w:endnote w:id="-1"/>
    <w:endnote w:id="0"/>
  </w:endnotePr>
  <w:compat>
    <w:doNotExpandShiftReturn/>
  </w:compat>
  <w:rsids>
    <w:rsidRoot w:val="000F44CD"/>
    <w:rsid w:val="000F44CD"/>
    <w:rsid w:val="00100080"/>
    <w:rsid w:val="00610254"/>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cs="Linux Libertine G" w:eastAsia="Linux Libertine G" w:hAnsi="Calibri"/>
        <w:lang w:bidi="hi-IN" w:eastAsia="zh-CN" w:val="fr-FR"/>
      </w:rPr>
    </w:rPrDefault>
    <w:pPrDefault>
      <w:pPr>
        <w:suppressAutoHyphens/>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0F44CD"/>
    <w:pPr>
      <w:widowControl w:val="0"/>
    </w:p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Heading1" w:type="paragraph">
    <w:name w:val="Heading 1"/>
    <w:basedOn w:val="LO-normal"/>
    <w:next w:val="Normal"/>
    <w:qFormat/>
    <w:rsid w:val="000F44CD"/>
    <w:pPr>
      <w:keepNext/>
    </w:pPr>
    <w:rPr>
      <w:rFonts w:ascii="Arial" w:cs="Arial" w:eastAsia="Arial" w:hAnsi="Arial"/>
      <w:sz w:val="24"/>
      <w:szCs w:val="24"/>
    </w:rPr>
  </w:style>
  <w:style w:customStyle="1" w:styleId="Heading2" w:type="paragraph">
    <w:name w:val="Heading 2"/>
    <w:basedOn w:val="LO-normal"/>
    <w:next w:val="Normal"/>
    <w:qFormat/>
    <w:rsid w:val="000F44CD"/>
    <w:pPr>
      <w:keepNext/>
    </w:pPr>
    <w:rPr>
      <w:rFonts w:ascii="Arial" w:cs="Arial" w:eastAsia="Arial" w:hAnsi="Arial"/>
      <w:b/>
      <w:sz w:val="24"/>
      <w:szCs w:val="24"/>
    </w:rPr>
  </w:style>
  <w:style w:customStyle="1" w:styleId="Heading3" w:type="paragraph">
    <w:name w:val="Heading 3"/>
    <w:basedOn w:val="LO-normal"/>
    <w:next w:val="Normal"/>
    <w:qFormat/>
    <w:rsid w:val="000F44CD"/>
    <w:pPr>
      <w:keepNext/>
      <w:keepLines/>
      <w:spacing w:after="80" w:before="280"/>
    </w:pPr>
    <w:rPr>
      <w:b/>
      <w:sz w:val="28"/>
      <w:szCs w:val="28"/>
    </w:rPr>
  </w:style>
  <w:style w:customStyle="1" w:styleId="Heading4" w:type="paragraph">
    <w:name w:val="Heading 4"/>
    <w:basedOn w:val="LO-normal"/>
    <w:next w:val="Normal"/>
    <w:qFormat/>
    <w:rsid w:val="000F44CD"/>
    <w:pPr>
      <w:keepNext/>
      <w:keepLines/>
      <w:spacing w:after="40" w:before="240"/>
    </w:pPr>
    <w:rPr>
      <w:b/>
      <w:sz w:val="24"/>
      <w:szCs w:val="24"/>
    </w:rPr>
  </w:style>
  <w:style w:customStyle="1" w:styleId="Heading5" w:type="paragraph">
    <w:name w:val="Heading 5"/>
    <w:basedOn w:val="LO-normal"/>
    <w:next w:val="Normal"/>
    <w:qFormat/>
    <w:rsid w:val="000F44CD"/>
    <w:pPr>
      <w:keepNext/>
      <w:keepLines/>
      <w:spacing w:before="40"/>
    </w:pPr>
    <w:rPr>
      <w:rFonts w:ascii="Cambria" w:cs="Cambria" w:eastAsia="Cambria" w:hAnsi="Cambria"/>
      <w:color w:val="366091"/>
    </w:rPr>
  </w:style>
  <w:style w:customStyle="1" w:styleId="Heading6" w:type="paragraph">
    <w:name w:val="Heading 6"/>
    <w:basedOn w:val="LO-normal"/>
    <w:next w:val="Normal"/>
    <w:qFormat/>
    <w:rsid w:val="000F44CD"/>
    <w:pPr>
      <w:keepNext/>
      <w:keepLines/>
      <w:spacing w:after="40" w:before="200"/>
    </w:pPr>
    <w:rPr>
      <w:b/>
    </w:rPr>
  </w:style>
  <w:style w:styleId="Titre" w:type="paragraph">
    <w:name w:val="Title"/>
    <w:basedOn w:val="LO-normal"/>
    <w:next w:val="Corpsdetexte"/>
    <w:qFormat/>
    <w:rsid w:val="000F44CD"/>
    <w:pPr>
      <w:ind w:left="1701" w:right="2268"/>
      <w:jc w:val="center"/>
    </w:pPr>
    <w:rPr>
      <w:rFonts w:ascii="Arial" w:cs="Arial" w:eastAsia="Arial" w:hAnsi="Arial"/>
      <w:sz w:val="40"/>
      <w:szCs w:val="40"/>
    </w:rPr>
  </w:style>
  <w:style w:styleId="Corpsdetexte" w:type="paragraph">
    <w:name w:val="Body Text"/>
    <w:basedOn w:val="Normal"/>
    <w:rsid w:val="000F44CD"/>
    <w:pPr>
      <w:spacing w:after="140" w:line="276" w:lineRule="auto"/>
    </w:pPr>
  </w:style>
  <w:style w:styleId="Liste" w:type="paragraph">
    <w:name w:val="List"/>
    <w:basedOn w:val="Corpsdetexte"/>
    <w:rsid w:val="000F44CD"/>
  </w:style>
  <w:style w:customStyle="1" w:styleId="Caption" w:type="paragraph">
    <w:name w:val="Caption"/>
    <w:basedOn w:val="Normal"/>
    <w:qFormat/>
    <w:rsid w:val="000F44CD"/>
    <w:pPr>
      <w:suppressLineNumbers/>
      <w:spacing w:after="120" w:before="120"/>
    </w:pPr>
    <w:rPr>
      <w:i/>
      <w:iCs/>
      <w:sz w:val="24"/>
      <w:szCs w:val="24"/>
    </w:rPr>
  </w:style>
  <w:style w:customStyle="1" w:styleId="Index" w:type="paragraph">
    <w:name w:val="Index"/>
    <w:basedOn w:val="Normal"/>
    <w:qFormat/>
    <w:rsid w:val="000F44CD"/>
    <w:pPr>
      <w:suppressLineNumbers/>
    </w:pPr>
  </w:style>
  <w:style w:customStyle="1" w:styleId="LO-normal" w:type="paragraph">
    <w:name w:val="LO-normal"/>
    <w:qFormat/>
    <w:rsid w:val="000F44CD"/>
  </w:style>
  <w:style w:styleId="Sous-titre" w:type="paragraph">
    <w:name w:val="Subtitle"/>
    <w:basedOn w:val="LO-normal"/>
    <w:next w:val="Normal"/>
    <w:qFormat/>
    <w:rsid w:val="000F44CD"/>
    <w:pPr>
      <w:keepNext/>
      <w:keepLines/>
      <w:spacing w:after="80" w:before="360"/>
    </w:pPr>
    <w:rPr>
      <w:rFonts w:ascii="Georgia" w:cs="Georgia" w:eastAsia="Georgia" w:hAnsi="Georgia"/>
      <w:i/>
      <w:color w:val="666666"/>
      <w:sz w:val="48"/>
      <w:szCs w:val="48"/>
    </w:rPr>
  </w:style>
  <w:style w:customStyle="1" w:styleId="En-tteetpieddepage" w:type="paragraph">
    <w:name w:val="En-tête et pied de page"/>
    <w:basedOn w:val="Normal"/>
    <w:qFormat/>
    <w:rsid w:val="000F44CD"/>
    <w:pPr>
      <w:suppressLineNumbers/>
      <w:tabs>
        <w:tab w:pos="4819" w:val="center"/>
        <w:tab w:pos="9638" w:val="right"/>
      </w:tabs>
    </w:pPr>
  </w:style>
  <w:style w:customStyle="1" w:styleId="Header" w:type="paragraph">
    <w:name w:val="Header"/>
    <w:basedOn w:val="Normal"/>
    <w:rsid w:val="000F44CD"/>
  </w:style>
  <w:style w:customStyle="1" w:styleId="Footer" w:type="paragraph">
    <w:name w:val="Footer"/>
    <w:basedOn w:val="Normal"/>
    <w:rsid w:val="000F44CD"/>
  </w:style>
  <w:style w:customStyle="1" w:styleId="Contenudetableau" w:type="paragraph">
    <w:name w:val="Contenu de tableau"/>
    <w:basedOn w:val="Normal"/>
    <w:qFormat/>
    <w:rsid w:val="000F44CD"/>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735</Words>
  <Characters>4043</Characters>
  <Application>Microsoft Office Word</Application>
  <DocSecurity>0</DocSecurity>
  <Lines>33</Lines>
  <Paragraphs>9</Paragraphs>
  <ScaleCrop>false</ScaleCrop>
  <Company>MSS</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2022-04-14T08:55:00Z</dcterms:created>
  <dc:language>fr-FR</dc:language>
  <dcterms:modified xsi:type="dcterms:W3CDTF">2022-04-14T08:55:00Z</dcterms:modified>
  <cp:revision>2</cp:revision>
</cp:coreProperties>
</file>