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1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812"/>
      </w:tblGrid>
      <w:tr>
        <w:trPr/>
        <w:tc>
          <w:tcPr>
            <w:tcW w:w="98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val="clear"/>
            <w:tcMar>
              <w:left w:w="103" w:type="dxa"/>
            </w:tcMar>
          </w:tcPr>
          <w:p>
            <w:pPr>
              <w:pStyle w:val="Normal"/>
              <w:snapToGrid w:val="false"/>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Procès-verbal d’accord</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au titre des négociations annuelles obligatoires 2022</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au sein de la société</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tc>
      </w:tr>
    </w:tbl>
    <w:p>
      <w:pPr>
        <w:pStyle w:val="Normal"/>
        <w:spacing w:before="120" w:after="120"/>
        <w:jc w:val="both"/>
        <w:rPr/>
      </w:pPr>
      <w:r>
        <w:rPr>
          <w:rFonts w:cs="Times New Roman" w:ascii="Times New Roman" w:hAnsi="Times New Roman"/>
          <w:sz w:val="24"/>
          <w:szCs w:val="24"/>
        </w:rPr>
        <w:t xml:space="preserve">Conformément aux dispositions de l’article L.2242-1 du Code du travail, la Direction de la société et les organisations syndicales représentatives au sein de la société se sont réunies dans le cadre des négociations annuelles obligatoires portant sur les salaires, les effectifs, la durée et l’organisation du temps de travail, la prévoyance et l’égalité professionnelle.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Les négociations se sont tenues suivant le calendrier initialement prévu.</w:t>
      </w:r>
    </w:p>
    <w:p>
      <w:pPr>
        <w:pStyle w:val="Normal"/>
        <w:autoSpaceDE w:val="false"/>
        <w:spacing w:before="120" w:after="120"/>
        <w:jc w:val="both"/>
        <w:rPr>
          <w:rFonts w:ascii="Times New Roman" w:hAnsi="Times New Roman" w:eastAsia="MS Mincho;ＭＳ 明朝" w:cs="Times New Roman"/>
          <w:sz w:val="24"/>
          <w:szCs w:val="24"/>
          <w:lang w:eastAsia="ja-JP"/>
        </w:rPr>
      </w:pPr>
      <w:r>
        <w:rPr>
          <w:rFonts w:eastAsia="MS Mincho;ＭＳ 明朝" w:cs="Times New Roman" w:ascii="Times New Roman" w:hAnsi="Times New Roman"/>
          <w:sz w:val="24"/>
          <w:szCs w:val="24"/>
          <w:lang w:eastAsia="ja-JP"/>
        </w:rPr>
        <w:t xml:space="preserve">Au cours de la première réunion, la Direction a présenté le planning de réunions ainsi que les éléments relevant </w:t>
      </w:r>
      <w:r>
        <w:rPr>
          <w:rFonts w:eastAsia="MS Mincho;ＭＳ 明朝" w:cs="Times New Roman" w:ascii="Times New Roman" w:hAnsi="Times New Roman"/>
          <w:sz w:val="24"/>
          <w:szCs w:val="24"/>
        </w:rPr>
        <w:t>de la documentation obligatoire et relatifs à:</w:t>
      </w:r>
    </w:p>
    <w:p>
      <w:pPr>
        <w:pStyle w:val="Normal"/>
        <w:spacing w:before="120" w:after="120"/>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tab/>
        <w:t xml:space="preserve">- L’information sur les salaires effectifs; </w:t>
      </w:r>
    </w:p>
    <w:p>
      <w:pPr>
        <w:pStyle w:val="Normal"/>
        <w:spacing w:before="120" w:after="120"/>
        <w:rPr/>
      </w:pPr>
      <w:r>
        <w:rPr>
          <w:rFonts w:eastAsia="MS Mincho;ＭＳ 明朝" w:cs="Times New Roman" w:ascii="Times New Roman" w:hAnsi="Times New Roman"/>
          <w:sz w:val="24"/>
          <w:szCs w:val="24"/>
        </w:rPr>
        <w:tab/>
        <w:t>- La durée et l’organisation du temps de travail;</w:t>
      </w:r>
    </w:p>
    <w:p>
      <w:pPr>
        <w:pStyle w:val="Normal"/>
        <w:spacing w:before="120" w:after="120"/>
        <w:rPr>
          <w:rFonts w:ascii="Times New Roman" w:hAnsi="Times New Roman" w:eastAsia="MS Mincho;ＭＳ 明朝" w:cs="Times New Roman"/>
          <w:sz w:val="24"/>
          <w:szCs w:val="24"/>
        </w:rPr>
      </w:pPr>
      <w:r>
        <w:rPr>
          <w:rFonts w:eastAsia="MS Mincho;ＭＳ 明朝" w:cs="Times New Roman" w:ascii="Times New Roman" w:hAnsi="Times New Roman"/>
          <w:sz w:val="24"/>
          <w:szCs w:val="24"/>
        </w:rPr>
        <w:tab/>
        <w:t>- L’épargne salariale;</w:t>
      </w:r>
    </w:p>
    <w:p>
      <w:pPr>
        <w:pStyle w:val="Normal"/>
        <w:autoSpaceDE w:val="false"/>
        <w:spacing w:before="120" w:after="120"/>
        <w:ind w:left="720" w:hanging="0"/>
        <w:jc w:val="both"/>
        <w:rPr>
          <w:rFonts w:ascii="Times New Roman" w:hAnsi="Times New Roman" w:cs="Times New Roman"/>
          <w:sz w:val="24"/>
          <w:szCs w:val="24"/>
        </w:rPr>
      </w:pPr>
      <w:r>
        <w:rPr>
          <w:rFonts w:cs="Times New Roman" w:ascii="Times New Roman" w:hAnsi="Times New Roman"/>
          <w:sz w:val="24"/>
          <w:szCs w:val="24"/>
        </w:rPr>
        <w:t>- L’égalité professionnelle; la QVT ;</w:t>
      </w:r>
    </w:p>
    <w:p>
      <w:pPr>
        <w:pStyle w:val="Normal"/>
        <w:autoSpaceDE w:val="false"/>
        <w:spacing w:before="120" w:after="120"/>
        <w:ind w:left="720" w:hanging="0"/>
        <w:jc w:val="both"/>
        <w:rPr/>
      </w:pPr>
      <w:r>
        <w:rPr>
          <w:rFonts w:cs="Times New Roman" w:ascii="Times New Roman" w:hAnsi="Times New Roman"/>
          <w:sz w:val="24"/>
          <w:szCs w:val="24"/>
        </w:rPr>
        <w:t>- L’emploi en faveur des salariés âgés;</w:t>
      </w:r>
    </w:p>
    <w:p>
      <w:pPr>
        <w:pStyle w:val="Normal"/>
        <w:autoSpaceDE w:val="false"/>
        <w:spacing w:before="120" w:after="120"/>
        <w:ind w:left="720" w:hanging="0"/>
        <w:jc w:val="both"/>
        <w:rPr>
          <w:rFonts w:ascii="Times New Roman" w:hAnsi="Times New Roman" w:cs="Times New Roman"/>
          <w:sz w:val="24"/>
          <w:szCs w:val="24"/>
        </w:rPr>
      </w:pPr>
      <w:r>
        <w:rPr>
          <w:rFonts w:cs="Times New Roman" w:ascii="Times New Roman" w:hAnsi="Times New Roman"/>
          <w:sz w:val="24"/>
          <w:szCs w:val="24"/>
        </w:rPr>
        <w:t xml:space="preserve">- Le régime de prévoyance. </w:t>
      </w:r>
    </w:p>
    <w:p>
      <w:pPr>
        <w:pStyle w:val="Normal"/>
        <w:spacing w:before="120" w:after="120"/>
        <w:jc w:val="both"/>
        <w:rPr>
          <w:rFonts w:ascii="Times New Roman" w:hAnsi="Times New Roman" w:eastAsia="MS Mincho;ＭＳ 明朝" w:cs="Times New Roman"/>
          <w:sz w:val="24"/>
          <w:szCs w:val="24"/>
          <w:lang w:eastAsia="ja-JP"/>
        </w:rPr>
      </w:pPr>
      <w:r>
        <w:rPr>
          <w:rFonts w:eastAsia="MS Mincho;ＭＳ 明朝" w:cs="Times New Roman" w:ascii="Times New Roman" w:hAnsi="Times New Roman"/>
          <w:sz w:val="24"/>
          <w:szCs w:val="24"/>
          <w:lang w:eastAsia="ja-JP"/>
        </w:rPr>
        <w:t>Au terme de ces réunions, les parties signataires ont réussi à conclure un accord et décident de mettre un terme aux négociations annuelles obligatoires par la signature d’un procès-verbal d’accord.</w:t>
      </w:r>
    </w:p>
    <w:p>
      <w:pPr>
        <w:pStyle w:val="Normal"/>
        <w:jc w:val="both"/>
        <w:rPr>
          <w:rFonts w:ascii="Times New Roman" w:hAnsi="Times New Roman" w:eastAsia="MS Mincho;ＭＳ 明朝" w:cs="Times New Roman"/>
          <w:sz w:val="24"/>
          <w:szCs w:val="24"/>
          <w:lang w:eastAsia="ja-JP"/>
        </w:rPr>
      </w:pPr>
      <w:r>
        <w:rPr>
          <w:rFonts w:eastAsia="MS Mincho;ＭＳ 明朝" w:cs="Times New Roman" w:ascii="Times New Roman" w:hAnsi="Times New Roman"/>
          <w:sz w:val="24"/>
          <w:szCs w:val="24"/>
          <w:lang w:eastAsia="ja-JP"/>
        </w:rPr>
        <w:t>La société, en accord avec ses valeurs, poursuit sa politique de fidélisation des collaborateurs, notamment en augmentant leur pouvoir d’achat par différentes actions tout en garantissant l’égalité traitement entre les hommes et les femmes et entre les collaborateurs.</w:t>
      </w:r>
    </w:p>
    <w:p>
      <w:pPr>
        <w:pStyle w:val="Normal"/>
        <w:jc w:val="both"/>
        <w:rPr>
          <w:rFonts w:ascii="Times New Roman" w:hAnsi="Times New Roman" w:eastAsia="MS Mincho;ＭＳ 明朝" w:cs="Times New Roman"/>
          <w:sz w:val="24"/>
          <w:szCs w:val="24"/>
          <w:lang w:eastAsia="ja-JP"/>
        </w:rPr>
      </w:pPr>
      <w:r>
        <w:rPr>
          <w:rFonts w:eastAsia="MS Mincho;ＭＳ 明朝" w:cs="Times New Roman" w:ascii="Times New Roman" w:hAnsi="Times New Roman"/>
          <w:sz w:val="24"/>
          <w:szCs w:val="24"/>
          <w:lang w:eastAsia="ja-JP"/>
        </w:rPr>
      </w:r>
    </w:p>
    <w:p>
      <w:pPr>
        <w:pStyle w:val="Normal"/>
        <w:jc w:val="both"/>
        <w:rPr>
          <w:rFonts w:ascii="Times New Roman" w:hAnsi="Times New Roman" w:eastAsia="MS Mincho;ＭＳ 明朝" w:cs="Times New Roman"/>
          <w:sz w:val="24"/>
          <w:szCs w:val="24"/>
          <w:lang w:eastAsia="ja-JP"/>
        </w:rPr>
      </w:pPr>
      <w:r>
        <w:rPr>
          <w:rFonts w:eastAsia="MS Mincho;ＭＳ 明朝" w:cs="Times New Roman" w:ascii="Times New Roman" w:hAnsi="Times New Roman"/>
          <w:sz w:val="24"/>
          <w:szCs w:val="24"/>
          <w:lang w:eastAsia="ja-JP"/>
        </w:rPr>
        <w:t>Les mesures prévues par le présent accord sont applicables à l’ensemble des collaborateurs de la société, sous réserve des conditions d’éligibilité et/ou d’attributions spécifiques à chaque mesure.</w:t>
      </w:r>
    </w:p>
    <w:p>
      <w:pPr>
        <w:pStyle w:val="Normal"/>
        <w:jc w:val="both"/>
        <w:rPr>
          <w:rFonts w:ascii="Times New Roman" w:hAnsi="Times New Roman" w:eastAsia="MS Mincho;ＭＳ 明朝" w:cs="Times New Roman"/>
          <w:sz w:val="24"/>
          <w:szCs w:val="24"/>
          <w:lang w:eastAsia="ja-JP"/>
        </w:rPr>
      </w:pPr>
      <w:r>
        <w:rPr>
          <w:rFonts w:eastAsia="MS Mincho;ＭＳ 明朝" w:cs="Times New Roman" w:ascii="Times New Roman" w:hAnsi="Times New Roman"/>
          <w:sz w:val="24"/>
          <w:szCs w:val="24"/>
          <w:lang w:eastAsia="ja-JP"/>
        </w:rPr>
      </w:r>
    </w:p>
    <w:p>
      <w:pPr>
        <w:pStyle w:val="Normal"/>
        <w:spacing w:before="120" w:after="120"/>
        <w:jc w:val="both"/>
        <w:rPr>
          <w:rFonts w:ascii="Times New Roman" w:hAnsi="Times New Roman" w:cs="Times New Roman"/>
          <w:b/>
          <w:b/>
          <w:sz w:val="24"/>
          <w:szCs w:val="24"/>
        </w:rPr>
      </w:pPr>
      <w:r>
        <w:rPr>
          <w:rFonts w:eastAsia="MS Mincho;ＭＳ 明朝" w:cs="Times New Roman" w:ascii="Times New Roman" w:hAnsi="Times New Roman"/>
          <w:sz w:val="24"/>
          <w:szCs w:val="24"/>
          <w:lang w:eastAsia="ja-JP"/>
        </w:rPr>
        <w:t>En conséquence, sont actées dans ce procès-verbal les propositions respectives et les conclusions des parties.</w:t>
      </w:r>
    </w:p>
    <w:p>
      <w:pPr>
        <w:pStyle w:val="Normal"/>
        <w:spacing w:before="120" w:after="120"/>
        <w:jc w:val="both"/>
        <w:rPr>
          <w:rFonts w:ascii="Times New Roman" w:hAnsi="Times New Roman" w:cs="Times New Roman"/>
          <w:sz w:val="24"/>
          <w:szCs w:val="24"/>
          <w:u w:val="single"/>
        </w:rPr>
      </w:pPr>
      <w:r>
        <w:rPr>
          <w:rFonts w:cs="Times New Roman" w:ascii="Times New Roman" w:hAnsi="Times New Roman"/>
          <w:b/>
          <w:sz w:val="24"/>
          <w:szCs w:val="24"/>
        </w:rPr>
        <w:t>Article 1/</w:t>
      </w:r>
      <w:r>
        <w:rPr>
          <w:rFonts w:cs="Times New Roman" w:ascii="Times New Roman" w:hAnsi="Times New Roman"/>
          <w:sz w:val="24"/>
          <w:szCs w:val="24"/>
        </w:rPr>
        <w:t xml:space="preserve"> </w:t>
      </w:r>
      <w:r>
        <w:rPr>
          <w:rFonts w:cs="Times New Roman" w:ascii="Times New Roman" w:hAnsi="Times New Roman"/>
          <w:b/>
          <w:sz w:val="24"/>
          <w:szCs w:val="24"/>
          <w:u w:val="single"/>
        </w:rPr>
        <w:t>Mesures salariales</w:t>
      </w:r>
    </w:p>
    <w:p>
      <w:pPr>
        <w:pStyle w:val="Normal"/>
        <w:spacing w:before="120" w:after="120"/>
        <w:jc w:val="both"/>
        <w:rPr/>
      </w:pPr>
      <w:r>
        <w:rPr>
          <w:rFonts w:cs="Times New Roman" w:ascii="Times New Roman" w:hAnsi="Times New Roman"/>
          <w:sz w:val="24"/>
          <w:szCs w:val="24"/>
        </w:rPr>
        <w:t xml:space="preserve">La Direction propose </w:t>
      </w:r>
      <w:r>
        <w:rPr>
          <w:rFonts w:cs="Times New Roman" w:ascii="Times New Roman" w:hAnsi="Times New Roman"/>
          <w:sz w:val="24"/>
          <w:szCs w:val="24"/>
          <w:lang w:eastAsia="ja-JP"/>
        </w:rPr>
        <w:t xml:space="preserve">pour l’année 2022, </w:t>
      </w:r>
      <w:r>
        <w:rPr>
          <w:rFonts w:cs="Times New Roman" w:ascii="Times New Roman" w:hAnsi="Times New Roman"/>
          <w:sz w:val="24"/>
          <w:szCs w:val="24"/>
        </w:rPr>
        <w:t>d’allouer une enveloppe d’augmentation de la masse salariale comme suit :</w:t>
      </w:r>
    </w:p>
    <w:p>
      <w:pPr>
        <w:pStyle w:val="Normal"/>
        <w:numPr>
          <w:ilvl w:val="1"/>
          <w:numId w:val="2"/>
        </w:numPr>
        <w:spacing w:before="120" w:after="120"/>
        <w:jc w:val="both"/>
        <w:rPr>
          <w:rFonts w:ascii="Times New Roman" w:hAnsi="Times New Roman" w:cs="Times New Roman"/>
          <w:b/>
          <w:b/>
          <w:sz w:val="24"/>
          <w:szCs w:val="24"/>
        </w:rPr>
      </w:pPr>
      <w:r>
        <w:rPr>
          <w:rFonts w:cs="Times New Roman" w:ascii="Times New Roman" w:hAnsi="Times New Roman"/>
          <w:b/>
          <w:sz w:val="24"/>
          <w:szCs w:val="24"/>
        </w:rPr>
        <w:tab/>
        <w:t>Revalorisation du salaire annuel de base brut de l’ensemble du personnel : à compter du 01 avril 2021</w:t>
      </w:r>
    </w:p>
    <w:p>
      <w:pPr>
        <w:pStyle w:val="Normal"/>
        <w:spacing w:before="120" w:after="120"/>
        <w:jc w:val="both"/>
        <w:rPr>
          <w:rFonts w:ascii="Times New Roman" w:hAnsi="Times New Roman" w:cs="Times New Roman"/>
          <w:sz w:val="24"/>
        </w:rPr>
      </w:pPr>
      <w:r>
        <w:rPr>
          <w:rFonts w:cs="Times New Roman" w:ascii="Times New Roman" w:hAnsi="Times New Roman"/>
          <w:sz w:val="24"/>
          <w:szCs w:val="24"/>
        </w:rPr>
        <w:t>La Direction propose d’attribuer au titre de l’année 2022, une enveloppe d’augmentation de la masse salariale annuelle de base brute de CONFIDENTIEL pour les salariés éligibles (CONFIDENTIEL pour les revalorisations individuelles, CONFIDENTIEL au titre des promotions, ajustements marché).</w:t>
      </w:r>
      <w:r>
        <w:rPr>
          <w:rFonts w:cs="Times New Roman" w:ascii="Times New Roman" w:hAnsi="Times New Roman"/>
          <w:sz w:val="24"/>
        </w:rPr>
        <w:t xml:space="preserve"> </w:t>
      </w:r>
    </w:p>
    <w:p>
      <w:pPr>
        <w:pStyle w:val="Normal"/>
        <w:spacing w:before="120" w:after="120"/>
        <w:jc w:val="both"/>
        <w:rPr>
          <w:rFonts w:ascii="Times New Roman" w:hAnsi="Times New Roman" w:cs="Times New Roman"/>
          <w:sz w:val="24"/>
        </w:rPr>
      </w:pPr>
      <w:r>
        <w:rPr>
          <w:rFonts w:cs="Times New Roman" w:ascii="Times New Roman" w:hAnsi="Times New Roman"/>
          <w:sz w:val="24"/>
          <w:szCs w:val="24"/>
          <w:lang w:eastAsia="ja-JP"/>
        </w:rPr>
        <w:t>La Direction précise que les revalorisations seront individuelles. Elles</w:t>
      </w:r>
      <w:r>
        <w:rPr>
          <w:rFonts w:cs="Times New Roman" w:ascii="Times New Roman" w:hAnsi="Times New Roman"/>
          <w:sz w:val="24"/>
          <w:szCs w:val="24"/>
        </w:rPr>
        <w:t xml:space="preserve"> seront notamment fonction (i) des demandes des responsables hiérarchiques, (ii) de la performance individuelle accomplie au cours de l’année 2020, (iii) du niveau des salaires au regard du marché du travail, (iv) des éventuelles modifications intervenues dans un poste ou à venir, enfin (v) de la v</w:t>
      </w:r>
      <w:r>
        <w:rPr>
          <w:rFonts w:cs="Times New Roman" w:ascii="Times New Roman" w:hAnsi="Times New Roman"/>
          <w:sz w:val="24"/>
        </w:rPr>
        <w:t>alorisation de certains salaires pour rééquilibrage inter-service.</w:t>
      </w:r>
    </w:p>
    <w:p>
      <w:pPr>
        <w:pStyle w:val="Normal"/>
        <w:spacing w:before="120" w:after="120"/>
        <w:jc w:val="both"/>
        <w:rPr>
          <w:rFonts w:ascii="Times New Roman" w:hAnsi="Times New Roman" w:cs="Times New Roman"/>
          <w:sz w:val="24"/>
          <w:szCs w:val="24"/>
          <w:lang w:eastAsia="ja-JP"/>
        </w:rPr>
      </w:pPr>
      <w:r>
        <w:rPr>
          <w:rFonts w:cs="Times New Roman" w:ascii="Times New Roman" w:hAnsi="Times New Roman"/>
          <w:sz w:val="24"/>
          <w:szCs w:val="24"/>
          <w:lang w:eastAsia="ja-JP"/>
        </w:rPr>
        <w:t>Le délégué syndical approuve cette décision.</w:t>
      </w:r>
    </w:p>
    <w:p>
      <w:pPr>
        <w:pStyle w:val="Normal"/>
        <w:numPr>
          <w:ilvl w:val="1"/>
          <w:numId w:val="2"/>
        </w:numPr>
        <w:spacing w:before="120" w:after="120"/>
        <w:jc w:val="both"/>
        <w:rPr>
          <w:rFonts w:ascii="Times New Roman" w:hAnsi="Times New Roman" w:cs="Times New Roman"/>
          <w:b/>
          <w:b/>
          <w:sz w:val="24"/>
          <w:szCs w:val="24"/>
        </w:rPr>
      </w:pPr>
      <w:r>
        <w:rPr>
          <w:rFonts w:cs="Times New Roman" w:ascii="Times New Roman" w:hAnsi="Times New Roman"/>
          <w:b/>
          <w:sz w:val="24"/>
          <w:szCs w:val="24"/>
        </w:rPr>
        <w:t>Abondement de l’entreprise sur le PEE-PERCO</w:t>
      </w:r>
    </w:p>
    <w:p>
      <w:pPr>
        <w:pStyle w:val="Normal"/>
        <w:spacing w:before="120" w:after="120"/>
        <w:jc w:val="both"/>
        <w:rPr>
          <w:rFonts w:ascii="Times New Roman" w:hAnsi="Times New Roman" w:cs="Times New Roman"/>
          <w:sz w:val="24"/>
          <w:szCs w:val="24"/>
          <w:lang w:eastAsia="ja-JP"/>
        </w:rPr>
      </w:pPr>
      <w:r>
        <w:rPr>
          <w:rFonts w:cs="Times New Roman" w:ascii="Times New Roman" w:hAnsi="Times New Roman"/>
          <w:sz w:val="24"/>
          <w:szCs w:val="24"/>
          <w:lang w:eastAsia="ja-JP"/>
        </w:rPr>
        <w:t>Le délégué syndical souhaite que l’entreprise mette en place un abondement sur le PEE-PERCO.</w:t>
      </w:r>
    </w:p>
    <w:p>
      <w:pPr>
        <w:pStyle w:val="Normal"/>
        <w:spacing w:before="120" w:after="120"/>
        <w:jc w:val="both"/>
        <w:rPr/>
      </w:pPr>
      <w:r>
        <w:rPr>
          <w:rFonts w:cs="Times New Roman" w:ascii="Times New Roman" w:hAnsi="Times New Roman"/>
          <w:sz w:val="24"/>
          <w:szCs w:val="24"/>
        </w:rPr>
        <w:t xml:space="preserve">La Direction </w:t>
      </w:r>
      <w:r>
        <w:rPr>
          <w:rFonts w:cs="Times New Roman" w:ascii="Times New Roman" w:hAnsi="Times New Roman"/>
          <w:sz w:val="24"/>
          <w:szCs w:val="24"/>
          <w:lang w:eastAsia="ja-JP"/>
        </w:rPr>
        <w:t>ne peut malheureusement accéder favorablement à cette demande.</w:t>
      </w:r>
    </w:p>
    <w:p>
      <w:pPr>
        <w:pStyle w:val="Normal"/>
        <w:spacing w:before="120" w:after="120"/>
        <w:jc w:val="both"/>
        <w:rPr>
          <w:rFonts w:ascii="Times New Roman" w:hAnsi="Times New Roman" w:cs="Times New Roman"/>
          <w:b/>
          <w:b/>
          <w:sz w:val="24"/>
          <w:szCs w:val="24"/>
          <w:lang w:eastAsia="ja-JP"/>
        </w:rPr>
      </w:pPr>
      <w:r>
        <w:rPr>
          <w:rFonts w:cs="Times New Roman" w:ascii="Times New Roman" w:hAnsi="Times New Roman"/>
          <w:b/>
          <w:sz w:val="24"/>
          <w:szCs w:val="24"/>
          <w:lang w:eastAsia="ja-JP"/>
        </w:rPr>
        <w:t>1.3 Forfait mensuel de déplacement</w:t>
      </w:r>
    </w:p>
    <w:p>
      <w:pPr>
        <w:pStyle w:val="Normal"/>
        <w:spacing w:before="120" w:after="120"/>
        <w:jc w:val="both"/>
        <w:rPr>
          <w:rFonts w:ascii="Times New Roman" w:hAnsi="Times New Roman" w:cs="Times New Roman"/>
          <w:sz w:val="24"/>
          <w:szCs w:val="24"/>
          <w:lang w:eastAsia="ja-JP"/>
        </w:rPr>
      </w:pPr>
      <w:r>
        <w:rPr>
          <w:rFonts w:cs="Times New Roman" w:ascii="Times New Roman" w:hAnsi="Times New Roman"/>
          <w:sz w:val="24"/>
          <w:szCs w:val="24"/>
          <w:lang w:eastAsia="ja-JP"/>
        </w:rPr>
        <w:t>Le délégué syndical souhaite une revalorisation du forfait mensuel de déplacement.</w:t>
      </w:r>
    </w:p>
    <w:p>
      <w:pPr>
        <w:pStyle w:val="Normal"/>
        <w:rPr>
          <w:rFonts w:ascii="Times New Roman" w:hAnsi="Times New Roman" w:cs="Times New Roman"/>
          <w:sz w:val="24"/>
          <w:szCs w:val="24"/>
        </w:rPr>
      </w:pPr>
      <w:r>
        <w:rPr>
          <w:rFonts w:cs="Times New Roman" w:ascii="Times New Roman" w:hAnsi="Times New Roman"/>
          <w:sz w:val="24"/>
          <w:szCs w:val="24"/>
        </w:rPr>
        <w:t xml:space="preserve">La Direction rappelle que la dernière revalorisation était de 4% applicable à compter de l’année fiscale 2019. </w:t>
      </w:r>
    </w:p>
    <w:p>
      <w:pPr>
        <w:pStyle w:val="Normal"/>
        <w:rPr>
          <w:rFonts w:ascii="Times New Roman" w:hAnsi="Times New Roman" w:cs="Times New Roman"/>
          <w:sz w:val="24"/>
          <w:szCs w:val="24"/>
        </w:rPr>
      </w:pPr>
      <w:r>
        <w:rPr>
          <w:rFonts w:cs="Times New Roman" w:ascii="Times New Roman" w:hAnsi="Times New Roman"/>
          <w:sz w:val="24"/>
          <w:szCs w:val="24"/>
        </w:rPr>
        <w:t xml:space="preserve">Cependant, la Direction RH s’engage à inscrire cette demande dans le budget 2023 et de le présenter à la Direction. La Direction étudiera alors cette demande pour l’année fiscale 2023.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Le délégué syndical approuve cette décision.</w:t>
      </w:r>
    </w:p>
    <w:p>
      <w:pPr>
        <w:pStyle w:val="Normal"/>
        <w:spacing w:before="120" w:after="120"/>
        <w:jc w:val="both"/>
        <w:rPr>
          <w:rFonts w:ascii="Times New Roman" w:hAnsi="Times New Roman" w:cs="Times New Roman"/>
          <w:b/>
          <w:b/>
          <w:sz w:val="24"/>
          <w:szCs w:val="24"/>
          <w:lang w:eastAsia="ja-JP"/>
        </w:rPr>
      </w:pPr>
      <w:r>
        <w:rPr>
          <w:rFonts w:cs="Times New Roman" w:ascii="Times New Roman" w:hAnsi="Times New Roman"/>
          <w:b/>
          <w:sz w:val="24"/>
          <w:szCs w:val="24"/>
          <w:lang w:eastAsia="ja-JP"/>
        </w:rPr>
        <w:t>1.4 Indemnité de télétravail</w:t>
      </w:r>
    </w:p>
    <w:p>
      <w:pPr>
        <w:pStyle w:val="Normal"/>
        <w:spacing w:before="120" w:after="120"/>
        <w:jc w:val="both"/>
        <w:rPr>
          <w:rFonts w:ascii="Times New Roman" w:hAnsi="Times New Roman" w:cs="Times New Roman"/>
          <w:b/>
          <w:b/>
          <w:sz w:val="24"/>
          <w:szCs w:val="24"/>
          <w:lang w:eastAsia="ja-JP"/>
        </w:rPr>
      </w:pPr>
      <w:r>
        <w:rPr>
          <w:rFonts w:cs="Times New Roman" w:ascii="Times New Roman" w:hAnsi="Times New Roman"/>
          <w:sz w:val="24"/>
          <w:szCs w:val="24"/>
          <w:lang w:eastAsia="ja-JP"/>
        </w:rPr>
        <w:t>Le délégué syndical souhaite une revalorisation de l’indemnité de télétravail.</w:t>
      </w:r>
    </w:p>
    <w:p>
      <w:pPr>
        <w:pStyle w:val="Normal"/>
        <w:spacing w:before="120" w:after="120"/>
        <w:jc w:val="both"/>
        <w:rPr>
          <w:rFonts w:ascii="Times New Roman" w:hAnsi="Times New Roman" w:cs="Times New Roman"/>
          <w:sz w:val="24"/>
          <w:szCs w:val="24"/>
          <w:lang w:eastAsia="ja-JP"/>
        </w:rPr>
      </w:pPr>
      <w:r>
        <w:rPr>
          <w:rFonts w:cs="Times New Roman" w:ascii="Times New Roman" w:hAnsi="Times New Roman"/>
          <w:sz w:val="24"/>
          <w:szCs w:val="24"/>
          <w:lang w:eastAsia="ja-JP"/>
        </w:rPr>
        <w:t xml:space="preserve">La </w:t>
      </w:r>
      <w:r>
        <w:rPr>
          <w:rFonts w:cs="Times New Roman" w:ascii="Times New Roman" w:hAnsi="Times New Roman"/>
          <w:sz w:val="24"/>
          <w:szCs w:val="24"/>
        </w:rPr>
        <w:t xml:space="preserve">Direction </w:t>
      </w:r>
      <w:r>
        <w:rPr>
          <w:rFonts w:cs="Times New Roman" w:ascii="Times New Roman" w:hAnsi="Times New Roman"/>
          <w:sz w:val="24"/>
          <w:szCs w:val="24"/>
          <w:lang w:eastAsia="ja-JP"/>
        </w:rPr>
        <w:t xml:space="preserve">accède favorablement à cette demande. L’indemnité télétravail sera de </w:t>
      </w:r>
      <w:r>
        <w:rPr>
          <w:rFonts w:cs="Times New Roman" w:ascii="Times New Roman" w:hAnsi="Times New Roman"/>
          <w:sz w:val="24"/>
          <w:szCs w:val="24"/>
        </w:rPr>
        <w:t xml:space="preserve">CONFIDENTIEL </w:t>
      </w:r>
      <w:r>
        <w:rPr>
          <w:rFonts w:cs="Times New Roman" w:ascii="Times New Roman" w:hAnsi="Times New Roman"/>
          <w:sz w:val="24"/>
          <w:szCs w:val="24"/>
          <w:lang w:eastAsia="ja-JP"/>
        </w:rPr>
        <w:t xml:space="preserve">€ brut par mois soit une revalorisation de </w:t>
      </w:r>
      <w:r>
        <w:rPr>
          <w:rFonts w:cs="Times New Roman" w:ascii="Times New Roman" w:hAnsi="Times New Roman"/>
          <w:sz w:val="24"/>
          <w:szCs w:val="24"/>
        </w:rPr>
        <w:t xml:space="preserve">CONFIDENTIEL </w:t>
      </w:r>
      <w:r>
        <w:rPr>
          <w:rFonts w:cs="Times New Roman" w:ascii="Times New Roman" w:hAnsi="Times New Roman"/>
          <w:sz w:val="24"/>
          <w:szCs w:val="24"/>
          <w:lang w:eastAsia="ja-JP"/>
        </w:rPr>
        <w:t>%.</w:t>
      </w:r>
    </w:p>
    <w:p>
      <w:pPr>
        <w:pStyle w:val="Normal"/>
        <w:rPr>
          <w:rFonts w:ascii="Times New Roman" w:hAnsi="Times New Roman" w:cs="Times New Roman"/>
          <w:sz w:val="24"/>
          <w:szCs w:val="24"/>
        </w:rPr>
      </w:pPr>
      <w:r>
        <w:rPr>
          <w:rFonts w:cs="Times New Roman" w:ascii="Times New Roman" w:hAnsi="Times New Roman"/>
          <w:sz w:val="24"/>
          <w:szCs w:val="24"/>
        </w:rPr>
        <w:t>Le délégué syndical approuve cette décision.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120" w:after="120"/>
        <w:jc w:val="both"/>
        <w:rPr>
          <w:rFonts w:ascii="Times New Roman" w:hAnsi="Times New Roman" w:cs="Times New Roman"/>
          <w:b/>
          <w:b/>
          <w:sz w:val="24"/>
          <w:szCs w:val="24"/>
          <w:lang w:eastAsia="ja-JP"/>
        </w:rPr>
      </w:pPr>
      <w:r>
        <w:rPr>
          <w:rFonts w:cs="Times New Roman" w:ascii="Times New Roman" w:hAnsi="Times New Roman"/>
          <w:b/>
          <w:sz w:val="24"/>
          <w:szCs w:val="24"/>
          <w:lang w:eastAsia="ja-JP"/>
        </w:rPr>
        <w:t>1.5 Indemnité de fidélité</w:t>
      </w:r>
    </w:p>
    <w:p>
      <w:pPr>
        <w:pStyle w:val="Normal"/>
        <w:spacing w:before="120" w:after="120"/>
        <w:jc w:val="both"/>
        <w:rPr>
          <w:rFonts w:ascii="Times New Roman" w:hAnsi="Times New Roman" w:cs="Times New Roman"/>
          <w:b/>
          <w:b/>
          <w:sz w:val="24"/>
          <w:szCs w:val="24"/>
          <w:lang w:eastAsia="ja-JP"/>
        </w:rPr>
      </w:pPr>
      <w:r>
        <w:rPr>
          <w:rFonts w:cs="Times New Roman" w:ascii="Times New Roman" w:hAnsi="Times New Roman"/>
          <w:sz w:val="24"/>
          <w:szCs w:val="24"/>
          <w:lang w:eastAsia="ja-JP"/>
        </w:rPr>
        <w:t xml:space="preserve">Le délégué syndical souhaite que l’indemnité fidélité soit versée dès 10 ans pour une valeur de </w:t>
      </w:r>
      <w:r>
        <w:rPr>
          <w:rFonts w:cs="Times New Roman" w:ascii="Times New Roman" w:hAnsi="Times New Roman"/>
          <w:sz w:val="24"/>
          <w:szCs w:val="24"/>
        </w:rPr>
        <w:t>CONFIDENTIEL</w:t>
      </w:r>
      <w:r>
        <w:rPr>
          <w:rFonts w:cs="Times New Roman" w:ascii="Times New Roman" w:hAnsi="Times New Roman"/>
          <w:sz w:val="24"/>
          <w:szCs w:val="24"/>
          <w:lang w:eastAsia="ja-JP"/>
        </w:rPr>
        <w:t xml:space="preserve">, puis à 15 ans pour une valeur de </w:t>
      </w:r>
      <w:r>
        <w:rPr>
          <w:rFonts w:cs="Times New Roman" w:ascii="Times New Roman" w:hAnsi="Times New Roman"/>
          <w:sz w:val="24"/>
          <w:szCs w:val="24"/>
        </w:rPr>
        <w:t>CONFIDENTIEL</w:t>
      </w:r>
      <w:r>
        <w:rPr>
          <w:rFonts w:cs="Times New Roman" w:ascii="Times New Roman" w:hAnsi="Times New Roman"/>
          <w:sz w:val="24"/>
          <w:szCs w:val="24"/>
          <w:lang w:eastAsia="ja-JP"/>
        </w:rPr>
        <w:t>.</w:t>
      </w:r>
    </w:p>
    <w:p>
      <w:pPr>
        <w:pStyle w:val="Paragraphedeliste"/>
        <w:spacing w:before="0" w:after="0"/>
        <w:ind w:left="0" w:hanging="0"/>
        <w:rPr/>
      </w:pPr>
      <w:r>
        <w:rPr/>
        <w:t>L’indemnité fidélité a été mise en place pour la première fois en 2020, donc il y a tout juste deux ans. A cet effet, il est trop tôt pour revoir les conditions d’octroi.</w:t>
      </w:r>
    </w:p>
    <w:p>
      <w:pPr>
        <w:pStyle w:val="Paragraphedeliste"/>
        <w:spacing w:before="0" w:after="0"/>
        <w:ind w:left="0" w:hanging="0"/>
        <w:rPr>
          <w:lang w:eastAsia="ja-JP"/>
        </w:rPr>
      </w:pPr>
      <w:r>
        <w:rPr>
          <w:lang w:eastAsia="ja-JP"/>
        </w:rPr>
      </w:r>
    </w:p>
    <w:p>
      <w:pPr>
        <w:pStyle w:val="Normal"/>
        <w:rPr>
          <w:rFonts w:ascii="Times New Roman" w:hAnsi="Times New Roman" w:cs="Times New Roman"/>
          <w:sz w:val="24"/>
          <w:szCs w:val="24"/>
        </w:rPr>
      </w:pPr>
      <w:r>
        <w:rPr>
          <w:rFonts w:cs="Times New Roman" w:ascii="Times New Roman" w:hAnsi="Times New Roman"/>
          <w:sz w:val="24"/>
          <w:szCs w:val="24"/>
        </w:rPr>
        <w:t>Le délégué syndical désapprouve cette décision.</w:t>
      </w:r>
    </w:p>
    <w:p>
      <w:pPr>
        <w:pStyle w:val="Normal"/>
        <w:spacing w:before="120" w:after="120"/>
        <w:jc w:val="both"/>
        <w:rPr>
          <w:rFonts w:ascii="Times New Roman" w:hAnsi="Times New Roman" w:cs="Times New Roman"/>
          <w:b/>
          <w:b/>
          <w:sz w:val="24"/>
          <w:szCs w:val="24"/>
          <w:u w:val="single"/>
        </w:rPr>
      </w:pPr>
      <w:r>
        <w:rPr>
          <w:rFonts w:cs="Times New Roman" w:ascii="Times New Roman" w:hAnsi="Times New Roman"/>
          <w:b/>
          <w:sz w:val="24"/>
          <w:szCs w:val="24"/>
        </w:rPr>
        <w:t>Article  2/</w:t>
      </w:r>
      <w:r>
        <w:rPr>
          <w:rFonts w:cs="Times New Roman" w:ascii="Times New Roman" w:hAnsi="Times New Roman"/>
          <w:sz w:val="24"/>
          <w:szCs w:val="24"/>
        </w:rPr>
        <w:t xml:space="preserve"> </w:t>
      </w:r>
      <w:r>
        <w:rPr>
          <w:rFonts w:cs="Times New Roman" w:ascii="Times New Roman" w:hAnsi="Times New Roman"/>
          <w:b/>
          <w:sz w:val="24"/>
          <w:szCs w:val="24"/>
          <w:u w:val="single"/>
        </w:rPr>
        <w:t>Accord collectif d’entreprise portant sur la Qualité de Vie au Travail (QVT)</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Il n’y a pas eu de nouvelle demande syndicale.</w:t>
      </w:r>
    </w:p>
    <w:p>
      <w:pPr>
        <w:pStyle w:val="Normal"/>
        <w:spacing w:before="120" w:after="120"/>
        <w:jc w:val="both"/>
        <w:rPr>
          <w:rFonts w:ascii="Times New Roman" w:hAnsi="Times New Roman" w:cs="Times New Roman"/>
          <w:sz w:val="24"/>
          <w:szCs w:val="24"/>
        </w:rPr>
      </w:pPr>
      <w:r>
        <w:rPr>
          <w:rFonts w:cs="Times New Roman" w:ascii="Times New Roman" w:hAnsi="Times New Roman"/>
          <w:b/>
          <w:sz w:val="24"/>
          <w:szCs w:val="24"/>
        </w:rPr>
        <w:t>Article  3/</w:t>
      </w:r>
      <w:r>
        <w:rPr>
          <w:rFonts w:cs="Times New Roman" w:ascii="Times New Roman" w:hAnsi="Times New Roman"/>
          <w:sz w:val="24"/>
          <w:szCs w:val="24"/>
        </w:rPr>
        <w:t xml:space="preserve"> </w:t>
      </w:r>
      <w:r>
        <w:rPr>
          <w:rFonts w:cs="Times New Roman" w:ascii="Times New Roman" w:hAnsi="Times New Roman"/>
          <w:b/>
          <w:sz w:val="24"/>
          <w:szCs w:val="24"/>
          <w:u w:val="single"/>
        </w:rPr>
        <w:t>La prévoyance</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Il n’y a pas eu de nouvelle demande syndicale.</w:t>
      </w:r>
    </w:p>
    <w:p>
      <w:pPr>
        <w:pStyle w:val="Normal"/>
        <w:spacing w:before="120" w:after="120"/>
        <w:jc w:val="both"/>
        <w:rPr>
          <w:rFonts w:ascii="Times New Roman" w:hAnsi="Times New Roman" w:cs="Times New Roman"/>
          <w:b/>
          <w:b/>
          <w:sz w:val="24"/>
          <w:szCs w:val="24"/>
        </w:rPr>
      </w:pPr>
      <w:r>
        <w:rPr>
          <w:rFonts w:cs="Times New Roman" w:ascii="Times New Roman" w:hAnsi="Times New Roman"/>
          <w:b/>
          <w:sz w:val="24"/>
          <w:szCs w:val="24"/>
        </w:rPr>
        <w:t>Article 4/</w:t>
      </w:r>
      <w:r>
        <w:rPr>
          <w:rFonts w:cs="Times New Roman" w:ascii="Times New Roman" w:hAnsi="Times New Roman"/>
          <w:sz w:val="24"/>
          <w:szCs w:val="24"/>
        </w:rPr>
        <w:t xml:space="preserve"> </w:t>
      </w:r>
      <w:r>
        <w:rPr>
          <w:rFonts w:cs="Times New Roman" w:ascii="Times New Roman" w:hAnsi="Times New Roman"/>
          <w:b/>
          <w:sz w:val="24"/>
          <w:szCs w:val="24"/>
          <w:u w:val="single"/>
        </w:rPr>
        <w:t>Égalité professionnelle hommes/ femmes</w:t>
      </w:r>
    </w:p>
    <w:p>
      <w:pPr>
        <w:pStyle w:val="Normal"/>
        <w:spacing w:before="120" w:after="120"/>
        <w:jc w:val="both"/>
        <w:rPr>
          <w:rFonts w:ascii="Times New Roman" w:hAnsi="Times New Roman" w:cs="Times New Roman"/>
          <w:sz w:val="24"/>
          <w:szCs w:val="24"/>
          <w:lang w:eastAsia="ja-JP"/>
        </w:rPr>
      </w:pPr>
      <w:r>
        <w:rPr>
          <w:rFonts w:cs="Times New Roman" w:ascii="Times New Roman" w:hAnsi="Times New Roman"/>
          <w:sz w:val="24"/>
          <w:szCs w:val="24"/>
        </w:rPr>
        <w:t>Les différentes informations relatives aux rémunérations, à l’accès à la formation, aux conditions de travail, au déroulement de carrière par catégories, par service et par sexe ont montré qu’il n’y avait pas d’écarts significatifs de rémunération entre</w:t>
      </w:r>
      <w:r>
        <w:rPr>
          <w:rFonts w:cs="Times New Roman" w:ascii="Times New Roman" w:hAnsi="Times New Roman"/>
          <w:sz w:val="24"/>
          <w:szCs w:val="24"/>
          <w:lang w:eastAsia="ja-JP"/>
        </w:rPr>
        <w:t xml:space="preserve"> hommes et femmes. S’ils en existent, ces derniers sont expliqués par des raisons objectives tenant à l’ancienneté, la performance du collaborateur et le niveau de contribution. Toutefois, les écarts éventuels s’ils en existent, feront l’objet d’une attention particulière afin d’être corrigés au mieux possible.</w:t>
      </w:r>
    </w:p>
    <w:p>
      <w:pPr>
        <w:pStyle w:val="Normal"/>
        <w:spacing w:before="120" w:after="120"/>
        <w:jc w:val="both"/>
        <w:rPr>
          <w:rFonts w:ascii="Times New Roman" w:hAnsi="Times New Roman" w:cs="Times New Roman"/>
          <w:sz w:val="24"/>
          <w:szCs w:val="24"/>
          <w:lang w:eastAsia="ja-JP"/>
        </w:rPr>
      </w:pPr>
      <w:r>
        <w:rPr>
          <w:rFonts w:cs="Times New Roman" w:ascii="Times New Roman" w:hAnsi="Times New Roman"/>
          <w:sz w:val="24"/>
          <w:szCs w:val="24"/>
        </w:rPr>
        <w:t xml:space="preserve">A cet effet, la société va publier prochainement son index de l’Égalité femmes-hommes au titre de l’année 2021. </w:t>
      </w:r>
    </w:p>
    <w:p>
      <w:pPr>
        <w:pStyle w:val="Normal"/>
        <w:spacing w:before="120" w:after="120"/>
        <w:jc w:val="both"/>
        <w:rPr>
          <w:rFonts w:ascii="Times New Roman" w:hAnsi="Times New Roman" w:cs="Times New Roman"/>
          <w:sz w:val="24"/>
          <w:szCs w:val="24"/>
        </w:rPr>
      </w:pPr>
      <w:r>
        <w:rPr>
          <w:rFonts w:cs="Times New Roman" w:ascii="Times New Roman" w:hAnsi="Times New Roman"/>
          <w:sz w:val="24"/>
          <w:szCs w:val="24"/>
        </w:rPr>
        <w:t>Il n’y a pas eu de demande syndicale.</w:t>
      </w:r>
    </w:p>
    <w:p>
      <w:pPr>
        <w:pStyle w:val="Normal"/>
        <w:spacing w:before="120" w:after="120"/>
        <w:jc w:val="both"/>
        <w:rPr/>
      </w:pPr>
      <w:r>
        <w:rPr>
          <w:rFonts w:cs="Times New Roman" w:ascii="Times New Roman" w:hAnsi="Times New Roman"/>
          <w:b/>
          <w:sz w:val="24"/>
          <w:szCs w:val="24"/>
        </w:rPr>
        <w:t xml:space="preserve">Article 5/ </w:t>
      </w:r>
      <w:r>
        <w:rPr>
          <w:rFonts w:cs="Times New Roman" w:ascii="Times New Roman" w:hAnsi="Times New Roman"/>
          <w:b/>
          <w:sz w:val="24"/>
          <w:szCs w:val="24"/>
          <w:u w:val="single"/>
        </w:rPr>
        <w:t>Dispositions finales</w:t>
      </w:r>
      <w:r>
        <w:rPr>
          <w:rFonts w:cs="Times New Roman" w:ascii="Times New Roman" w:hAnsi="Times New Roman"/>
          <w:b/>
          <w:sz w:val="24"/>
          <w:szCs w:val="24"/>
        </w:rPr>
        <w:t xml:space="preserve">  </w:t>
      </w:r>
    </w:p>
    <w:p>
      <w:pPr>
        <w:pStyle w:val="Normal"/>
        <w:spacing w:before="120" w:after="120"/>
        <w:jc w:val="both"/>
        <w:rPr/>
      </w:pPr>
      <w:r>
        <w:rPr>
          <w:rFonts w:cs="Times New Roman" w:ascii="Times New Roman" w:hAnsi="Times New Roman"/>
          <w:sz w:val="24"/>
          <w:szCs w:val="24"/>
        </w:rPr>
        <w:t>Les parties conviennent d’un accord sur les présentes propositions.</w:t>
      </w:r>
    </w:p>
    <w:p>
      <w:pPr>
        <w:pStyle w:val="Normal"/>
        <w:spacing w:before="120" w:after="120"/>
        <w:jc w:val="both"/>
        <w:rPr/>
      </w:pPr>
      <w:r>
        <w:rPr>
          <w:rFonts w:cs="Times New Roman" w:ascii="Times New Roman" w:hAnsi="Times New Roman"/>
          <w:sz w:val="24"/>
          <w:szCs w:val="24"/>
        </w:rPr>
        <w:t xml:space="preserve">Les parties conviennent que la signature du présent procès-verbal d’accord marque la fin des négociations annuelles obligatoires pour l’année 2022. </w:t>
      </w:r>
    </w:p>
    <w:p>
      <w:pPr>
        <w:pStyle w:val="NormalWeb"/>
        <w:shd w:fill="FFFFFF" w:val="clear"/>
        <w:spacing w:before="0" w:after="0"/>
        <w:jc w:val="both"/>
        <w:rPr/>
      </w:pPr>
      <w:r>
        <w:rPr/>
        <w:t>Le présent accord est, à la diligence de la Société, déposé sur la plateforme de téléprocédure du ministère du travail.</w:t>
      </w:r>
    </w:p>
    <w:p>
      <w:pPr>
        <w:pStyle w:val="NormalWeb"/>
        <w:shd w:fill="FFFFFF" w:val="clear"/>
        <w:spacing w:before="0" w:after="0"/>
        <w:jc w:val="both"/>
        <w:rPr/>
      </w:pPr>
      <w:r>
        <w:rPr/>
        <w:t>Le dépôt est, également, effectué au secrétariat-greffe du conseil de prud’hommes du lieu de conclusion de l’accord par lettre recommandée avec demande d’avis de réception.</w:t>
      </w:r>
    </w:p>
    <w:p>
      <w:pPr>
        <w:pStyle w:val="Normal"/>
        <w:spacing w:before="120" w:after="120"/>
        <w:jc w:val="both"/>
        <w:rPr/>
      </w:pPr>
      <w:r>
        <w:rPr>
          <w:rFonts w:cs="Times New Roman" w:ascii="Times New Roman" w:hAnsi="Times New Roman"/>
          <w:sz w:val="24"/>
          <w:szCs w:val="24"/>
        </w:rPr>
        <w:t xml:space="preserve">Le présent procès-verbal sera transmis en un exemplaire aux différentes institutions représentatives du personnel, envoyé à l’organisation syndicale représentative au sein de la société, mis à la disposition du personnel en un exemplaire sur chaque site aux endroits habituels d’affichage réservés à la Direction. </w:t>
      </w:r>
    </w:p>
    <w:p>
      <w:pPr>
        <w:pStyle w:val="Normal"/>
        <w:rPr>
          <w:rFonts w:ascii="Times New Roman" w:hAnsi="Times New Roman" w:cs="Times New Roman"/>
          <w:sz w:val="24"/>
          <w:szCs w:val="24"/>
        </w:rPr>
      </w:pPr>
      <w:r>
        <w:rPr>
          <w:rFonts w:cs="Times New Roman" w:ascii="Times New Roman" w:hAnsi="Times New Roman"/>
          <w:sz w:val="24"/>
          <w:szCs w:val="24"/>
        </w:rPr>
        <w:t>Fait à Paris, en 8 exemplaires, le 03/02/2022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tab/>
        <w:tab/>
        <w:tab/>
        <w:tab/>
        <w:tab/>
        <w:tab/>
        <w:tab/>
      </w:r>
    </w:p>
    <w:p>
      <w:pPr>
        <w:pStyle w:val="Normal"/>
        <w:rPr/>
      </w:pPr>
      <w:r>
        <w:rPr>
          <w:rFonts w:cs="Times New Roman" w:ascii="Times New Roman" w:hAnsi="Times New Roman"/>
          <w:sz w:val="24"/>
          <w:szCs w:val="24"/>
        </w:rPr>
        <w:t xml:space="preserve">Représentant en France </w:t>
        <w:tab/>
        <w:tab/>
        <w:tab/>
        <w:tab/>
        <w:tab/>
        <w:tab/>
        <w:tab/>
        <w:t>Pour la CFDT</w:t>
      </w:r>
    </w:p>
    <w:sectPr>
      <w:headerReference w:type="default" r:id="rId2"/>
      <w:footerReference w:type="default" r:id="rId3"/>
      <w:type w:val="nextPage"/>
      <w:pgSz w:w="11906" w:h="16838"/>
      <w:pgMar w:left="902" w:right="1418" w:header="709" w:top="1077"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lang w:val="en-GB"/>
      </w:rPr>
    </w:pPr>
    <w:r>
      <w:rPr>
        <w:lang w:val="en-GB"/>
      </w:rPr>
    </w:r>
  </w:p>
  <w:p>
    <w:pPr>
      <w:pStyle w:val="Footer"/>
      <w:rPr>
        <w:rStyle w:val="PageNumber"/>
        <w:lang w:val="en-GB"/>
      </w:rPr>
    </w:pPr>
    <w:r>
      <w:rPr/>
    </w:r>
  </w:p>
  <w:p>
    <w:pPr>
      <w:pStyle w:val="Footer"/>
      <w:jc w:val="center"/>
      <w:rPr>
        <w:rStyle w:val="PageNumber"/>
        <w:lang w:val="en-GB"/>
      </w:rPr>
    </w:pPr>
    <w:r>
      <w:rPr/>
    </w:r>
  </w:p>
  <w:p>
    <w:pPr>
      <w:pStyle w:val="Footer"/>
      <w:jc w:val="center"/>
      <w:rPr/>
    </w:pPr>
    <w:r>
      <w:rPr>
        <w:rStyle w:val="PageNumber"/>
      </w:rPr>
      <w:fldChar w:fldCharType="begin"/>
    </w:r>
    <w:r>
      <w:instrText> PAGE </w:instrText>
    </w:r>
    <w:r>
      <w:fldChar w:fldCharType="separate"/>
    </w:r>
    <w:r>
      <w:t>3</w:t>
    </w:r>
    <w:r>
      <w:fldChar w:fldCharType="end"/>
    </w:r>
    <w:r>
      <w:rPr>
        <w:rStyle w:val="PageNumber"/>
      </w:rPr>
      <w:t>/</w:t>
    </w:r>
    <w:r>
      <w:rPr>
        <w:rStyle w:val="PageNumber"/>
      </w:rPr>
      <w:fldChar w:fldCharType="begin"/>
    </w:r>
    <w:r>
      <w:instrText> NUMPAGES \* ARABIC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rPr>
    </w:pPr>
    <w:r>
      <w:rPr>
        <w:b/>
        <w:bCs/>
      </w:rPr>
      <w:drawing>
        <wp:inline distT="0" distB="0" distL="0" distR="0">
          <wp:extent cx="5490845" cy="7994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11" t="-82" r="-11" b="-82"/>
                  <a:stretch>
                    <a:fillRect/>
                  </a:stretch>
                </pic:blipFill>
                <pic:spPr bwMode="auto">
                  <a:xfrm>
                    <a:off x="0" y="0"/>
                    <a:ext cx="5490845" cy="799465"/>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Arial" w:hAnsi="Arial" w:eastAsia="Times New Roman" w:cs="Arial"/>
      <w:color w:val="auto"/>
      <w:sz w:val="20"/>
      <w:szCs w:val="20"/>
      <w:lang w:val="fr-FR"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
      <w:bCs/>
      <w:sz w:val="32"/>
      <w:szCs w:val="32"/>
    </w:rPr>
  </w:style>
  <w:style w:type="character" w:styleId="WW8Num1z0">
    <w:name w:val="WW8Num1z0"/>
    <w:qFormat/>
    <w:rPr>
      <w:rFonts w:ascii="Symbol" w:hAnsi="Symbol" w:cs="Symbol"/>
    </w:rPr>
  </w:style>
  <w:style w:type="character" w:styleId="WW8Num1z1">
    <w:name w:val="WW8Num1z1"/>
    <w:qFormat/>
    <w:rPr>
      <w:rFonts w:ascii="Courier New" w:hAnsi="Courier New" w:cs="Times New Roman"/>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b w:val="false"/>
      <w:i w:val="false"/>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eastAsia="Yu Gothic;游ゴシック"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rFonts w:ascii="Wingdings" w:hAnsi="Wingdings" w:cs="Wingdings"/>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eastAsia="Times New Roman" w:cs="Times New Roman"/>
    </w:rPr>
  </w:style>
  <w:style w:type="character" w:styleId="WW8Num7z1">
    <w:name w:val="WW8Num7z1"/>
    <w:qFormat/>
    <w:rPr/>
  </w:style>
  <w:style w:type="character" w:styleId="WW8Num7z2">
    <w:name w:val="WW8Num7z2"/>
    <w:qFormat/>
    <w:rPr/>
  </w:style>
  <w:style w:type="character" w:styleId="WW8Num7z3">
    <w:name w:val="WW8Num7z3"/>
    <w:qFormat/>
    <w:rPr>
      <w:rFonts w:ascii="Arial" w:hAnsi="Arial" w:eastAsia="Times New Roman" w:cs="Arial"/>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Times New Roman"/>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Times New Roman" w:hAnsi="Times New Roman" w:eastAsia="Times New Roman" w:cs="Times New Roman"/>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Calibri"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eastAsia="Times New Roman" w:cs="Aria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Symbol" w:hAnsi="Symbol" w:cs="Symbol"/>
      <w:sz w:val="20"/>
    </w:rPr>
  </w:style>
  <w:style w:type="character" w:styleId="WW8Num27z1">
    <w:name w:val="WW8Num27z1"/>
    <w:qFormat/>
    <w:rPr>
      <w:rFonts w:ascii="Courier New" w:hAnsi="Courier New" w:cs="Courier New"/>
      <w:sz w:val="20"/>
    </w:rPr>
  </w:style>
  <w:style w:type="character" w:styleId="WW8Num27z2">
    <w:name w:val="WW8Num27z2"/>
    <w:qFormat/>
    <w:rPr>
      <w:rFonts w:ascii="Wingdings" w:hAnsi="Wingdings" w:cs="Wingdings"/>
      <w:sz w:val="20"/>
    </w:rPr>
  </w:style>
  <w:style w:type="character" w:styleId="WW8Num28z0">
    <w:name w:val="WW8Num28z0"/>
    <w:qFormat/>
    <w:rPr>
      <w:rFonts w:ascii="Times New Roman" w:hAnsi="Times New Roman" w:eastAsia="MS Mincho;ＭＳ 明朝"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VianneyELZIERE">
    <w:name w:val="Vianney ELZIERE"/>
    <w:qFormat/>
    <w:rPr>
      <w:rFonts w:ascii="Arial" w:hAnsi="Arial" w:cs="Arial"/>
      <w:color w:val="000080"/>
      <w:sz w:val="20"/>
      <w:szCs w:val="20"/>
    </w:rPr>
  </w:style>
  <w:style w:type="character" w:styleId="StrongEmphasis">
    <w:name w:val="Strong Emphasis"/>
    <w:qFormat/>
    <w:rPr>
      <w:b/>
      <w:bCs/>
    </w:rPr>
  </w:style>
  <w:style w:type="character" w:styleId="Txt">
    <w:name w:val="txt"/>
    <w:basedOn w:val="Policepardfaut"/>
    <w:qFormat/>
    <w:rPr/>
  </w:style>
  <w:style w:type="character" w:styleId="InternetLink">
    <w:name w:val="Internet Link"/>
    <w:rPr>
      <w:color w:val="0000FF"/>
      <w:u w:val="single"/>
    </w:rPr>
  </w:style>
  <w:style w:type="character" w:styleId="Emphasis">
    <w:name w:val="Emphasis"/>
    <w:qFormat/>
    <w:rPr>
      <w:i/>
      <w:iCs/>
    </w:rPr>
  </w:style>
  <w:style w:type="character" w:styleId="TextebrutCar">
    <w:name w:val="Texte brut Car"/>
    <w:qFormat/>
    <w:rPr>
      <w:rFonts w:eastAsia="Calibri"/>
      <w:sz w:val="24"/>
      <w:szCs w:val="24"/>
    </w:rPr>
  </w:style>
  <w:style w:type="character" w:styleId="EntteCar">
    <w:name w:val="En-tête Car"/>
    <w:qFormat/>
    <w:rPr>
      <w:rFonts w:ascii="Arial" w:hAnsi="Arial" w:cs="Arial"/>
    </w:rPr>
  </w:style>
  <w:style w:type="character" w:styleId="Titre1Car">
    <w:name w:val="Titre 1 Car"/>
    <w:qFormat/>
    <w:rPr>
      <w:rFonts w:ascii="Cambria" w:hAnsi="Cambria" w:eastAsia="Times New Roman" w:cs="Times New Roman"/>
      <w:b/>
      <w:bCs/>
      <w:sz w:val="32"/>
      <w:szCs w:val="3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Textebrut">
    <w:name w:val="Texte brut"/>
    <w:basedOn w:val="Normal"/>
    <w:qFormat/>
    <w:pPr/>
    <w:rPr>
      <w:rFonts w:ascii="Times New Roman" w:hAnsi="Times New Roman" w:eastAsia="Calibri" w:cs="Times New Roman"/>
      <w:sz w:val="24"/>
      <w:szCs w:val="24"/>
    </w:rPr>
  </w:style>
  <w:style w:type="paragraph" w:styleId="Paragraphedeliste">
    <w:name w:val="Paragraphe de liste"/>
    <w:basedOn w:val="Normal"/>
    <w:qFormat/>
    <w:pPr>
      <w:spacing w:before="0" w:after="0"/>
      <w:ind w:left="720" w:hanging="0"/>
      <w:contextualSpacing/>
    </w:pPr>
    <w:rPr>
      <w:rFonts w:ascii="Times New Roman" w:hAnsi="Times New Roman" w:cs="Times New Roman"/>
      <w:sz w:val="24"/>
      <w:szCs w:val="24"/>
    </w:rPr>
  </w:style>
  <w:style w:type="paragraph" w:styleId="Article1annexe">
    <w:name w:val="Article 1 annexe"/>
    <w:basedOn w:val="Normal"/>
    <w:qFormat/>
    <w:pPr>
      <w:overflowPunct w:val="false"/>
      <w:autoSpaceDE w:val="false"/>
      <w:spacing w:before="240" w:after="240"/>
      <w:jc w:val="both"/>
      <w:textAlignment w:val="baseline"/>
    </w:pPr>
    <w:rPr>
      <w:rFonts w:ascii="Times New Roman" w:hAnsi="Times New Roman" w:cs="Times New Roman"/>
      <w:b/>
      <w:sz w:val="22"/>
    </w:rPr>
  </w:style>
  <w:style w:type="paragraph" w:styleId="NormalWeb">
    <w:name w:val="Normal (Web)"/>
    <w:basedOn w:val="Normal"/>
    <w:qFormat/>
    <w:pPr>
      <w:spacing w:before="280" w:after="280"/>
    </w:pPr>
    <w:rPr>
      <w:rFonts w:ascii="Times New Roman" w:hAnsi="Times New Roman" w:cs="Times New Roman"/>
      <w:sz w:val="24"/>
      <w:szCs w:val="24"/>
    </w:rPr>
  </w:style>
  <w:style w:type="paragraph" w:styleId="Sansinterligne">
    <w:name w:val="Sans interligne"/>
    <w:qFormat/>
    <w:pPr>
      <w:widowControl/>
    </w:pPr>
    <w:rPr>
      <w:rFonts w:ascii="Arial" w:hAnsi="Arial" w:eastAsia="Times New Roman" w:cs="Arial"/>
      <w:color w:val="auto"/>
      <w:sz w:val="20"/>
      <w:szCs w:val="20"/>
      <w:lang w:val="fr-FR"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2022-02-02T16:50:00Z</dcterms:created>
  <dc:creator/>
  <dc:description/>
  <dc:language>en-GB</dc:language>
  <cp:lastModifiedBy/>
  <cp:lastPrinted>2020-05-04T15:55:00Z</cp:lastPrinted>
  <dcterms:modified xsi:type="dcterms:W3CDTF">2022-02-15T16:17:00Z</dcterms:modified>
  <cp:revision>4</cp:revision>
  <dc:subject/>
  <dc:title>Procès-verbal d’accord</dc:title>
</cp:coreProperties>
</file>