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174B0D4" w14:textId="77777777" w:rsidP="00412DE8" w:rsidR="00412DE8" w:rsidRDefault="00412DE8" w:rsidRPr="00F27C75">
      <w:pPr>
        <w:pBdr>
          <w:top w:color="000000" w:space="1" w:sz="12" w:themeColor="text1" w:val="single"/>
          <w:left w:color="000000" w:space="4" w:sz="12" w:themeColor="text1" w:val="single"/>
          <w:bottom w:color="000000" w:space="1" w:sz="12" w:themeColor="text1" w:val="single"/>
          <w:right w:color="000000" w:space="4" w:sz="12" w:themeColor="text1" w:val="single"/>
        </w:pBdr>
        <w:spacing w:after="120"/>
        <w:jc w:val="center"/>
        <w:rPr>
          <w:rFonts w:cstheme="minorHAnsi"/>
          <w:b/>
          <w:sz w:val="36"/>
          <w:szCs w:val="36"/>
        </w:rPr>
      </w:pPr>
      <w:r w:rsidRPr="00F27C75">
        <w:rPr>
          <w:rFonts w:cstheme="minorHAnsi"/>
          <w:b/>
          <w:sz w:val="36"/>
          <w:szCs w:val="36"/>
        </w:rPr>
        <w:t>ACCORD SUR LA REMUNERATION ANNUELLE</w:t>
      </w:r>
    </w:p>
    <w:p w14:paraId="14B07528" w14:textId="77777777" w:rsidP="00412DE8" w:rsidR="00412DE8" w:rsidRDefault="00412DE8" w:rsidRPr="00F27C75">
      <w:pPr>
        <w:spacing w:after="120" w:before="720"/>
        <w:jc w:val="both"/>
        <w:rPr>
          <w:rFonts w:cstheme="minorHAnsi"/>
          <w:b/>
          <w:u w:val="single"/>
        </w:rPr>
      </w:pPr>
      <w:r w:rsidRPr="00F27C75">
        <w:rPr>
          <w:rFonts w:cstheme="minorHAnsi"/>
          <w:b/>
          <w:u w:val="single"/>
        </w:rPr>
        <w:t>Entre</w:t>
      </w:r>
    </w:p>
    <w:p w14:paraId="508B4597" w14:textId="03DEA9A6" w:rsidP="00412DE8" w:rsidR="00412DE8" w:rsidRDefault="00412DE8" w:rsidRPr="00F27C75">
      <w:pPr>
        <w:spacing w:after="120"/>
        <w:jc w:val="both"/>
        <w:rPr>
          <w:rFonts w:cstheme="minorHAnsi"/>
        </w:rPr>
      </w:pPr>
      <w:r w:rsidRPr="00F27C75">
        <w:rPr>
          <w:rFonts w:cstheme="minorHAnsi"/>
          <w:b/>
          <w:bCs/>
        </w:rPr>
        <w:t>La Société TINGARI</w:t>
      </w:r>
      <w:r w:rsidRPr="00F27C75">
        <w:rPr>
          <w:rFonts w:cstheme="minorHAnsi"/>
        </w:rPr>
        <w:t xml:space="preserve">, SAS inscrite au RCS de Paris sous le n° B 479 474 306, dont le siège social est à Paris (75008), 18 rue de la Pépinière, représentée par </w:t>
      </w:r>
      <w:r w:rsidR="007266D9">
        <w:rPr>
          <w:rFonts w:cstheme="minorHAnsi"/>
        </w:rPr>
        <w:t xml:space="preserve">le </w:t>
      </w:r>
      <w:r w:rsidRPr="00F27C75">
        <w:rPr>
          <w:rFonts w:cstheme="minorHAnsi"/>
        </w:rPr>
        <w:t xml:space="preserve">Directeur des Ressources Humaines dûment habilité aux fins des présentes, </w:t>
      </w:r>
    </w:p>
    <w:p w14:paraId="09F98554" w14:textId="77777777" w:rsidP="00412DE8" w:rsidR="00412DE8" w:rsidRDefault="00412DE8" w:rsidRPr="00F27C75">
      <w:pPr>
        <w:spacing w:after="120"/>
        <w:jc w:val="both"/>
        <w:rPr>
          <w:rFonts w:cstheme="minorHAnsi"/>
        </w:rPr>
      </w:pPr>
      <w:r w:rsidRPr="00F27C75">
        <w:rPr>
          <w:rFonts w:cstheme="minorHAnsi"/>
        </w:rPr>
        <w:t>D’une part,</w:t>
      </w:r>
    </w:p>
    <w:p w14:paraId="447CA854" w14:textId="77777777" w:rsidP="00412DE8" w:rsidR="00412DE8" w:rsidRDefault="00412DE8" w:rsidRPr="00F27C75">
      <w:pPr>
        <w:spacing w:after="120"/>
        <w:jc w:val="both"/>
        <w:rPr>
          <w:rFonts w:cstheme="minorHAnsi"/>
          <w:b/>
          <w:u w:val="single"/>
        </w:rPr>
      </w:pPr>
      <w:r w:rsidRPr="00F27C75">
        <w:rPr>
          <w:rFonts w:cstheme="minorHAnsi"/>
          <w:b/>
          <w:u w:val="single"/>
        </w:rPr>
        <w:t>Et</w:t>
      </w:r>
    </w:p>
    <w:p w14:paraId="7D527CEC" w14:textId="77777777" w:rsidP="00412DE8" w:rsidR="00412DE8" w:rsidRDefault="00412DE8" w:rsidRPr="00F27C75">
      <w:pPr>
        <w:spacing w:after="120"/>
        <w:jc w:val="both"/>
        <w:rPr>
          <w:rFonts w:cstheme="minorHAnsi"/>
        </w:rPr>
      </w:pPr>
      <w:r w:rsidRPr="00F27C75">
        <w:rPr>
          <w:rFonts w:cstheme="minorHAnsi"/>
          <w:b/>
          <w:bCs/>
        </w:rPr>
        <w:t>Les Organisations Syndicales représentatives</w:t>
      </w:r>
      <w:r w:rsidRPr="00F27C75">
        <w:rPr>
          <w:rFonts w:cstheme="minorHAnsi"/>
        </w:rPr>
        <w:t xml:space="preserve"> au sein de la société, </w:t>
      </w:r>
    </w:p>
    <w:p w14:paraId="608F64D7" w14:textId="101EFFE7" w:rsidP="00412DE8" w:rsidR="00412DE8" w:rsidRDefault="00412DE8" w:rsidRPr="00F27C75">
      <w:pPr>
        <w:spacing w:after="120"/>
        <w:jc w:val="both"/>
        <w:rPr>
          <w:rFonts w:cstheme="minorHAnsi"/>
        </w:rPr>
      </w:pPr>
      <w:r w:rsidRPr="00F27C75">
        <w:rPr>
          <w:rFonts w:cstheme="minorHAnsi"/>
        </w:rPr>
        <w:t>-</w:t>
      </w:r>
      <w:r w:rsidRPr="00F27C75">
        <w:rPr>
          <w:rFonts w:cstheme="minorHAnsi"/>
        </w:rPr>
        <w:tab/>
        <w:t xml:space="preserve">CFDT, représentée par son délégué syndical dans l’entreprise, </w:t>
      </w:r>
    </w:p>
    <w:p w14:paraId="781C76BA" w14:textId="104BF60C" w:rsidP="00412DE8" w:rsidR="00412DE8" w:rsidRDefault="00412DE8" w:rsidRPr="00F27C75">
      <w:pPr>
        <w:spacing w:after="120"/>
        <w:jc w:val="both"/>
        <w:rPr>
          <w:rFonts w:cstheme="minorHAnsi"/>
        </w:rPr>
      </w:pPr>
      <w:r w:rsidRPr="00F27C75">
        <w:rPr>
          <w:rFonts w:cstheme="minorHAnsi"/>
        </w:rPr>
        <w:t>-</w:t>
      </w:r>
      <w:r w:rsidRPr="00F27C75">
        <w:rPr>
          <w:rFonts w:cstheme="minorHAnsi"/>
        </w:rPr>
        <w:tab/>
        <w:t xml:space="preserve">CFTC, représentée par sa déléguée syndicale dans l’entreprise, </w:t>
      </w:r>
    </w:p>
    <w:p w14:paraId="7703A99D" w14:textId="63464297" w:rsidP="00412DE8" w:rsidR="00412DE8" w:rsidRDefault="00412DE8" w:rsidRPr="00F27C75">
      <w:pPr>
        <w:spacing w:after="120"/>
        <w:ind w:hanging="705" w:left="705"/>
        <w:jc w:val="both"/>
        <w:rPr>
          <w:rFonts w:cstheme="minorHAnsi"/>
        </w:rPr>
      </w:pPr>
      <w:r w:rsidRPr="00F27C75">
        <w:rPr>
          <w:rFonts w:cstheme="minorHAnsi"/>
        </w:rPr>
        <w:t>-</w:t>
      </w:r>
      <w:r w:rsidRPr="00F27C75">
        <w:rPr>
          <w:rFonts w:cstheme="minorHAnsi"/>
        </w:rPr>
        <w:tab/>
        <w:t>CGT, représentée par sa déléguée syndicale dans l’entreprise, en présence d</w:t>
      </w:r>
      <w:r w:rsidR="007266D9">
        <w:rPr>
          <w:rFonts w:cstheme="minorHAnsi"/>
        </w:rPr>
        <w:t xml:space="preserve">’un élu </w:t>
      </w:r>
      <w:r w:rsidRPr="00F27C75">
        <w:rPr>
          <w:rFonts w:cstheme="minorHAnsi"/>
        </w:rPr>
        <w:t>CGT au CSE</w:t>
      </w:r>
    </w:p>
    <w:p w14:paraId="628EE98A" w14:textId="77777777" w:rsidP="00412DE8" w:rsidR="00412DE8" w:rsidRDefault="00412DE8" w:rsidRPr="00F27C75">
      <w:pPr>
        <w:spacing w:after="120"/>
        <w:jc w:val="both"/>
        <w:rPr>
          <w:rFonts w:cstheme="minorHAnsi"/>
        </w:rPr>
      </w:pPr>
      <w:r w:rsidRPr="00F27C75">
        <w:rPr>
          <w:rFonts w:cstheme="minorHAnsi"/>
        </w:rPr>
        <w:t>D’autre part,</w:t>
      </w:r>
    </w:p>
    <w:p w14:paraId="1FA23691" w14:textId="77777777" w:rsidP="00412DE8" w:rsidR="00412DE8" w:rsidRDefault="00412DE8" w:rsidRPr="00F27C75">
      <w:pPr>
        <w:spacing w:after="120" w:before="360"/>
        <w:jc w:val="both"/>
        <w:rPr>
          <w:rFonts w:cstheme="minorHAnsi"/>
          <w:b/>
        </w:rPr>
      </w:pPr>
      <w:r w:rsidRPr="00F27C75">
        <w:rPr>
          <w:rFonts w:cstheme="minorHAnsi"/>
          <w:b/>
        </w:rPr>
        <w:t>Préambule :</w:t>
      </w:r>
    </w:p>
    <w:p w14:paraId="2D140D94" w14:textId="77777777" w:rsidP="00412DE8" w:rsidR="00412DE8" w:rsidRDefault="00412DE8" w:rsidRPr="00F27C75">
      <w:pPr>
        <w:spacing w:after="120"/>
        <w:jc w:val="both"/>
        <w:rPr>
          <w:rFonts w:cstheme="minorHAnsi"/>
        </w:rPr>
      </w:pPr>
      <w:r w:rsidRPr="00F27C75">
        <w:rPr>
          <w:rFonts w:cstheme="minorHAnsi"/>
        </w:rPr>
        <w:t>Le présent accord fait suite à l’ouverture de la négociation annuelle relative à la rémunération, le temps de travail et le partage de la valeur ajoutée telle que prévue aux articles L. 2242-1 et suivants du code du travail, et plus particulièrement à l’article L. 2242-15 du même code. A cet effet, les Délégations Syndicales de l’entreprise et la Direction se sont rencontrées selon les modalités et le calendrier définis aux dates suivantes :</w:t>
      </w:r>
    </w:p>
    <w:p w14:paraId="7559A361" w14:textId="77777777" w:rsidP="00412DE8" w:rsidR="00412DE8" w:rsidRDefault="00412DE8" w:rsidRPr="00F27C75">
      <w:pPr>
        <w:pStyle w:val="Paragraphedeliste"/>
        <w:numPr>
          <w:ilvl w:val="0"/>
          <w:numId w:val="3"/>
        </w:numPr>
        <w:spacing w:after="120"/>
        <w:jc w:val="both"/>
        <w:rPr>
          <w:rFonts w:cstheme="minorHAnsi"/>
        </w:rPr>
      </w:pPr>
      <w:r w:rsidRPr="00F27C75">
        <w:rPr>
          <w:rFonts w:cstheme="minorHAnsi"/>
        </w:rPr>
        <w:t>Le 28/10/2021</w:t>
      </w:r>
    </w:p>
    <w:p w14:paraId="0ADDBE6C" w14:textId="77777777" w:rsidP="00412DE8" w:rsidR="00412DE8" w:rsidRDefault="00412DE8" w:rsidRPr="00F27C75">
      <w:pPr>
        <w:pStyle w:val="Paragraphedeliste"/>
        <w:numPr>
          <w:ilvl w:val="0"/>
          <w:numId w:val="3"/>
        </w:numPr>
        <w:spacing w:after="120"/>
        <w:jc w:val="both"/>
        <w:rPr>
          <w:rFonts w:cstheme="minorHAnsi"/>
        </w:rPr>
      </w:pPr>
      <w:r w:rsidRPr="00F27C75">
        <w:rPr>
          <w:rFonts w:cstheme="minorHAnsi"/>
        </w:rPr>
        <w:t>Le 25/11/2021</w:t>
      </w:r>
    </w:p>
    <w:p w14:paraId="77DEE436" w14:textId="77777777" w:rsidP="00412DE8" w:rsidR="00412DE8" w:rsidRDefault="00412DE8" w:rsidRPr="00F27C75">
      <w:pPr>
        <w:pStyle w:val="Paragraphedeliste"/>
        <w:numPr>
          <w:ilvl w:val="0"/>
          <w:numId w:val="3"/>
        </w:numPr>
        <w:spacing w:after="120"/>
        <w:jc w:val="both"/>
        <w:rPr>
          <w:rFonts w:cstheme="minorHAnsi"/>
        </w:rPr>
      </w:pPr>
      <w:r w:rsidRPr="00F27C75">
        <w:rPr>
          <w:rFonts w:cstheme="minorHAnsi"/>
        </w:rPr>
        <w:t>Le 22/12/2021</w:t>
      </w:r>
    </w:p>
    <w:p w14:paraId="3CE5E78D" w14:textId="77777777" w:rsidP="00412DE8" w:rsidR="00412DE8" w:rsidRDefault="00412DE8" w:rsidRPr="00F27C75">
      <w:pPr>
        <w:pStyle w:val="Paragraphedeliste"/>
        <w:numPr>
          <w:ilvl w:val="0"/>
          <w:numId w:val="3"/>
        </w:numPr>
        <w:spacing w:after="120"/>
        <w:jc w:val="both"/>
        <w:rPr>
          <w:rFonts w:cstheme="minorHAnsi"/>
        </w:rPr>
      </w:pPr>
      <w:r w:rsidRPr="00F27C75">
        <w:rPr>
          <w:rFonts w:cstheme="minorHAnsi"/>
        </w:rPr>
        <w:t>Le 14/01/2022</w:t>
      </w:r>
    </w:p>
    <w:p w14:paraId="5AF0D07B" w14:textId="77777777" w:rsidP="00412DE8" w:rsidR="00412DE8" w:rsidRDefault="00412DE8" w:rsidRPr="00F27C75">
      <w:pPr>
        <w:pStyle w:val="Paragraphedeliste"/>
        <w:numPr>
          <w:ilvl w:val="0"/>
          <w:numId w:val="3"/>
        </w:numPr>
        <w:spacing w:after="120"/>
        <w:jc w:val="both"/>
        <w:rPr>
          <w:rFonts w:cstheme="minorHAnsi"/>
        </w:rPr>
      </w:pPr>
      <w:r w:rsidRPr="00F27C75">
        <w:rPr>
          <w:rFonts w:cstheme="minorHAnsi"/>
        </w:rPr>
        <w:t>Le 24/01/2022</w:t>
      </w:r>
    </w:p>
    <w:p w14:paraId="637AEABA" w14:textId="77777777" w:rsidP="00412DE8" w:rsidR="00412DE8" w:rsidRDefault="00412DE8" w:rsidRPr="00F27C75">
      <w:pPr>
        <w:pStyle w:val="Paragraphedeliste"/>
        <w:numPr>
          <w:ilvl w:val="0"/>
          <w:numId w:val="3"/>
        </w:numPr>
        <w:spacing w:after="120"/>
        <w:jc w:val="both"/>
      </w:pPr>
      <w:r w:rsidRPr="07ED5F34">
        <w:t>Le 07/02/2022</w:t>
      </w:r>
    </w:p>
    <w:p w14:paraId="7D8BDEEC" w14:textId="77777777" w:rsidP="00412DE8" w:rsidR="00412DE8" w:rsidRDefault="00412DE8" w:rsidRPr="00F27C75">
      <w:pPr>
        <w:pStyle w:val="Paragraphedeliste"/>
        <w:numPr>
          <w:ilvl w:val="0"/>
          <w:numId w:val="3"/>
        </w:numPr>
        <w:spacing w:after="120"/>
        <w:jc w:val="both"/>
      </w:pPr>
      <w:r w:rsidRPr="07ED5F34">
        <w:t>Le 24/02/2022</w:t>
      </w:r>
    </w:p>
    <w:p w14:paraId="79F3FF83" w14:textId="77777777" w:rsidP="00412DE8" w:rsidR="00412DE8" w:rsidRDefault="00412DE8" w:rsidRPr="00F27C75">
      <w:pPr>
        <w:spacing w:after="120"/>
        <w:jc w:val="both"/>
        <w:rPr>
          <w:rFonts w:cstheme="minorHAnsi"/>
        </w:rPr>
      </w:pPr>
      <w:r w:rsidRPr="00F27C75">
        <w:rPr>
          <w:rFonts w:cstheme="minorHAnsi"/>
        </w:rPr>
        <w:t>Un bilan complet des rémunérations effectives, par catégorie professionnelle et niveau de classification a été remis aux délégués syndicaux.</w:t>
      </w:r>
    </w:p>
    <w:p w14:paraId="209E477E" w14:textId="77777777" w:rsidP="00412DE8" w:rsidR="00412DE8" w:rsidRDefault="00412DE8" w:rsidRPr="00F27C75">
      <w:pPr>
        <w:spacing w:after="120"/>
        <w:jc w:val="both"/>
        <w:rPr>
          <w:rFonts w:cstheme="minorHAnsi"/>
        </w:rPr>
      </w:pPr>
      <w:r w:rsidRPr="00F27C75">
        <w:rPr>
          <w:rFonts w:cstheme="minorHAnsi"/>
        </w:rPr>
        <w:t>Le présent accord porte sur la politique de rémunération de l’entreprise et leur réévaluation au regard du contexte de l’entreprise en 2021 et des perspectives à venir pour l’année 2022.</w:t>
      </w:r>
    </w:p>
    <w:p w14:paraId="73296CD6" w14:textId="77777777" w:rsidP="00412DE8" w:rsidR="00412DE8" w:rsidRDefault="00412DE8" w:rsidRPr="00F27C75">
      <w:pPr>
        <w:spacing w:after="120"/>
        <w:jc w:val="both"/>
        <w:rPr>
          <w:rFonts w:cstheme="minorHAnsi"/>
        </w:rPr>
      </w:pPr>
      <w:r w:rsidRPr="00F27C75">
        <w:rPr>
          <w:rFonts w:cstheme="minorHAnsi"/>
        </w:rPr>
        <w:t>L’année 2021 a été marquée par l’évolution du contexte sanitaire, et la variation des règles de télétravail. TINGARI s’est organisée afin de permettre la poursuite de l’activité en conformité avec les recommandations et obligations gouvernementales.</w:t>
      </w:r>
    </w:p>
    <w:p w14:paraId="17413333" w14:textId="77777777" w:rsidP="00412DE8" w:rsidR="00412DE8" w:rsidRDefault="00412DE8" w:rsidRPr="001F0AEB">
      <w:pPr>
        <w:spacing w:after="120"/>
        <w:jc w:val="both"/>
        <w:rPr>
          <w:rFonts w:eastAsiaTheme="minorEastAsia"/>
        </w:rPr>
      </w:pPr>
      <w:r w:rsidRPr="001F0AEB">
        <w:rPr>
          <w:rFonts w:eastAsiaTheme="minorEastAsia"/>
          <w:color w:val="000000"/>
          <w:shd w:color="auto" w:fill="FFFFFF" w:val="clear"/>
        </w:rPr>
        <w:t xml:space="preserve">Aucun contrat public d’ampleur nationale n’a été gagné au cours de l’année 2021. Les enjeux de productivité et d’organisation de l’entreprise restent majeurs. </w:t>
      </w:r>
      <w:r w:rsidRPr="001F0AEB">
        <w:rPr>
          <w:rFonts w:eastAsiaTheme="minorEastAsia"/>
          <w:color w:themeColor="text1" w:val="000000"/>
          <w:shd w:color="auto" w:fill="FFFFFF" w:val="clear"/>
        </w:rPr>
        <w:t>L’année 2021 est une année satisfaisante en termes d’activité et de résultats.</w:t>
      </w:r>
    </w:p>
    <w:p w14:paraId="3B55DCE8" w14:textId="77777777" w:rsidP="00412DE8" w:rsidR="00412DE8" w:rsidRDefault="00412DE8" w:rsidRPr="00F27C75">
      <w:pPr>
        <w:spacing w:after="120"/>
        <w:jc w:val="both"/>
        <w:rPr>
          <w:rFonts w:cstheme="minorHAnsi"/>
        </w:rPr>
      </w:pPr>
      <w:r w:rsidRPr="00F27C75">
        <w:rPr>
          <w:rFonts w:cstheme="minorHAnsi"/>
        </w:rPr>
        <w:t>Au mois de décembre 2021, TINGARI s’est positionnée sur l’appel d’offre « Parcours Emploi Santé » (PES).</w:t>
      </w:r>
    </w:p>
    <w:p w14:paraId="68087EA7" w14:textId="77777777" w:rsidP="00412DE8" w:rsidR="00412DE8" w:rsidRDefault="00412DE8" w:rsidRPr="00F27C75">
      <w:pPr>
        <w:spacing w:after="120"/>
        <w:jc w:val="both"/>
        <w:rPr>
          <w:rFonts w:cstheme="minorHAnsi"/>
        </w:rPr>
      </w:pPr>
      <w:r w:rsidRPr="00F27C75">
        <w:rPr>
          <w:rFonts w:cstheme="minorHAnsi"/>
        </w:rPr>
        <w:t xml:space="preserve">Les réponses ont été apportées au mois de janvier 2022. TINGARI a </w:t>
      </w:r>
      <w:r w:rsidRPr="00F27C75">
        <w:rPr>
          <w:rFonts w:cstheme="minorHAnsi"/>
          <w:color w:themeColor="text1" w:themeTint="F2" w:val="0D0D0D"/>
        </w:rPr>
        <w:t>remporté 8 lots sur le contrat PES.</w:t>
      </w:r>
    </w:p>
    <w:p w14:paraId="28EFCCB9" w14:textId="77777777" w:rsidP="00412DE8" w:rsidR="00412DE8" w:rsidRDefault="00412DE8" w:rsidRPr="00F27C75">
      <w:pPr>
        <w:spacing w:after="120"/>
        <w:jc w:val="both"/>
        <w:rPr>
          <w:rFonts w:cstheme="minorHAnsi"/>
        </w:rPr>
      </w:pPr>
      <w:r w:rsidRPr="00F27C75">
        <w:rPr>
          <w:rFonts w:cstheme="minorHAnsi"/>
        </w:rPr>
        <w:lastRenderedPageBreak/>
        <w:t>Après échanges et discussions sur les propositions de la Direction et celles des Délégations Syndicales, (</w:t>
      </w:r>
      <w:r w:rsidRPr="00F27C75">
        <w:rPr>
          <w:rFonts w:cstheme="minorHAnsi"/>
          <w:color w:themeColor="text1" w:val="000000"/>
        </w:rPr>
        <w:t xml:space="preserve">prime « Macron » ; augmentation générale ; </w:t>
      </w:r>
      <w:r w:rsidRPr="00F27C75">
        <w:rPr>
          <w:rFonts w:cstheme="minorHAnsi"/>
        </w:rPr>
        <w:t>mise en place d’une grille de salaire pour les chargés d’informations, pilotes, agents administratifs ; alignement de salaires pour les chargés de placement direct avec le salaire des conseillers (augmentation de salaires liée aux grandes métropoles) ; négociation d’une prime d’intéressement ; négociation d’un forfait kilométrique notamment pour les salariés résidant en province sans accès aux modes de transport en commun ; prise en charge par l’entreprise de la surcomplémentaire pour les personnes qui la payent et pour les travailleurs reconnus TH et/ou en arrêt maladie longue durée</w:t>
      </w:r>
      <w:r>
        <w:rPr>
          <w:rFonts w:cstheme="minorHAnsi"/>
        </w:rPr>
        <w:t> </w:t>
      </w:r>
      <w:r w:rsidRPr="00F27C75">
        <w:rPr>
          <w:rFonts w:cstheme="minorHAnsi"/>
        </w:rPr>
        <w:t>; négociation d’un forfait sur les mobilités douce</w:t>
      </w:r>
      <w:r>
        <w:rPr>
          <w:rFonts w:cstheme="minorHAnsi"/>
        </w:rPr>
        <w:t> </w:t>
      </w:r>
      <w:r w:rsidRPr="00F27C75">
        <w:rPr>
          <w:rFonts w:cstheme="minorHAnsi"/>
        </w:rPr>
        <w:t>; revalorisation de la prime d’ancienneté</w:t>
      </w:r>
      <w:r>
        <w:rPr>
          <w:rFonts w:cstheme="minorHAnsi"/>
        </w:rPr>
        <w:t> </w:t>
      </w:r>
      <w:r w:rsidRPr="00F27C75">
        <w:rPr>
          <w:rFonts w:cstheme="minorHAnsi"/>
        </w:rPr>
        <w:t>; organisation d’un évènement festif convivial national</w:t>
      </w:r>
      <w:r>
        <w:rPr>
          <w:rFonts w:cstheme="minorHAnsi"/>
        </w:rPr>
        <w:t> </w:t>
      </w:r>
      <w:r w:rsidRPr="00F27C75">
        <w:rPr>
          <w:rFonts w:cstheme="minorHAnsi"/>
        </w:rPr>
        <w:t>; mise en place d’un échange/repas par équipe une fois par mois</w:t>
      </w:r>
      <w:r>
        <w:rPr>
          <w:rFonts w:cstheme="minorHAnsi"/>
        </w:rPr>
        <w:t> </w:t>
      </w:r>
      <w:r w:rsidRPr="00F27C75">
        <w:rPr>
          <w:rFonts w:cstheme="minorHAnsi"/>
        </w:rPr>
        <w:t>; augmentation du pourcentage d’augmentation de la grille salariale des conseillers</w:t>
      </w:r>
      <w:r>
        <w:rPr>
          <w:rFonts w:cstheme="minorHAnsi"/>
        </w:rPr>
        <w:t> </w:t>
      </w:r>
      <w:r w:rsidRPr="00F27C75">
        <w:rPr>
          <w:rFonts w:cstheme="minorHAnsi"/>
        </w:rPr>
        <w:t>; financement des jours « enfant malade »</w:t>
      </w:r>
      <w:r>
        <w:rPr>
          <w:rFonts w:cstheme="minorHAnsi"/>
        </w:rPr>
        <w:t> </w:t>
      </w:r>
      <w:r w:rsidRPr="00F27C75">
        <w:rPr>
          <w:rFonts w:cstheme="minorHAnsi"/>
        </w:rPr>
        <w:t>; financement d’un jour pour les proches aidants</w:t>
      </w:r>
      <w:r>
        <w:rPr>
          <w:rFonts w:cstheme="minorHAnsi"/>
        </w:rPr>
        <w:t> </w:t>
      </w:r>
      <w:r w:rsidRPr="00F27C75">
        <w:rPr>
          <w:rFonts w:cstheme="minorHAnsi"/>
        </w:rPr>
        <w:t>; réduction de la carence arrêt maladie d’un an à six mois</w:t>
      </w:r>
      <w:r>
        <w:rPr>
          <w:rFonts w:cstheme="minorHAnsi"/>
        </w:rPr>
        <w:t> </w:t>
      </w:r>
      <w:r w:rsidRPr="00F27C75">
        <w:rPr>
          <w:rFonts w:cstheme="minorHAnsi"/>
        </w:rPr>
        <w:t>; négociation sur le temps de récupération relatif au temps de trajet</w:t>
      </w:r>
      <w:r>
        <w:rPr>
          <w:rFonts w:cstheme="minorHAnsi"/>
        </w:rPr>
        <w:t> </w:t>
      </w:r>
      <w:r w:rsidRPr="00F27C75">
        <w:rPr>
          <w:rFonts w:cstheme="minorHAnsi"/>
        </w:rPr>
        <w:t>; négociation sur le périmètre de la mobilité contrainte en cas de changement de site sur la réduction des temps imposés</w:t>
      </w:r>
      <w:r>
        <w:rPr>
          <w:rFonts w:cstheme="minorHAnsi"/>
        </w:rPr>
        <w:t> </w:t>
      </w:r>
      <w:r w:rsidRPr="00F27C75">
        <w:rPr>
          <w:rFonts w:cstheme="minorHAnsi"/>
        </w:rPr>
        <w:t>; mise en place de jours de congés déménagement hors mobilité géographique</w:t>
      </w:r>
      <w:r>
        <w:rPr>
          <w:rFonts w:cstheme="minorHAnsi"/>
        </w:rPr>
        <w:t> </w:t>
      </w:r>
      <w:r w:rsidRPr="00F27C75">
        <w:rPr>
          <w:rFonts w:cstheme="minorHAnsi"/>
        </w:rPr>
        <w:t>; mutualisation de la prime de vacances</w:t>
      </w:r>
      <w:r>
        <w:rPr>
          <w:rFonts w:cstheme="minorHAnsi"/>
        </w:rPr>
        <w:t> </w:t>
      </w:r>
      <w:r w:rsidRPr="00F27C75">
        <w:rPr>
          <w:rFonts w:cstheme="minorHAnsi"/>
        </w:rPr>
        <w:t>; majoration des heures travaillées le samedi</w:t>
      </w:r>
      <w:r>
        <w:rPr>
          <w:rFonts w:cstheme="minorHAnsi"/>
        </w:rPr>
        <w:t> </w:t>
      </w:r>
      <w:r w:rsidRPr="00F27C75">
        <w:rPr>
          <w:rFonts w:cstheme="minorHAnsi"/>
        </w:rPr>
        <w:t>; prime de performance pour les salariés de l’OPS</w:t>
      </w:r>
      <w:r>
        <w:rPr>
          <w:rFonts w:cstheme="minorHAnsi"/>
        </w:rPr>
        <w:t> </w:t>
      </w:r>
      <w:r w:rsidRPr="00F27C75">
        <w:rPr>
          <w:rFonts w:cstheme="minorHAnsi"/>
        </w:rPr>
        <w:t>; revalorisation des titres restaurant</w:t>
      </w:r>
      <w:r>
        <w:rPr>
          <w:rFonts w:cstheme="minorHAnsi"/>
        </w:rPr>
        <w:t> </w:t>
      </w:r>
      <w:r w:rsidRPr="00F27C75">
        <w:rPr>
          <w:rFonts w:cstheme="minorHAnsi"/>
        </w:rPr>
        <w:t>; négociation sur le temps de travail des consultants DCRH</w:t>
      </w:r>
      <w:r>
        <w:rPr>
          <w:rFonts w:cstheme="minorHAnsi"/>
        </w:rPr>
        <w:t> </w:t>
      </w:r>
      <w:r w:rsidRPr="00F27C75">
        <w:rPr>
          <w:rFonts w:cstheme="minorHAnsi"/>
        </w:rPr>
        <w:t>; mise en place d’un plan de formation et développement des compétences</w:t>
      </w:r>
      <w:r>
        <w:rPr>
          <w:rFonts w:cstheme="minorHAnsi"/>
        </w:rPr>
        <w:t> </w:t>
      </w:r>
      <w:r w:rsidRPr="00F27C75">
        <w:rPr>
          <w:rFonts w:cstheme="minorHAnsi"/>
        </w:rPr>
        <w:t>; prise en charge de la surcomplémentaire</w:t>
      </w:r>
      <w:r>
        <w:rPr>
          <w:rFonts w:cstheme="minorHAnsi"/>
        </w:rPr>
        <w:t> </w:t>
      </w:r>
      <w:r w:rsidRPr="00F27C75">
        <w:rPr>
          <w:rFonts w:cstheme="minorHAnsi"/>
        </w:rPr>
        <w:t>; prime de noël</w:t>
      </w:r>
      <w:r>
        <w:rPr>
          <w:rFonts w:cstheme="minorHAnsi"/>
        </w:rPr>
        <w:t> </w:t>
      </w:r>
      <w:r w:rsidRPr="00F27C75">
        <w:rPr>
          <w:rFonts w:cstheme="minorHAnsi"/>
        </w:rPr>
        <w:t>; pérennisation de la prise en charge du repas de noël</w:t>
      </w:r>
      <w:r>
        <w:rPr>
          <w:rFonts w:cstheme="minorHAnsi"/>
        </w:rPr>
        <w:t> </w:t>
      </w:r>
      <w:r w:rsidRPr="00F27C75">
        <w:rPr>
          <w:rFonts w:cstheme="minorHAnsi"/>
        </w:rPr>
        <w:t>; négociation d’une prime d’assiduité pour les personnes sans absence</w:t>
      </w:r>
      <w:r>
        <w:rPr>
          <w:rFonts w:cstheme="minorHAnsi"/>
        </w:rPr>
        <w:t> </w:t>
      </w:r>
      <w:r w:rsidRPr="00F27C75">
        <w:rPr>
          <w:rFonts w:cstheme="minorHAnsi"/>
        </w:rPr>
        <w:t>; prise en charge des titres de transport à 100%</w:t>
      </w:r>
      <w:r>
        <w:rPr>
          <w:rFonts w:cstheme="minorHAnsi"/>
        </w:rPr>
        <w:t> </w:t>
      </w:r>
      <w:r w:rsidRPr="00F27C75">
        <w:rPr>
          <w:rFonts w:cstheme="minorHAnsi"/>
        </w:rPr>
        <w:t xml:space="preserve">; </w:t>
      </w:r>
      <w:r w:rsidRPr="00F27C75">
        <w:rPr>
          <w:rFonts w:cstheme="minorHAnsi"/>
          <w:color w:themeColor="text1" w:val="000000"/>
        </w:rPr>
        <w:t>abondement sur le compte CPF pour les salariés sans formation depuis 2018</w:t>
      </w:r>
      <w:r>
        <w:rPr>
          <w:rFonts w:cstheme="minorHAnsi"/>
          <w:color w:themeColor="text1" w:val="000000"/>
        </w:rPr>
        <w:t> </w:t>
      </w:r>
      <w:r w:rsidRPr="00F27C75">
        <w:rPr>
          <w:rFonts w:cstheme="minorHAnsi"/>
          <w:color w:themeColor="text1" w:val="000000"/>
        </w:rPr>
        <w:t>; rémunération de deux jours d’absence en cas d’immersion professionnelle en externe</w:t>
      </w:r>
      <w:r>
        <w:rPr>
          <w:rFonts w:cstheme="minorHAnsi"/>
          <w:color w:themeColor="text1" w:val="000000"/>
        </w:rPr>
        <w:t> ; égalité professionnelle entre les femmes et les hommes</w:t>
      </w:r>
      <w:r w:rsidRPr="00F27C75">
        <w:rPr>
          <w:rFonts w:cstheme="minorHAnsi"/>
          <w:color w:themeColor="text1" w:val="000000"/>
        </w:rPr>
        <w:t>)</w:t>
      </w:r>
      <w:r>
        <w:rPr>
          <w:rFonts w:cstheme="minorHAnsi"/>
          <w:color w:themeColor="text1" w:val="000000"/>
        </w:rPr>
        <w:t>,</w:t>
      </w:r>
      <w:r w:rsidRPr="00F27C75">
        <w:rPr>
          <w:rFonts w:cstheme="minorHAnsi"/>
          <w:color w:themeColor="text1" w:val="000000"/>
        </w:rPr>
        <w:t xml:space="preserve"> </w:t>
      </w:r>
      <w:r w:rsidRPr="00F27C75">
        <w:rPr>
          <w:rFonts w:cstheme="minorHAnsi"/>
        </w:rPr>
        <w:t>les Parties sont convenues des dispositions ci-après.</w:t>
      </w:r>
    </w:p>
    <w:p w14:paraId="128D98F2" w14:textId="77777777" w:rsidP="00412DE8" w:rsidR="00412DE8" w:rsidRDefault="00412DE8" w:rsidRPr="00F27C75">
      <w:pPr>
        <w:spacing w:after="120" w:before="240"/>
        <w:jc w:val="both"/>
        <w:rPr>
          <w:rFonts w:cstheme="minorHAnsi"/>
        </w:rPr>
      </w:pPr>
      <w:r w:rsidRPr="00F27C75">
        <w:rPr>
          <w:rFonts w:cstheme="minorHAnsi"/>
        </w:rPr>
        <w:t xml:space="preserve">Au terme de la réunion en date du </w:t>
      </w:r>
      <w:r>
        <w:rPr>
          <w:rFonts w:cstheme="minorHAnsi"/>
        </w:rPr>
        <w:t>24</w:t>
      </w:r>
      <w:r w:rsidRPr="00F27C75">
        <w:rPr>
          <w:rFonts w:cstheme="minorHAnsi"/>
        </w:rPr>
        <w:t xml:space="preserve"> février 2022 et à la suite des réunions précédemment évoquées au cours desquelles tous les thèmes inhérents à la négociation annuelle obligatoire relative à la rémunération, au temps de travail et au partage de la valeur ajoutée ont été abordés, la Direction de la Société et les Organisations Syndicales, signataires du présent accord, se sont mises d’accord sur les points suivants :</w:t>
      </w:r>
    </w:p>
    <w:p w14:paraId="5D31372E" w14:textId="77777777" w:rsidP="00412DE8" w:rsidR="00412DE8" w:rsidRDefault="00412DE8" w:rsidRPr="00F27C75">
      <w:pPr>
        <w:pStyle w:val="Paragraphedeliste"/>
        <w:numPr>
          <w:ilvl w:val="0"/>
          <w:numId w:val="2"/>
        </w:numPr>
        <w:spacing w:after="120" w:before="360"/>
        <w:contextualSpacing w:val="0"/>
        <w:jc w:val="both"/>
        <w:rPr>
          <w:rFonts w:cstheme="minorHAnsi"/>
          <w:b/>
          <w:bCs/>
        </w:rPr>
      </w:pPr>
      <w:r w:rsidRPr="00F27C75">
        <w:rPr>
          <w:rFonts w:cstheme="minorHAnsi"/>
          <w:b/>
          <w:bCs/>
        </w:rPr>
        <w:t>ARTICLE 1 : MESURES SALARIALES</w:t>
      </w:r>
    </w:p>
    <w:p w14:paraId="441ED38D" w14:textId="77777777" w:rsidP="00412DE8" w:rsidR="00412DE8" w:rsidRDefault="00412DE8" w:rsidRPr="00F27C75">
      <w:pPr>
        <w:spacing w:after="0" w:before="360"/>
        <w:jc w:val="both"/>
        <w:rPr>
          <w:rFonts w:cstheme="minorHAnsi"/>
        </w:rPr>
      </w:pPr>
      <w:r w:rsidRPr="00F27C75">
        <w:rPr>
          <w:rFonts w:cstheme="minorHAnsi"/>
        </w:rPr>
        <w:t>Les parties rappellent que, si le rythme de négociation des mesures salariales est annuel, la politique salariale s’inscrit dans le contexte économique général de l’entreprise ainsi que dans la durée. Elles permettent d’envisager l’ajustement de la rémunération de chacun à sa compétence, son potentiel d’évolution, en tenant compte du dernier niveau de rémunération.</w:t>
      </w:r>
    </w:p>
    <w:p w14:paraId="6DA69B04" w14:textId="77777777" w:rsidP="00412DE8" w:rsidR="00412DE8" w:rsidRDefault="00412DE8" w:rsidRPr="00F27C75">
      <w:pPr>
        <w:spacing w:after="0" w:before="360"/>
        <w:jc w:val="both"/>
        <w:rPr>
          <w:rFonts w:cstheme="minorHAnsi"/>
        </w:rPr>
      </w:pPr>
      <w:r w:rsidRPr="00F27C75">
        <w:rPr>
          <w:rFonts w:cstheme="minorHAnsi"/>
        </w:rPr>
        <w:t>Les mesures salariales proposées ont pour objectif de permettre une augmentation du pouvoir d’achat des salariés et d’améliorer l’attractivité de l’entreprise.</w:t>
      </w:r>
    </w:p>
    <w:p w14:paraId="2B95DDA4" w14:textId="77777777" w:rsidP="00412DE8" w:rsidR="00412DE8" w:rsidRDefault="00412DE8" w:rsidRPr="00F27C75">
      <w:pPr>
        <w:spacing w:after="0" w:before="360"/>
        <w:jc w:val="both"/>
        <w:rPr>
          <w:rFonts w:cstheme="minorHAnsi"/>
        </w:rPr>
      </w:pPr>
      <w:r w:rsidRPr="00F27C75">
        <w:rPr>
          <w:rFonts w:cstheme="minorHAnsi"/>
        </w:rPr>
        <w:t>Ainsi au titre de l’année 2022, et compte tenu de ce qui vient d’être rappelé, les parties ont décidé des mesures suivantes :</w:t>
      </w:r>
    </w:p>
    <w:p w14:paraId="2F64B9B7" w14:textId="77777777" w:rsidP="00412DE8" w:rsidR="00412DE8" w:rsidRDefault="00412DE8" w:rsidRPr="00F27C75">
      <w:pPr>
        <w:spacing w:after="0"/>
        <w:jc w:val="both"/>
        <w:rPr>
          <w:rFonts w:cstheme="minorHAnsi"/>
        </w:rPr>
      </w:pPr>
    </w:p>
    <w:p w14:paraId="463572DA" w14:textId="77777777" w:rsidP="00412DE8" w:rsidR="00412DE8" w:rsidRDefault="00412DE8" w:rsidRPr="00F27C75">
      <w:pPr>
        <w:pStyle w:val="Paragraphedeliste"/>
        <w:numPr>
          <w:ilvl w:val="1"/>
          <w:numId w:val="8"/>
        </w:numPr>
        <w:spacing w:after="120"/>
        <w:contextualSpacing w:val="0"/>
        <w:jc w:val="both"/>
        <w:rPr>
          <w:rFonts w:cstheme="minorHAnsi"/>
          <w:b/>
          <w:bCs/>
        </w:rPr>
      </w:pPr>
      <w:r w:rsidRPr="00F27C75">
        <w:rPr>
          <w:rFonts w:cstheme="minorHAnsi"/>
          <w:b/>
          <w:bCs/>
        </w:rPr>
        <w:t>Augmentation générale</w:t>
      </w:r>
    </w:p>
    <w:p w14:paraId="0B83F914" w14:textId="77777777" w:rsidP="00412DE8" w:rsidR="00412DE8" w:rsidRDefault="00412DE8" w:rsidRPr="00F27C75">
      <w:pPr>
        <w:pStyle w:val="Paragraphedeliste"/>
        <w:numPr>
          <w:ilvl w:val="2"/>
          <w:numId w:val="8"/>
        </w:numPr>
        <w:spacing w:after="120" w:before="360"/>
        <w:jc w:val="both"/>
        <w:rPr>
          <w:b/>
          <w:bCs/>
          <w:u w:val="single"/>
        </w:rPr>
      </w:pPr>
      <w:r w:rsidRPr="366915F3">
        <w:rPr>
          <w:b/>
          <w:bCs/>
          <w:u w:val="single"/>
        </w:rPr>
        <w:t>Mise en place au 1</w:t>
      </w:r>
      <w:r w:rsidRPr="366915F3">
        <w:rPr>
          <w:b/>
          <w:bCs/>
          <w:u w:val="single"/>
          <w:vertAlign w:val="superscript"/>
        </w:rPr>
        <w:t>er</w:t>
      </w:r>
      <w:r w:rsidRPr="366915F3">
        <w:rPr>
          <w:b/>
          <w:bCs/>
          <w:u w:val="single"/>
        </w:rPr>
        <w:t xml:space="preserve"> janvier 2022 d’une grille de salaire pour les pilotes, chargés d’information et agents administratifs (PAD&amp;CC) </w:t>
      </w:r>
    </w:p>
    <w:p w14:paraId="60F72C9C" w14:textId="77777777" w:rsidP="00412DE8" w:rsidR="00412DE8" w:rsidRDefault="00412DE8" w:rsidRPr="00F27C75">
      <w:pPr>
        <w:spacing w:after="120"/>
        <w:jc w:val="both"/>
        <w:rPr>
          <w:rFonts w:cstheme="minorHAnsi"/>
          <w:bCs/>
        </w:rPr>
      </w:pPr>
      <w:r w:rsidRPr="00F27C75">
        <w:rPr>
          <w:rFonts w:cstheme="minorHAnsi"/>
          <w:bCs/>
        </w:rPr>
        <w:t xml:space="preserve">Une grille salariale, prenant </w:t>
      </w:r>
      <w:r w:rsidRPr="00175B95">
        <w:rPr>
          <w:rFonts w:cstheme="minorHAnsi"/>
          <w:bCs/>
        </w:rPr>
        <w:t>effet rétroactivement au 1</w:t>
      </w:r>
      <w:r w:rsidRPr="00175B95">
        <w:rPr>
          <w:rFonts w:cstheme="minorHAnsi"/>
          <w:bCs/>
          <w:vertAlign w:val="superscript"/>
        </w:rPr>
        <w:t>er</w:t>
      </w:r>
      <w:r w:rsidRPr="00175B95">
        <w:rPr>
          <w:rFonts w:cstheme="minorHAnsi"/>
          <w:bCs/>
        </w:rPr>
        <w:t xml:space="preserve"> janvier 2022</w:t>
      </w:r>
      <w:r w:rsidRPr="00F27C75">
        <w:rPr>
          <w:rFonts w:cstheme="minorHAnsi"/>
          <w:bCs/>
        </w:rPr>
        <w:t xml:space="preserve"> et permettant de faire progresser, selon plusieurs critères, les salaires des pilotes et agents administratifs (avant augmentation générale) a été définie. </w:t>
      </w:r>
    </w:p>
    <w:p w14:paraId="05774D4B" w14:textId="77777777" w:rsidP="00412DE8" w:rsidR="00412DE8" w:rsidRDefault="00412DE8" w:rsidRPr="00F27C75">
      <w:pPr>
        <w:spacing w:line="240" w:lineRule="auto"/>
        <w:jc w:val="both"/>
        <w:textAlignment w:val="baseline"/>
        <w:rPr>
          <w:rFonts w:cstheme="minorHAnsi" w:eastAsia="Times New Roman"/>
          <w:lang w:eastAsia="fr-FR"/>
        </w:rPr>
      </w:pPr>
      <w:r w:rsidRPr="00F27C75">
        <w:rPr>
          <w:rFonts w:cstheme="minorHAnsi" w:eastAsia="Times New Roman"/>
          <w:lang w:eastAsia="fr-FR"/>
        </w:rPr>
        <w:lastRenderedPageBreak/>
        <w:t>La révision du positionnement dans la grille de salaire se fait tous les trois ans, sauf cas particulier. </w:t>
      </w:r>
    </w:p>
    <w:p w14:paraId="4CDCE9F2" w14:textId="77777777" w:rsidP="00412DE8" w:rsidR="00412DE8" w:rsidRDefault="00412DE8" w:rsidRPr="00F27C75">
      <w:pPr>
        <w:spacing w:line="240" w:lineRule="auto"/>
        <w:jc w:val="both"/>
        <w:textAlignment w:val="baseline"/>
        <w:rPr>
          <w:rFonts w:cstheme="minorHAnsi" w:eastAsia="Times New Roman"/>
          <w:lang w:eastAsia="fr-FR"/>
        </w:rPr>
      </w:pPr>
      <w:r w:rsidRPr="00F27C75">
        <w:rPr>
          <w:rFonts w:cstheme="minorHAnsi" w:eastAsia="Times New Roman"/>
          <w:lang w:eastAsia="fr-FR"/>
        </w:rPr>
        <w:t>Cette grille salariale est applicable pour les salariés ayant 3 ans d’ancienneté minimum.</w:t>
      </w:r>
    </w:p>
    <w:p w14:paraId="5207CF7D" w14:textId="77777777" w:rsidP="00412DE8" w:rsidR="00412DE8" w:rsidRDefault="00412DE8" w:rsidRPr="00F27C75">
      <w:pPr>
        <w:spacing w:after="0" w:line="240" w:lineRule="auto"/>
        <w:jc w:val="both"/>
        <w:textAlignment w:val="baseline"/>
        <w:rPr>
          <w:rFonts w:cstheme="minorHAnsi" w:eastAsia="Times New Roman"/>
          <w:lang w:eastAsia="fr-FR"/>
        </w:rPr>
      </w:pPr>
      <w:r w:rsidRPr="00F27C75">
        <w:rPr>
          <w:rFonts w:cstheme="minorHAnsi" w:eastAsia="Times New Roman"/>
          <w:lang w:eastAsia="fr-FR"/>
        </w:rPr>
        <w:t>Elle comporte 4 échelons, le premier étant le salaire minimum lors de l’embauche des pilotes et agents administratifs :</w:t>
      </w:r>
    </w:p>
    <w:p w14:paraId="10AFE1CE" w14:textId="77777777" w:rsidP="00412DE8" w:rsidR="00412DE8" w:rsidRDefault="00412DE8" w:rsidRPr="00F27C75">
      <w:pPr>
        <w:spacing w:after="0" w:line="240" w:lineRule="auto"/>
        <w:jc w:val="both"/>
        <w:textAlignment w:val="baseline"/>
        <w:rPr>
          <w:rFonts w:cstheme="minorHAnsi" w:eastAsia="Times New Roman"/>
          <w:lang w:eastAsia="fr-FR"/>
        </w:rPr>
      </w:pPr>
    </w:p>
    <w:tbl>
      <w:tblPr>
        <w:tblW w:type="dxa" w:w="3147"/>
        <w:jc w:val="center"/>
        <w:tblBorders>
          <w:top w:color="auto" w:space="0" w:sz="6" w:val="outset"/>
          <w:left w:color="auto" w:space="0" w:sz="6" w:val="outset"/>
          <w:bottom w:color="auto" w:space="0" w:sz="6" w:val="outset"/>
          <w:right w:color="auto" w:space="0" w:sz="6" w:val="outset"/>
        </w:tblBorders>
        <w:tblCellMar>
          <w:left w:type="dxa" w:w="0"/>
          <w:right w:type="dxa" w:w="0"/>
        </w:tblCellMar>
        <w:tblLook w:firstColumn="1" w:firstRow="1" w:lastColumn="0" w:lastRow="0" w:noHBand="0" w:noVBand="1" w:val="04A0"/>
      </w:tblPr>
      <w:tblGrid>
        <w:gridCol w:w="1306"/>
        <w:gridCol w:w="1841"/>
      </w:tblGrid>
      <w:tr w14:paraId="6F74F9FE" w14:textId="77777777" w:rsidR="00412DE8" w:rsidRPr="006B3EA3" w:rsidTr="00DB5657">
        <w:trPr>
          <w:trHeight w:val="285"/>
          <w:jc w:val="center"/>
        </w:trPr>
        <w:tc>
          <w:tcPr>
            <w:tcW w:type="dxa" w:w="1306"/>
            <w:tcBorders>
              <w:top w:color="000000" w:space="0" w:sz="6" w:val="single"/>
              <w:left w:color="000000" w:space="0" w:sz="6" w:val="single"/>
              <w:bottom w:color="000000" w:space="0" w:sz="6" w:val="single"/>
              <w:right w:color="000000" w:space="0" w:sz="6" w:val="single"/>
            </w:tcBorders>
            <w:shd w:color="auto" w:fill="auto" w:val="clear"/>
            <w:hideMark/>
          </w:tcPr>
          <w:p w14:paraId="467644D2" w14:textId="77777777" w:rsidP="00DB5657" w:rsidR="00412DE8" w:rsidRDefault="00412DE8" w:rsidRPr="006B3EA3">
            <w:pPr>
              <w:spacing w:after="0" w:line="240" w:lineRule="auto"/>
              <w:jc w:val="center"/>
              <w:textAlignment w:val="baseline"/>
              <w:rPr>
                <w:rFonts w:cstheme="minorHAnsi" w:eastAsia="Times New Roman"/>
                <w:lang w:eastAsia="fr-FR"/>
              </w:rPr>
            </w:pPr>
            <w:bookmarkStart w:id="0" w:name="_Hlk96008438"/>
            <w:r w:rsidRPr="006B3EA3">
              <w:rPr>
                <w:rFonts w:cstheme="minorHAnsi" w:eastAsia="Times New Roman"/>
                <w:b/>
                <w:bCs/>
                <w:lang w:eastAsia="fr-FR"/>
              </w:rPr>
              <w:t>Echelon</w:t>
            </w:r>
          </w:p>
        </w:tc>
        <w:tc>
          <w:tcPr>
            <w:tcW w:type="dxa" w:w="1841"/>
            <w:tcBorders>
              <w:top w:color="000000" w:space="0" w:sz="6" w:val="single"/>
              <w:left w:val="nil"/>
              <w:bottom w:color="000000" w:space="0" w:sz="6" w:val="single"/>
              <w:right w:color="000000" w:space="0" w:sz="6" w:val="single"/>
            </w:tcBorders>
            <w:shd w:color="auto" w:fill="auto" w:val="clear"/>
            <w:hideMark/>
          </w:tcPr>
          <w:p w14:paraId="423B13D7"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b/>
                <w:bCs/>
                <w:lang w:eastAsia="fr-FR"/>
              </w:rPr>
              <w:t>Montant</w:t>
            </w:r>
          </w:p>
        </w:tc>
      </w:tr>
      <w:tr w14:paraId="1B958B3E" w14:textId="77777777" w:rsidR="00412DE8" w:rsidRPr="006B3EA3" w:rsidTr="00DB5657">
        <w:trPr>
          <w:trHeight w:val="274"/>
          <w:jc w:val="center"/>
        </w:trPr>
        <w:tc>
          <w:tcPr>
            <w:tcW w:type="dxa" w:w="1306"/>
            <w:tcBorders>
              <w:top w:val="nil"/>
              <w:left w:color="000000" w:space="0" w:sz="6" w:val="single"/>
              <w:bottom w:color="000000" w:space="0" w:sz="6" w:val="single"/>
              <w:right w:color="000000" w:space="0" w:sz="6" w:val="single"/>
            </w:tcBorders>
            <w:shd w:color="auto" w:fill="auto" w:val="clear"/>
            <w:hideMark/>
          </w:tcPr>
          <w:p w14:paraId="75A76BC6"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1</w:t>
            </w:r>
          </w:p>
        </w:tc>
        <w:tc>
          <w:tcPr>
            <w:tcW w:type="dxa" w:w="1841"/>
            <w:tcBorders>
              <w:top w:val="nil"/>
              <w:left w:val="nil"/>
              <w:bottom w:color="000000" w:space="0" w:sz="6" w:val="single"/>
              <w:right w:color="000000" w:space="0" w:sz="6" w:val="single"/>
            </w:tcBorders>
            <w:shd w:color="auto" w:fill="auto" w:val="clear"/>
            <w:hideMark/>
          </w:tcPr>
          <w:p w14:paraId="32DE775A"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23 000</w:t>
            </w:r>
          </w:p>
        </w:tc>
      </w:tr>
      <w:tr w14:paraId="04ACCA3F" w14:textId="77777777" w:rsidR="00412DE8" w:rsidRPr="006B3EA3" w:rsidTr="00DB5657">
        <w:trPr>
          <w:trHeight w:val="285"/>
          <w:jc w:val="center"/>
        </w:trPr>
        <w:tc>
          <w:tcPr>
            <w:tcW w:type="dxa" w:w="1306"/>
            <w:tcBorders>
              <w:top w:val="nil"/>
              <w:left w:color="000000" w:space="0" w:sz="6" w:val="single"/>
              <w:bottom w:color="000000" w:space="0" w:sz="6" w:val="single"/>
              <w:right w:color="000000" w:space="0" w:sz="6" w:val="single"/>
            </w:tcBorders>
            <w:shd w:color="auto" w:fill="auto" w:val="clear"/>
            <w:hideMark/>
          </w:tcPr>
          <w:p w14:paraId="530B914E"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2</w:t>
            </w:r>
          </w:p>
        </w:tc>
        <w:tc>
          <w:tcPr>
            <w:tcW w:type="dxa" w:w="1841"/>
            <w:tcBorders>
              <w:top w:val="nil"/>
              <w:left w:val="nil"/>
              <w:bottom w:color="000000" w:space="0" w:sz="6" w:val="single"/>
              <w:right w:color="000000" w:space="0" w:sz="6" w:val="single"/>
            </w:tcBorders>
            <w:shd w:color="auto" w:fill="auto" w:val="clear"/>
            <w:hideMark/>
          </w:tcPr>
          <w:p w14:paraId="7DD2379F"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23 400</w:t>
            </w:r>
          </w:p>
        </w:tc>
      </w:tr>
      <w:tr w14:paraId="490B81CD" w14:textId="77777777" w:rsidR="00412DE8" w:rsidRPr="006B3EA3" w:rsidTr="00DB5657">
        <w:trPr>
          <w:trHeight w:val="285"/>
          <w:jc w:val="center"/>
        </w:trPr>
        <w:tc>
          <w:tcPr>
            <w:tcW w:type="dxa" w:w="1306"/>
            <w:tcBorders>
              <w:top w:val="nil"/>
              <w:left w:color="000000" w:space="0" w:sz="6" w:val="single"/>
              <w:bottom w:color="000000" w:space="0" w:sz="6" w:val="single"/>
              <w:right w:color="000000" w:space="0" w:sz="6" w:val="single"/>
            </w:tcBorders>
            <w:shd w:color="auto" w:fill="auto" w:val="clear"/>
            <w:hideMark/>
          </w:tcPr>
          <w:p w14:paraId="73D7938C"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3</w:t>
            </w:r>
          </w:p>
        </w:tc>
        <w:tc>
          <w:tcPr>
            <w:tcW w:type="dxa" w:w="1841"/>
            <w:tcBorders>
              <w:top w:val="nil"/>
              <w:left w:val="nil"/>
              <w:bottom w:color="000000" w:space="0" w:sz="6" w:val="single"/>
              <w:right w:color="000000" w:space="0" w:sz="6" w:val="single"/>
            </w:tcBorders>
            <w:shd w:color="auto" w:fill="auto" w:val="clear"/>
            <w:hideMark/>
          </w:tcPr>
          <w:p w14:paraId="304458B2"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23 800</w:t>
            </w:r>
          </w:p>
        </w:tc>
      </w:tr>
      <w:tr w14:paraId="1FAC450B" w14:textId="77777777" w:rsidR="00412DE8" w:rsidRPr="006B3EA3" w:rsidTr="00DB5657">
        <w:trPr>
          <w:trHeight w:val="274"/>
          <w:jc w:val="center"/>
        </w:trPr>
        <w:tc>
          <w:tcPr>
            <w:tcW w:type="dxa" w:w="1306"/>
            <w:tcBorders>
              <w:top w:val="nil"/>
              <w:left w:color="000000" w:space="0" w:sz="6" w:val="single"/>
              <w:bottom w:color="000000" w:space="0" w:sz="6" w:val="single"/>
              <w:right w:color="000000" w:space="0" w:sz="6" w:val="single"/>
            </w:tcBorders>
            <w:shd w:color="auto" w:fill="auto" w:val="clear"/>
            <w:hideMark/>
          </w:tcPr>
          <w:p w14:paraId="597F66D8"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4</w:t>
            </w:r>
          </w:p>
        </w:tc>
        <w:tc>
          <w:tcPr>
            <w:tcW w:type="dxa" w:w="1841"/>
            <w:tcBorders>
              <w:top w:val="nil"/>
              <w:left w:val="nil"/>
              <w:bottom w:color="000000" w:space="0" w:sz="6" w:val="single"/>
              <w:right w:color="000000" w:space="0" w:sz="6" w:val="single"/>
            </w:tcBorders>
            <w:shd w:color="auto" w:fill="auto" w:val="clear"/>
            <w:hideMark/>
          </w:tcPr>
          <w:p w14:paraId="0799505A" w14:textId="77777777" w:rsidP="00DB5657" w:rsidR="00412DE8" w:rsidRDefault="00412DE8" w:rsidRPr="006B3EA3">
            <w:pPr>
              <w:spacing w:after="0" w:line="240" w:lineRule="auto"/>
              <w:jc w:val="center"/>
              <w:textAlignment w:val="baseline"/>
              <w:rPr>
                <w:rFonts w:cstheme="minorHAnsi" w:eastAsia="Times New Roman"/>
                <w:lang w:eastAsia="fr-FR"/>
              </w:rPr>
            </w:pPr>
            <w:r w:rsidRPr="006B3EA3">
              <w:rPr>
                <w:rFonts w:cstheme="minorHAnsi" w:eastAsia="Times New Roman"/>
                <w:lang w:eastAsia="fr-FR"/>
              </w:rPr>
              <w:t>24 200</w:t>
            </w:r>
          </w:p>
        </w:tc>
      </w:tr>
      <w:bookmarkEnd w:id="0"/>
    </w:tbl>
    <w:p w14:paraId="2EE18140" w14:textId="77777777" w:rsidP="00412DE8" w:rsidR="00412DE8" w:rsidRDefault="00412DE8" w:rsidRPr="00F27C75">
      <w:pPr>
        <w:jc w:val="both"/>
        <w:rPr>
          <w:rFonts w:cstheme="minorHAnsi"/>
          <w:highlight w:val="green"/>
        </w:rPr>
      </w:pPr>
    </w:p>
    <w:p w14:paraId="1C284E51" w14:textId="77777777" w:rsidP="00412DE8" w:rsidR="00412DE8" w:rsidRDefault="00412DE8" w:rsidRPr="00F27C75">
      <w:pPr>
        <w:jc w:val="both"/>
        <w:rPr>
          <w:rFonts w:cstheme="minorHAnsi"/>
          <w:i/>
          <w:iCs/>
        </w:rPr>
      </w:pPr>
      <w:r w:rsidRPr="00AC7167">
        <w:rPr>
          <w:rFonts w:cstheme="minorHAnsi"/>
        </w:rPr>
        <w:t>Tous les trois ans à compter</w:t>
      </w:r>
      <w:r w:rsidRPr="00F27C75">
        <w:rPr>
          <w:rFonts w:cstheme="minorHAnsi"/>
        </w:rPr>
        <w:t xml:space="preserve"> de la dernière progression au sein de la grille, la progression pourra être envisagée, pour un échelon au maximum. </w:t>
      </w:r>
      <w:r w:rsidRPr="00F27C75">
        <w:rPr>
          <w:rFonts w:cstheme="minorHAnsi"/>
          <w:color w:themeColor="text1" w:val="000000"/>
        </w:rPr>
        <w:t>Ce point sera abordé lors de l’entretien de performance préalable à une revalorisation éventuelle de la rémunération.</w:t>
      </w:r>
    </w:p>
    <w:p w14:paraId="515139A3" w14:textId="77777777" w:rsidP="00412DE8" w:rsidR="00412DE8" w:rsidRDefault="00412DE8" w:rsidRPr="00F27C75">
      <w:pPr>
        <w:jc w:val="both"/>
        <w:rPr>
          <w:rFonts w:cstheme="minorHAnsi"/>
        </w:rPr>
      </w:pPr>
      <w:r w:rsidRPr="00F27C75">
        <w:rPr>
          <w:rFonts w:cstheme="minorHAnsi"/>
          <w:color w:themeColor="text1" w:val="000000"/>
        </w:rPr>
        <w:t>Un entretien spécifique d’évaluation pourra être organisé pour les personnes qui sont hors grille, en complément de l’entretien annuel. Au cours de cette entretien, une évaluation portant sur les critères de la grille pourra permettre d’envisager une augmentation éventuelle, basée sur le même pallier inscrit dans la grille.</w:t>
      </w:r>
    </w:p>
    <w:p w14:paraId="341D159B" w14:textId="77777777" w:rsidP="00412DE8" w:rsidR="00412DE8" w:rsidRDefault="00412DE8" w:rsidRPr="00F27C75">
      <w:pPr>
        <w:pStyle w:val="paragraph"/>
        <w:spacing w:after="0" w:afterAutospacing="0" w:before="0" w:beforeAutospacing="0"/>
        <w:jc w:val="both"/>
        <w:textAlignment w:val="baseline"/>
        <w:rPr>
          <w:rFonts w:asciiTheme="minorHAnsi" w:cstheme="minorHAnsi" w:hAnsiTheme="minorHAnsi"/>
          <w:sz w:val="22"/>
          <w:szCs w:val="22"/>
        </w:rPr>
      </w:pPr>
      <w:r w:rsidRPr="00F27C75">
        <w:rPr>
          <w:rStyle w:val="normaltextrun"/>
          <w:rFonts w:asciiTheme="minorHAnsi" w:cstheme="minorHAnsi" w:hAnsiTheme="minorHAnsi"/>
          <w:sz w:val="22"/>
          <w:szCs w:val="22"/>
        </w:rPr>
        <w:t>Les critères permettant de faire progresser les salaires</w:t>
      </w:r>
      <w:r>
        <w:rPr>
          <w:rStyle w:val="normaltextrun"/>
          <w:rFonts w:asciiTheme="minorHAnsi" w:cstheme="minorHAnsi" w:hAnsiTheme="minorHAnsi"/>
          <w:sz w:val="22"/>
          <w:szCs w:val="22"/>
        </w:rPr>
        <w:t xml:space="preserve"> des pilotes, chargés d’information et agents administratifs </w:t>
      </w:r>
      <w:r w:rsidRPr="00F27C75">
        <w:rPr>
          <w:rStyle w:val="normaltextrun"/>
          <w:rFonts w:asciiTheme="minorHAnsi" w:cstheme="minorHAnsi" w:hAnsiTheme="minorHAnsi"/>
          <w:sz w:val="22"/>
          <w:szCs w:val="22"/>
        </w:rPr>
        <w:t>sont les suivants :</w:t>
      </w:r>
    </w:p>
    <w:p w14:paraId="5AD2AAA8" w14:textId="77777777" w:rsidP="00412DE8" w:rsidR="00412DE8" w:rsidRDefault="00412DE8" w:rsidRPr="00F27C75">
      <w:pPr>
        <w:pStyle w:val="Paragraphedeliste"/>
        <w:numPr>
          <w:ilvl w:val="0"/>
          <w:numId w:val="4"/>
        </w:numPr>
        <w:spacing w:after="120"/>
        <w:jc w:val="both"/>
        <w:rPr>
          <w:rStyle w:val="normaltextrun"/>
          <w:rFonts w:cstheme="minorHAnsi"/>
        </w:rPr>
      </w:pPr>
      <w:r w:rsidRPr="00F27C75">
        <w:rPr>
          <w:rFonts w:cstheme="minorHAnsi"/>
        </w:rPr>
        <w:t>la transversalité/ disponibilité</w:t>
      </w:r>
      <w:r>
        <w:rPr>
          <w:rFonts w:cstheme="minorHAnsi"/>
        </w:rPr>
        <w:t> ;</w:t>
      </w:r>
    </w:p>
    <w:p w14:paraId="5EE9D695" w14:textId="77777777" w:rsidP="00412DE8" w:rsidR="00412DE8" w:rsidRDefault="00412DE8" w:rsidRPr="00F27C75">
      <w:pPr>
        <w:pStyle w:val="Paragraphedeliste"/>
        <w:numPr>
          <w:ilvl w:val="0"/>
          <w:numId w:val="4"/>
        </w:numPr>
        <w:spacing w:after="120"/>
        <w:jc w:val="both"/>
        <w:rPr>
          <w:rStyle w:val="normaltextrun"/>
          <w:rFonts w:cstheme="minorHAnsi"/>
          <w:bCs/>
        </w:rPr>
      </w:pPr>
      <w:r w:rsidRPr="00F27C75">
        <w:rPr>
          <w:rFonts w:cstheme="minorHAnsi"/>
          <w:bCs/>
        </w:rPr>
        <w:t xml:space="preserve">la polyvalence : ce </w:t>
      </w:r>
      <w:r w:rsidRPr="00F27C75">
        <w:rPr>
          <w:rStyle w:val="normaltextrun"/>
          <w:rFonts w:cstheme="minorHAnsi"/>
          <w:color w:val="000000"/>
          <w:shd w:color="auto" w:fill="FFFFFF" w:val="clear"/>
        </w:rPr>
        <w:t xml:space="preserve">critère évalue la capacité </w:t>
      </w:r>
      <w:r>
        <w:rPr>
          <w:rStyle w:val="normaltextrun"/>
          <w:rFonts w:cstheme="minorHAnsi"/>
          <w:color w:val="000000"/>
          <w:shd w:color="auto" w:fill="FFFFFF" w:val="clear"/>
        </w:rPr>
        <w:t xml:space="preserve">du salarié </w:t>
      </w:r>
      <w:r w:rsidRPr="00F27C75">
        <w:rPr>
          <w:rStyle w:val="normaltextrun"/>
          <w:rFonts w:cstheme="minorHAnsi"/>
          <w:color w:val="000000"/>
          <w:shd w:color="auto" w:fill="FFFFFF" w:val="clear"/>
        </w:rPr>
        <w:t>à travailler sur</w:t>
      </w:r>
      <w:r>
        <w:rPr>
          <w:rStyle w:val="normaltextrun"/>
          <w:rFonts w:cstheme="minorHAnsi"/>
          <w:color w:val="000000"/>
          <w:shd w:color="auto" w:fill="FFFFFF" w:val="clear"/>
        </w:rPr>
        <w:t xml:space="preserve"> les différentes activités des sites auxquels il est affecté.</w:t>
      </w:r>
      <w:r w:rsidRPr="00F27C75">
        <w:rPr>
          <w:rStyle w:val="normaltextrun"/>
          <w:rFonts w:cstheme="minorHAnsi"/>
          <w:color w:val="000000"/>
          <w:shd w:color="auto" w:fill="FFFFFF" w:val="clear"/>
        </w:rPr>
        <w:t xml:space="preserve"> </w:t>
      </w:r>
    </w:p>
    <w:p w14:paraId="4BD9ED04" w14:textId="77777777" w:rsidP="00412DE8" w:rsidR="00412DE8" w:rsidRDefault="00412DE8" w:rsidRPr="00F27C75">
      <w:pPr>
        <w:pStyle w:val="Paragraphedeliste"/>
        <w:numPr>
          <w:ilvl w:val="0"/>
          <w:numId w:val="4"/>
        </w:numPr>
        <w:spacing w:after="120"/>
        <w:jc w:val="both"/>
        <w:rPr>
          <w:rStyle w:val="normaltextrun"/>
          <w:rFonts w:cstheme="minorHAnsi"/>
          <w:bCs/>
        </w:rPr>
      </w:pPr>
      <w:r w:rsidRPr="00F27C75">
        <w:rPr>
          <w:rFonts w:cstheme="minorHAnsi"/>
          <w:bCs/>
        </w:rPr>
        <w:t xml:space="preserve">la performance/les soft </w:t>
      </w:r>
      <w:proofErr w:type="spellStart"/>
      <w:r w:rsidRPr="00F27C75">
        <w:rPr>
          <w:rFonts w:cstheme="minorHAnsi"/>
          <w:bCs/>
        </w:rPr>
        <w:t>skills</w:t>
      </w:r>
      <w:proofErr w:type="spellEnd"/>
      <w:r w:rsidRPr="00F27C75">
        <w:rPr>
          <w:rFonts w:cstheme="minorHAnsi"/>
          <w:bCs/>
        </w:rPr>
        <w:t xml:space="preserve"> : </w:t>
      </w:r>
      <w:r w:rsidRPr="00F27C75">
        <w:rPr>
          <w:rStyle w:val="normaltextrun"/>
          <w:rFonts w:cstheme="minorHAnsi"/>
          <w:color w:val="000000"/>
          <w:bdr w:color="auto" w:frame="1" w:space="0" w:sz="0" w:val="none"/>
        </w:rPr>
        <w:t xml:space="preserve">ce critère est apprécié au regard de la moyenne de la note managériale inscrite sur les </w:t>
      </w:r>
      <w:r>
        <w:rPr>
          <w:rStyle w:val="normaltextrun"/>
          <w:rFonts w:cstheme="minorHAnsi"/>
          <w:color w:val="000000"/>
          <w:bdr w:color="auto" w:frame="1" w:space="0" w:sz="0" w:val="none"/>
        </w:rPr>
        <w:t>trois</w:t>
      </w:r>
      <w:r w:rsidRPr="00F27C75">
        <w:rPr>
          <w:rStyle w:val="normaltextrun"/>
          <w:rFonts w:cstheme="minorHAnsi"/>
          <w:color w:val="000000"/>
          <w:bdr w:color="auto" w:frame="1" w:space="0" w:sz="0" w:val="none"/>
        </w:rPr>
        <w:t xml:space="preserve"> années précédant la progression dans la grille lors de l’entretien d’évaluation.</w:t>
      </w:r>
    </w:p>
    <w:p w14:paraId="026698F6" w14:textId="77777777" w:rsidP="00412DE8" w:rsidR="00412DE8" w:rsidRDefault="00412DE8">
      <w:pPr>
        <w:spacing w:after="120"/>
        <w:jc w:val="both"/>
        <w:rPr>
          <w:rStyle w:val="normaltextrun"/>
          <w:rFonts w:cstheme="minorHAnsi"/>
        </w:rPr>
      </w:pPr>
      <w:r w:rsidRPr="00F27C75">
        <w:rPr>
          <w:rStyle w:val="normaltextrun"/>
          <w:rFonts w:cstheme="minorHAnsi"/>
        </w:rPr>
        <w:t>Le score total, sur les 3 critères, doit être supérieur ou ég</w:t>
      </w:r>
      <w:r w:rsidRPr="00AC7167">
        <w:rPr>
          <w:rStyle w:val="normaltextrun"/>
          <w:rFonts w:cstheme="minorHAnsi"/>
        </w:rPr>
        <w:t>al à 15</w:t>
      </w:r>
      <w:r w:rsidRPr="00F27C75">
        <w:rPr>
          <w:rStyle w:val="normaltextrun"/>
          <w:rFonts w:cstheme="minorHAnsi"/>
        </w:rPr>
        <w:t xml:space="preserve"> pour être positionné dans l’échelon supérieur.</w:t>
      </w:r>
    </w:p>
    <w:p w14:paraId="3506B510" w14:textId="77777777" w:rsidP="00412DE8" w:rsidR="00412DE8" w:rsidRDefault="00412DE8">
      <w:pPr>
        <w:spacing w:after="120"/>
        <w:jc w:val="both"/>
        <w:rPr>
          <w:rStyle w:val="eop"/>
        </w:rPr>
      </w:pPr>
      <w:r w:rsidRPr="366915F3">
        <w:rPr>
          <w:rStyle w:val="normaltextrun"/>
        </w:rPr>
        <w:t>Si un critère ou plus est inapplicable, une appréciation individuelle sera opérée par la Direction (Direction fonctionnelle et Direction des Ressources Humaines) pour déterminer une éventuelle progression sur l’échelon supérieur.</w:t>
      </w:r>
    </w:p>
    <w:p w14:paraId="5D5CFA49" w14:textId="77777777" w:rsidP="00412DE8" w:rsidR="00412DE8" w:rsidRDefault="00412DE8" w:rsidRPr="00F27C75">
      <w:pPr>
        <w:pStyle w:val="paragraph"/>
        <w:spacing w:after="0" w:afterAutospacing="0" w:before="0" w:beforeAutospacing="0"/>
        <w:jc w:val="both"/>
        <w:textAlignment w:val="baseline"/>
        <w:rPr>
          <w:rFonts w:asciiTheme="minorHAnsi" w:cstheme="minorHAnsi" w:hAnsiTheme="minorHAnsi"/>
          <w:sz w:val="22"/>
          <w:szCs w:val="22"/>
        </w:rPr>
      </w:pPr>
      <w:r w:rsidRPr="00F27C75">
        <w:rPr>
          <w:rStyle w:val="eop"/>
          <w:rFonts w:asciiTheme="minorHAnsi" w:cstheme="minorHAnsi" w:hAnsiTheme="minorHAnsi"/>
          <w:sz w:val="22"/>
          <w:szCs w:val="22"/>
        </w:rPr>
        <w:t>En tout état de cause, un positionnement sur un échelon supérieur sera opéré automatiquement tous les 6 ans pour ces collaborateurs.</w:t>
      </w:r>
    </w:p>
    <w:p w14:paraId="52FA9A56" w14:textId="77777777" w:rsidP="00412DE8" w:rsidR="00412DE8" w:rsidRDefault="00412DE8" w:rsidRPr="00F27C75">
      <w:pPr>
        <w:spacing w:after="120" w:before="360"/>
        <w:jc w:val="both"/>
        <w:rPr>
          <w:rFonts w:cstheme="minorHAnsi"/>
          <w:bCs/>
        </w:rPr>
      </w:pPr>
      <w:r w:rsidRPr="00F27C75">
        <w:rPr>
          <w:rFonts w:cstheme="minorHAnsi"/>
          <w:bCs/>
        </w:rPr>
        <w:t>Chaque critère permet l’attribution d’un certain nombre de points :</w:t>
      </w:r>
    </w:p>
    <w:tbl>
      <w:tblPr>
        <w:tblW w:type="dxa" w:w="7369"/>
        <w:jc w:val="center"/>
        <w:tblBorders>
          <w:top w:color="000000" w:space="0" w:sz="6" w:themeColor="text1" w:val="single"/>
          <w:left w:color="000000" w:space="0" w:sz="6" w:themeColor="text1" w:val="single"/>
          <w:bottom w:color="000000" w:space="0" w:sz="6" w:themeColor="text1" w:val="single"/>
          <w:right w:color="000000" w:space="0" w:sz="6" w:themeColor="text1" w:val="single"/>
          <w:insideH w:color="000000" w:space="0" w:sz="6" w:themeColor="text1" w:val="single"/>
          <w:insideV w:color="000000" w:space="0" w:sz="6" w:themeColor="text1" w:val="single"/>
        </w:tblBorders>
        <w:tblCellMar>
          <w:top w:type="dxa" w:w="15"/>
          <w:left w:type="dxa" w:w="70"/>
          <w:bottom w:type="dxa" w:w="15"/>
          <w:right w:type="dxa" w:w="70"/>
        </w:tblCellMar>
        <w:tblLook w:firstColumn="1" w:firstRow="1" w:lastColumn="0" w:lastRow="0" w:noHBand="0" w:noVBand="1" w:val="04A0"/>
      </w:tblPr>
      <w:tblGrid>
        <w:gridCol w:w="2577"/>
        <w:gridCol w:w="1384"/>
        <w:gridCol w:w="851"/>
        <w:gridCol w:w="778"/>
        <w:gridCol w:w="842"/>
        <w:gridCol w:w="937"/>
      </w:tblGrid>
      <w:tr w14:paraId="0B59D6C5" w14:textId="77777777" w:rsidR="00412DE8" w:rsidRPr="00F27C75" w:rsidTr="00DB5657">
        <w:trPr>
          <w:trHeight w:val="367"/>
          <w:jc w:val="center"/>
        </w:trPr>
        <w:tc>
          <w:tcPr>
            <w:tcW w:type="dxa" w:w="2577"/>
            <w:noWrap/>
            <w:vAlign w:val="bottom"/>
          </w:tcPr>
          <w:p w14:paraId="72FFAA95" w14:textId="77777777" w:rsidP="00DB5657" w:rsidR="00412DE8" w:rsidRDefault="00412DE8" w:rsidRPr="00F27C75">
            <w:pPr>
              <w:spacing w:after="0" w:line="240" w:lineRule="auto"/>
              <w:jc w:val="both"/>
              <w:rPr>
                <w:rFonts w:cstheme="minorHAnsi" w:eastAsia="Times New Roman"/>
                <w:color w:val="000000"/>
                <w:lang w:eastAsia="fr-FR"/>
              </w:rPr>
            </w:pPr>
            <w:r>
              <w:rPr>
                <w:rFonts w:cstheme="minorHAnsi" w:eastAsia="Times New Roman"/>
                <w:color w:val="000000"/>
                <w:lang w:eastAsia="fr-FR"/>
              </w:rPr>
              <w:t>Ancienneté</w:t>
            </w:r>
          </w:p>
        </w:tc>
        <w:tc>
          <w:tcPr>
            <w:tcW w:type="dxa" w:w="1384"/>
            <w:vAlign w:val="bottom"/>
          </w:tcPr>
          <w:p w14:paraId="5540120F" w14:textId="77777777" w:rsidP="00DB5657" w:rsidR="00412DE8" w:rsidRDefault="00412DE8" w:rsidRPr="07ED5F34">
            <w:pPr>
              <w:spacing w:after="0" w:line="240" w:lineRule="auto"/>
              <w:jc w:val="center"/>
              <w:rPr>
                <w:rFonts w:eastAsia="Times New Roman"/>
                <w:color w:themeColor="text1" w:val="000000"/>
                <w:lang w:eastAsia="fr-FR"/>
              </w:rPr>
            </w:pPr>
            <w:r w:rsidRPr="07ED5F34">
              <w:rPr>
                <w:rFonts w:eastAsia="Times New Roman"/>
                <w:color w:themeColor="text1" w:val="000000"/>
                <w:lang w:eastAsia="fr-FR"/>
              </w:rPr>
              <w:t>Jusque 3 ans</w:t>
            </w:r>
          </w:p>
        </w:tc>
        <w:tc>
          <w:tcPr>
            <w:tcW w:type="dxa" w:w="851"/>
            <w:noWrap/>
            <w:vAlign w:val="bottom"/>
          </w:tcPr>
          <w:p w14:paraId="1601B413" w14:textId="77777777" w:rsidP="00DB5657" w:rsidR="00412DE8" w:rsidRDefault="00412DE8" w:rsidRPr="00F27C75">
            <w:pPr>
              <w:spacing w:after="0" w:line="240" w:lineRule="auto"/>
              <w:jc w:val="center"/>
              <w:rPr>
                <w:rFonts w:eastAsia="Times New Roman"/>
                <w:color w:val="000000"/>
                <w:lang w:eastAsia="fr-FR"/>
              </w:rPr>
            </w:pPr>
            <w:r w:rsidRPr="07ED5F34">
              <w:rPr>
                <w:rFonts w:eastAsia="Times New Roman"/>
                <w:color w:themeColor="text1" w:val="000000"/>
                <w:lang w:eastAsia="fr-FR"/>
              </w:rPr>
              <w:t>&lt;6ans</w:t>
            </w:r>
          </w:p>
        </w:tc>
        <w:tc>
          <w:tcPr>
            <w:tcW w:type="dxa" w:w="778"/>
            <w:noWrap/>
            <w:vAlign w:val="bottom"/>
          </w:tcPr>
          <w:p w14:paraId="5A660296" w14:textId="77777777" w:rsidP="00DB5657" w:rsidR="00412DE8" w:rsidRDefault="00412DE8" w:rsidRPr="00F27C75">
            <w:pPr>
              <w:spacing w:after="0" w:line="240" w:lineRule="auto"/>
              <w:jc w:val="center"/>
              <w:rPr>
                <w:rFonts w:eastAsia="Times New Roman"/>
                <w:color w:val="000000"/>
                <w:lang w:eastAsia="fr-FR"/>
              </w:rPr>
            </w:pPr>
            <w:r w:rsidRPr="07ED5F34">
              <w:rPr>
                <w:rFonts w:eastAsia="Times New Roman"/>
                <w:color w:themeColor="text1" w:val="000000"/>
                <w:lang w:eastAsia="fr-FR"/>
              </w:rPr>
              <w:t>&lt;9ans</w:t>
            </w:r>
          </w:p>
        </w:tc>
        <w:tc>
          <w:tcPr>
            <w:tcW w:type="dxa" w:w="842"/>
            <w:noWrap/>
            <w:vAlign w:val="bottom"/>
          </w:tcPr>
          <w:p w14:paraId="167E0B7D" w14:textId="77777777" w:rsidP="00DB5657" w:rsidR="00412DE8" w:rsidRDefault="00412DE8" w:rsidRPr="00F27C75">
            <w:pPr>
              <w:spacing w:after="0" w:line="240" w:lineRule="auto"/>
              <w:jc w:val="center"/>
              <w:rPr>
                <w:rFonts w:eastAsia="Times New Roman"/>
                <w:color w:themeColor="text1" w:val="000000"/>
                <w:lang w:eastAsia="fr-FR"/>
              </w:rPr>
            </w:pPr>
            <w:r w:rsidRPr="07ED5F34">
              <w:rPr>
                <w:rFonts w:eastAsia="Times New Roman"/>
                <w:color w:themeColor="text1" w:val="000000"/>
                <w:lang w:eastAsia="fr-FR"/>
              </w:rPr>
              <w:t>&lt;12ans</w:t>
            </w:r>
          </w:p>
        </w:tc>
        <w:tc>
          <w:tcPr>
            <w:tcW w:type="dxa" w:w="937"/>
            <w:noWrap/>
            <w:vAlign w:val="bottom"/>
          </w:tcPr>
          <w:p w14:paraId="7C8B6976" w14:textId="77777777" w:rsidP="00DB5657" w:rsidR="00412DE8" w:rsidRDefault="00412DE8" w:rsidRPr="00F27C75">
            <w:pPr>
              <w:spacing w:after="0" w:line="240" w:lineRule="auto"/>
              <w:jc w:val="center"/>
              <w:rPr>
                <w:rFonts w:eastAsia="Times New Roman"/>
                <w:color w:themeColor="text1" w:val="000000"/>
                <w:lang w:eastAsia="fr-FR"/>
              </w:rPr>
            </w:pPr>
            <w:r w:rsidRPr="07ED5F34">
              <w:rPr>
                <w:rFonts w:eastAsia="Times New Roman"/>
                <w:color w:themeColor="text1" w:val="000000"/>
                <w:lang w:eastAsia="fr-FR"/>
              </w:rPr>
              <w:t>&lt;15ans</w:t>
            </w:r>
          </w:p>
        </w:tc>
      </w:tr>
      <w:tr w14:paraId="75093244" w14:textId="77777777" w:rsidR="00412DE8" w:rsidRPr="00F27C75" w:rsidTr="00DB5657">
        <w:trPr>
          <w:trHeight w:val="367"/>
          <w:jc w:val="center"/>
        </w:trPr>
        <w:tc>
          <w:tcPr>
            <w:tcW w:type="dxa" w:w="2577"/>
            <w:noWrap/>
            <w:vAlign w:val="bottom"/>
            <w:hideMark/>
          </w:tcPr>
          <w:p w14:paraId="109103A2" w14:textId="77777777" w:rsidP="00DB5657" w:rsidR="00412DE8" w:rsidRDefault="00412DE8" w:rsidRPr="00F27C75">
            <w:pPr>
              <w:spacing w:after="0" w:line="240" w:lineRule="auto"/>
              <w:jc w:val="both"/>
              <w:rPr>
                <w:rFonts w:cstheme="minorHAnsi" w:eastAsia="Times New Roman"/>
                <w:color w:val="000000"/>
                <w:lang w:eastAsia="fr-FR"/>
              </w:rPr>
            </w:pPr>
            <w:r w:rsidRPr="00F27C75">
              <w:rPr>
                <w:rFonts w:cstheme="minorHAnsi" w:eastAsia="Times New Roman"/>
                <w:color w:val="000000"/>
                <w:lang w:eastAsia="fr-FR"/>
              </w:rPr>
              <w:t>Transversalité/disponibilité</w:t>
            </w:r>
          </w:p>
        </w:tc>
        <w:tc>
          <w:tcPr>
            <w:tcW w:type="dxa" w:w="1384"/>
            <w:vAlign w:val="bottom"/>
          </w:tcPr>
          <w:p w14:paraId="26451CF1" w14:textId="77777777" w:rsidP="00DB5657" w:rsidR="00412DE8" w:rsidRDefault="00412DE8">
            <w:pPr>
              <w:spacing w:line="240" w:lineRule="auto"/>
              <w:jc w:val="center"/>
              <w:rPr>
                <w:rFonts w:eastAsia="Times New Roman"/>
                <w:color w:themeColor="text1" w:val="000000"/>
                <w:lang w:eastAsia="fr-FR"/>
              </w:rPr>
            </w:pPr>
          </w:p>
        </w:tc>
        <w:tc>
          <w:tcPr>
            <w:tcW w:type="dxa" w:w="851"/>
            <w:noWrap/>
            <w:vAlign w:val="bottom"/>
            <w:hideMark/>
          </w:tcPr>
          <w:p w14:paraId="44742124"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4</w:t>
            </w:r>
          </w:p>
        </w:tc>
        <w:tc>
          <w:tcPr>
            <w:tcW w:type="dxa" w:w="778"/>
            <w:noWrap/>
            <w:vAlign w:val="bottom"/>
            <w:hideMark/>
          </w:tcPr>
          <w:p w14:paraId="362848E1"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5</w:t>
            </w:r>
          </w:p>
        </w:tc>
        <w:tc>
          <w:tcPr>
            <w:tcW w:type="dxa" w:w="842"/>
            <w:noWrap/>
            <w:vAlign w:val="bottom"/>
            <w:hideMark/>
          </w:tcPr>
          <w:p w14:paraId="4280C1AB"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themeColor="text1" w:val="000000"/>
                <w:lang w:eastAsia="fr-FR"/>
              </w:rPr>
              <w:t>6</w:t>
            </w:r>
          </w:p>
        </w:tc>
        <w:tc>
          <w:tcPr>
            <w:tcW w:type="dxa" w:w="937"/>
            <w:noWrap/>
            <w:vAlign w:val="bottom"/>
            <w:hideMark/>
          </w:tcPr>
          <w:p w14:paraId="6092A678"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themeColor="text1" w:val="000000"/>
                <w:lang w:eastAsia="fr-FR"/>
              </w:rPr>
              <w:t>6</w:t>
            </w:r>
          </w:p>
        </w:tc>
      </w:tr>
      <w:tr w14:paraId="58DFECA7" w14:textId="77777777" w:rsidR="00412DE8" w:rsidRPr="00F27C75" w:rsidTr="00DB5657">
        <w:trPr>
          <w:trHeight w:val="367"/>
          <w:jc w:val="center"/>
        </w:trPr>
        <w:tc>
          <w:tcPr>
            <w:tcW w:type="dxa" w:w="2577"/>
            <w:noWrap/>
            <w:vAlign w:val="bottom"/>
            <w:hideMark/>
          </w:tcPr>
          <w:p w14:paraId="7CDA5163" w14:textId="77777777" w:rsidP="00DB5657" w:rsidR="00412DE8" w:rsidRDefault="00412DE8" w:rsidRPr="00F27C75">
            <w:pPr>
              <w:spacing w:after="0" w:line="240" w:lineRule="auto"/>
              <w:jc w:val="both"/>
              <w:rPr>
                <w:rFonts w:cstheme="minorHAnsi" w:eastAsia="Times New Roman"/>
                <w:color w:val="000000"/>
                <w:lang w:eastAsia="fr-FR"/>
              </w:rPr>
            </w:pPr>
            <w:r>
              <w:rPr>
                <w:rFonts w:cstheme="minorHAnsi" w:eastAsia="Times New Roman"/>
                <w:color w:themeColor="text1" w:val="000000"/>
                <w:lang w:eastAsia="fr-FR"/>
              </w:rPr>
              <w:t>P</w:t>
            </w:r>
            <w:r w:rsidRPr="00F27C75">
              <w:rPr>
                <w:rFonts w:cstheme="minorHAnsi" w:eastAsia="Times New Roman"/>
                <w:color w:themeColor="text1" w:val="000000"/>
                <w:lang w:eastAsia="fr-FR"/>
              </w:rPr>
              <w:t>olyvalence</w:t>
            </w:r>
          </w:p>
        </w:tc>
        <w:tc>
          <w:tcPr>
            <w:tcW w:type="dxa" w:w="1384"/>
            <w:vAlign w:val="bottom"/>
          </w:tcPr>
          <w:p w14:paraId="5E713860" w14:textId="77777777" w:rsidP="00DB5657" w:rsidR="00412DE8" w:rsidRDefault="00412DE8">
            <w:pPr>
              <w:spacing w:line="240" w:lineRule="auto"/>
              <w:jc w:val="center"/>
              <w:rPr>
                <w:rFonts w:eastAsia="Times New Roman"/>
                <w:color w:themeColor="text1" w:val="000000"/>
                <w:lang w:eastAsia="fr-FR"/>
              </w:rPr>
            </w:pPr>
          </w:p>
        </w:tc>
        <w:tc>
          <w:tcPr>
            <w:tcW w:type="dxa" w:w="851"/>
            <w:noWrap/>
            <w:vAlign w:val="bottom"/>
            <w:hideMark/>
          </w:tcPr>
          <w:p w14:paraId="388CACFE"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8</w:t>
            </w:r>
          </w:p>
        </w:tc>
        <w:tc>
          <w:tcPr>
            <w:tcW w:type="dxa" w:w="778"/>
            <w:noWrap/>
            <w:vAlign w:val="bottom"/>
            <w:hideMark/>
          </w:tcPr>
          <w:p w14:paraId="07D55841" w14:textId="77777777" w:rsidP="00DB5657" w:rsidR="00412DE8" w:rsidRDefault="00412DE8" w:rsidRPr="00F27C75">
            <w:pPr>
              <w:spacing w:after="0" w:line="240" w:lineRule="auto"/>
              <w:jc w:val="center"/>
              <w:rPr>
                <w:rFonts w:cstheme="minorHAnsi" w:eastAsia="Times New Roman"/>
                <w:color w:themeColor="text1" w:val="000000"/>
                <w:lang w:eastAsia="fr-FR"/>
              </w:rPr>
            </w:pPr>
            <w:r w:rsidRPr="00F27C75">
              <w:rPr>
                <w:rFonts w:cstheme="minorHAnsi" w:eastAsia="Times New Roman"/>
                <w:color w:themeColor="text1" w:val="000000"/>
                <w:lang w:eastAsia="fr-FR"/>
              </w:rPr>
              <w:t>7</w:t>
            </w:r>
          </w:p>
        </w:tc>
        <w:tc>
          <w:tcPr>
            <w:tcW w:type="dxa" w:w="842"/>
            <w:noWrap/>
            <w:vAlign w:val="bottom"/>
            <w:hideMark/>
          </w:tcPr>
          <w:p w14:paraId="1EA77022"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7</w:t>
            </w:r>
          </w:p>
        </w:tc>
        <w:tc>
          <w:tcPr>
            <w:tcW w:type="dxa" w:w="937"/>
            <w:noWrap/>
            <w:vAlign w:val="bottom"/>
            <w:hideMark/>
          </w:tcPr>
          <w:p w14:paraId="18859CE0"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7</w:t>
            </w:r>
          </w:p>
        </w:tc>
      </w:tr>
      <w:tr w14:paraId="2B346199" w14:textId="77777777" w:rsidR="00412DE8" w:rsidRPr="00F27C75" w:rsidTr="00DB5657">
        <w:trPr>
          <w:trHeight w:val="367"/>
          <w:jc w:val="center"/>
        </w:trPr>
        <w:tc>
          <w:tcPr>
            <w:tcW w:type="dxa" w:w="2577"/>
            <w:noWrap/>
            <w:vAlign w:val="bottom"/>
            <w:hideMark/>
          </w:tcPr>
          <w:p w14:paraId="2186B41D" w14:textId="77777777" w:rsidP="00DB5657" w:rsidR="00412DE8" w:rsidRDefault="00412DE8" w:rsidRPr="00F27C75">
            <w:pPr>
              <w:spacing w:after="0" w:line="240" w:lineRule="auto"/>
              <w:jc w:val="both"/>
              <w:rPr>
                <w:rFonts w:cstheme="minorHAnsi" w:eastAsia="Times New Roman"/>
                <w:color w:val="000000"/>
                <w:lang w:eastAsia="fr-FR"/>
              </w:rPr>
            </w:pPr>
            <w:r>
              <w:rPr>
                <w:rFonts w:cstheme="minorHAnsi" w:eastAsia="Times New Roman"/>
                <w:color w:themeColor="text1" w:val="000000"/>
                <w:lang w:eastAsia="fr-FR"/>
              </w:rPr>
              <w:t>P</w:t>
            </w:r>
            <w:r w:rsidRPr="00F27C75">
              <w:rPr>
                <w:rFonts w:cstheme="minorHAnsi" w:eastAsia="Times New Roman"/>
                <w:color w:themeColor="text1" w:val="000000"/>
                <w:lang w:eastAsia="fr-FR"/>
              </w:rPr>
              <w:t>erformance</w:t>
            </w:r>
          </w:p>
        </w:tc>
        <w:tc>
          <w:tcPr>
            <w:tcW w:type="dxa" w:w="1384"/>
            <w:vAlign w:val="bottom"/>
          </w:tcPr>
          <w:p w14:paraId="47B87029" w14:textId="77777777" w:rsidP="00DB5657" w:rsidR="00412DE8" w:rsidRDefault="00412DE8">
            <w:pPr>
              <w:spacing w:line="240" w:lineRule="auto"/>
              <w:jc w:val="center"/>
              <w:rPr>
                <w:rFonts w:eastAsia="Times New Roman"/>
                <w:color w:themeColor="text1" w:val="000000"/>
                <w:lang w:eastAsia="fr-FR"/>
              </w:rPr>
            </w:pPr>
          </w:p>
        </w:tc>
        <w:tc>
          <w:tcPr>
            <w:tcW w:type="dxa" w:w="851"/>
            <w:noWrap/>
            <w:vAlign w:val="bottom"/>
            <w:hideMark/>
          </w:tcPr>
          <w:p w14:paraId="09B3B482"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8</w:t>
            </w:r>
          </w:p>
        </w:tc>
        <w:tc>
          <w:tcPr>
            <w:tcW w:type="dxa" w:w="778"/>
            <w:noWrap/>
            <w:vAlign w:val="bottom"/>
            <w:hideMark/>
          </w:tcPr>
          <w:p w14:paraId="4E208A03"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8</w:t>
            </w:r>
          </w:p>
        </w:tc>
        <w:tc>
          <w:tcPr>
            <w:tcW w:type="dxa" w:w="842"/>
            <w:noWrap/>
            <w:vAlign w:val="bottom"/>
            <w:hideMark/>
          </w:tcPr>
          <w:p w14:paraId="515B6410"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7</w:t>
            </w:r>
          </w:p>
        </w:tc>
        <w:tc>
          <w:tcPr>
            <w:tcW w:type="dxa" w:w="937"/>
            <w:noWrap/>
            <w:vAlign w:val="bottom"/>
            <w:hideMark/>
          </w:tcPr>
          <w:p w14:paraId="3A1AA4E3"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val="000000"/>
                <w:lang w:eastAsia="fr-FR"/>
              </w:rPr>
              <w:t>7</w:t>
            </w:r>
          </w:p>
        </w:tc>
      </w:tr>
      <w:tr w14:paraId="56DEDDD2" w14:textId="77777777" w:rsidR="00412DE8" w:rsidRPr="00F27C75" w:rsidTr="00DB5657">
        <w:trPr>
          <w:trHeight w:val="367"/>
          <w:jc w:val="center"/>
        </w:trPr>
        <w:tc>
          <w:tcPr>
            <w:tcW w:type="dxa" w:w="2577"/>
            <w:noWrap/>
            <w:vAlign w:val="bottom"/>
            <w:hideMark/>
          </w:tcPr>
          <w:p w14:paraId="1390E8DA" w14:textId="77777777" w:rsidP="00DB5657" w:rsidR="00412DE8" w:rsidRDefault="00412DE8" w:rsidRPr="00F27C75">
            <w:pPr>
              <w:spacing w:after="0" w:line="240" w:lineRule="auto"/>
              <w:jc w:val="both"/>
              <w:rPr>
                <w:rFonts w:cstheme="minorHAnsi" w:eastAsia="Times New Roman"/>
                <w:b/>
                <w:bCs/>
                <w:color w:val="000000"/>
                <w:lang w:eastAsia="fr-FR"/>
              </w:rPr>
            </w:pPr>
            <w:r w:rsidRPr="00F27C75">
              <w:rPr>
                <w:rFonts w:cstheme="minorHAnsi" w:eastAsia="Times New Roman"/>
                <w:b/>
                <w:bCs/>
                <w:color w:themeColor="text1" w:val="000000"/>
                <w:lang w:eastAsia="fr-FR"/>
              </w:rPr>
              <w:t>TOTAL</w:t>
            </w:r>
          </w:p>
        </w:tc>
        <w:tc>
          <w:tcPr>
            <w:tcW w:type="dxa" w:w="1384"/>
            <w:vAlign w:val="bottom"/>
          </w:tcPr>
          <w:p w14:paraId="3941A480" w14:textId="77777777" w:rsidP="00DB5657" w:rsidR="00412DE8" w:rsidRDefault="00412DE8" w:rsidRPr="07ED5F34">
            <w:pPr>
              <w:spacing w:after="0" w:line="240" w:lineRule="auto"/>
              <w:jc w:val="center"/>
              <w:rPr>
                <w:rFonts w:eastAsia="Times New Roman"/>
                <w:color w:themeColor="text1" w:val="000000"/>
                <w:lang w:eastAsia="fr-FR"/>
              </w:rPr>
            </w:pPr>
            <w:r w:rsidRPr="07ED5F34">
              <w:rPr>
                <w:rFonts w:eastAsia="Times New Roman"/>
                <w:color w:themeColor="text1" w:val="000000"/>
                <w:lang w:eastAsia="fr-FR"/>
              </w:rPr>
              <w:t>0</w:t>
            </w:r>
          </w:p>
        </w:tc>
        <w:tc>
          <w:tcPr>
            <w:tcW w:type="dxa" w:w="851"/>
            <w:noWrap/>
            <w:vAlign w:val="bottom"/>
            <w:hideMark/>
          </w:tcPr>
          <w:p w14:paraId="265089E9"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themeColor="text1" w:val="000000"/>
                <w:lang w:eastAsia="fr-FR"/>
              </w:rPr>
              <w:t>20</w:t>
            </w:r>
          </w:p>
        </w:tc>
        <w:tc>
          <w:tcPr>
            <w:tcW w:type="dxa" w:w="778"/>
            <w:noWrap/>
            <w:vAlign w:val="bottom"/>
            <w:hideMark/>
          </w:tcPr>
          <w:p w14:paraId="7AC76717"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themeColor="text1" w:val="000000"/>
                <w:lang w:eastAsia="fr-FR"/>
              </w:rPr>
              <w:t>20</w:t>
            </w:r>
          </w:p>
        </w:tc>
        <w:tc>
          <w:tcPr>
            <w:tcW w:type="dxa" w:w="842"/>
            <w:noWrap/>
            <w:vAlign w:val="bottom"/>
            <w:hideMark/>
          </w:tcPr>
          <w:p w14:paraId="4ECAC714"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themeColor="text1" w:val="000000"/>
                <w:lang w:eastAsia="fr-FR"/>
              </w:rPr>
              <w:t>20</w:t>
            </w:r>
          </w:p>
        </w:tc>
        <w:tc>
          <w:tcPr>
            <w:tcW w:type="dxa" w:w="937"/>
            <w:noWrap/>
            <w:vAlign w:val="bottom"/>
            <w:hideMark/>
          </w:tcPr>
          <w:p w14:paraId="54442F7E" w14:textId="77777777" w:rsidP="00DB5657" w:rsidR="00412DE8" w:rsidRDefault="00412DE8" w:rsidRPr="00F27C75">
            <w:pPr>
              <w:spacing w:after="0" w:line="240" w:lineRule="auto"/>
              <w:jc w:val="center"/>
              <w:rPr>
                <w:rFonts w:cstheme="minorHAnsi" w:eastAsia="Times New Roman"/>
                <w:color w:val="000000"/>
                <w:lang w:eastAsia="fr-FR"/>
              </w:rPr>
            </w:pPr>
            <w:r w:rsidRPr="00F27C75">
              <w:rPr>
                <w:rFonts w:cstheme="minorHAnsi" w:eastAsia="Times New Roman"/>
                <w:color w:themeColor="text1" w:val="000000"/>
                <w:lang w:eastAsia="fr-FR"/>
              </w:rPr>
              <w:t>20</w:t>
            </w:r>
          </w:p>
        </w:tc>
      </w:tr>
    </w:tbl>
    <w:p w14:paraId="3EF0B474" w14:textId="77777777" w:rsidP="00412DE8" w:rsidR="00412DE8" w:rsidRDefault="00412DE8">
      <w:pPr>
        <w:spacing w:after="120" w:before="360"/>
        <w:jc w:val="both"/>
        <w:rPr>
          <w:rFonts w:cstheme="minorHAnsi"/>
        </w:rPr>
      </w:pPr>
    </w:p>
    <w:p w14:paraId="3347A6F3" w14:textId="77777777" w:rsidP="00412DE8" w:rsidR="00412DE8" w:rsidRDefault="00412DE8" w:rsidRPr="00F27C75">
      <w:pPr>
        <w:spacing w:after="120" w:before="360"/>
        <w:jc w:val="both"/>
        <w:rPr>
          <w:rFonts w:cstheme="minorHAnsi"/>
        </w:rPr>
      </w:pPr>
      <w:r w:rsidRPr="00F27C75">
        <w:rPr>
          <w:rFonts w:cstheme="minorHAnsi"/>
        </w:rPr>
        <w:lastRenderedPageBreak/>
        <w:t>Cette mesure concerne les salariés dont le poste/libellé d’emploi est le suivant au 1</w:t>
      </w:r>
      <w:r w:rsidRPr="00F27C75">
        <w:rPr>
          <w:rFonts w:cstheme="minorHAnsi"/>
          <w:vertAlign w:val="superscript"/>
        </w:rPr>
        <w:t>er</w:t>
      </w:r>
      <w:r w:rsidRPr="00F27C75">
        <w:rPr>
          <w:rFonts w:cstheme="minorHAnsi"/>
        </w:rPr>
        <w:t xml:space="preserve"> janvier 2022</w:t>
      </w:r>
      <w:r>
        <w:rPr>
          <w:rFonts w:cstheme="minorHAnsi"/>
        </w:rPr>
        <w:t> :</w:t>
      </w:r>
    </w:p>
    <w:p w14:paraId="5EDC85D4"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AGENT</w:t>
      </w:r>
      <w:r>
        <w:rPr>
          <w:rFonts w:cstheme="minorHAnsi" w:eastAsia="Times New Roman"/>
          <w:lang w:eastAsia="fr-FR"/>
        </w:rPr>
        <w:t>(</w:t>
      </w:r>
      <w:r w:rsidRPr="00F27C75">
        <w:rPr>
          <w:rFonts w:cstheme="minorHAnsi" w:eastAsia="Times New Roman"/>
          <w:lang w:eastAsia="fr-FR"/>
        </w:rPr>
        <w:t>E</w:t>
      </w:r>
      <w:r>
        <w:rPr>
          <w:rFonts w:cstheme="minorHAnsi" w:eastAsia="Times New Roman"/>
          <w:lang w:eastAsia="fr-FR"/>
        </w:rPr>
        <w:t>)</w:t>
      </w:r>
      <w:r w:rsidRPr="00F27C75">
        <w:rPr>
          <w:rFonts w:cstheme="minorHAnsi" w:eastAsia="Times New Roman"/>
          <w:lang w:eastAsia="fr-FR"/>
        </w:rPr>
        <w:t xml:space="preserve"> ADMINISTRATI</w:t>
      </w:r>
      <w:r>
        <w:rPr>
          <w:rFonts w:cstheme="minorHAnsi" w:eastAsia="Times New Roman"/>
          <w:lang w:eastAsia="fr-FR"/>
        </w:rPr>
        <w:t>F(</w:t>
      </w:r>
      <w:r w:rsidRPr="00F27C75">
        <w:rPr>
          <w:rFonts w:cstheme="minorHAnsi" w:eastAsia="Times New Roman"/>
          <w:lang w:eastAsia="fr-FR"/>
        </w:rPr>
        <w:t>VE</w:t>
      </w:r>
      <w:r>
        <w:rPr>
          <w:rFonts w:cstheme="minorHAnsi" w:eastAsia="Times New Roman"/>
          <w:lang w:eastAsia="fr-FR"/>
        </w:rPr>
        <w:t>)</w:t>
      </w:r>
    </w:p>
    <w:p w14:paraId="4D06EFC7"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Pr>
          <w:rFonts w:cstheme="minorHAnsi" w:eastAsia="Times New Roman"/>
          <w:lang w:eastAsia="fr-FR"/>
        </w:rPr>
        <w:t>(</w:t>
      </w:r>
      <w:r w:rsidRPr="00F27C75">
        <w:rPr>
          <w:rFonts w:cstheme="minorHAnsi" w:eastAsia="Times New Roman"/>
          <w:lang w:eastAsia="fr-FR"/>
        </w:rPr>
        <w:t>E</w:t>
      </w:r>
      <w:r>
        <w:rPr>
          <w:rFonts w:cstheme="minorHAnsi" w:eastAsia="Times New Roman"/>
          <w:lang w:eastAsia="fr-FR"/>
        </w:rPr>
        <w:t>)</w:t>
      </w:r>
      <w:r w:rsidRPr="00F27C75">
        <w:rPr>
          <w:rFonts w:cstheme="minorHAnsi" w:eastAsia="Times New Roman"/>
          <w:lang w:eastAsia="fr-FR"/>
        </w:rPr>
        <w:t xml:space="preserve"> D’INFORMATION</w:t>
      </w:r>
    </w:p>
    <w:p w14:paraId="1E29965D"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Pr>
          <w:rFonts w:cstheme="minorHAnsi" w:eastAsia="Times New Roman"/>
          <w:lang w:eastAsia="fr-FR"/>
        </w:rPr>
        <w:t>(</w:t>
      </w:r>
      <w:r w:rsidRPr="00F27C75">
        <w:rPr>
          <w:rFonts w:cstheme="minorHAnsi" w:eastAsia="Times New Roman"/>
          <w:lang w:eastAsia="fr-FR"/>
        </w:rPr>
        <w:t>E</w:t>
      </w:r>
      <w:r>
        <w:rPr>
          <w:rFonts w:cstheme="minorHAnsi" w:eastAsia="Times New Roman"/>
          <w:lang w:eastAsia="fr-FR"/>
        </w:rPr>
        <w:t>)</w:t>
      </w:r>
      <w:r w:rsidRPr="00F27C75">
        <w:rPr>
          <w:rFonts w:cstheme="minorHAnsi" w:eastAsia="Times New Roman"/>
          <w:lang w:eastAsia="fr-FR"/>
        </w:rPr>
        <w:t xml:space="preserve"> D’INFORMATION EMPLOI</w:t>
      </w:r>
    </w:p>
    <w:p w14:paraId="3C7A24EF"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Pr>
          <w:rFonts w:cstheme="minorHAnsi" w:eastAsia="Times New Roman"/>
          <w:lang w:eastAsia="fr-FR"/>
        </w:rPr>
        <w:t>(</w:t>
      </w:r>
      <w:r w:rsidRPr="00F27C75">
        <w:rPr>
          <w:rFonts w:cstheme="minorHAnsi" w:eastAsia="Times New Roman"/>
          <w:lang w:eastAsia="fr-FR"/>
        </w:rPr>
        <w:t>E</w:t>
      </w:r>
      <w:r>
        <w:rPr>
          <w:rFonts w:cstheme="minorHAnsi" w:eastAsia="Times New Roman"/>
          <w:lang w:eastAsia="fr-FR"/>
        </w:rPr>
        <w:t>)</w:t>
      </w:r>
      <w:r w:rsidRPr="00F27C75">
        <w:rPr>
          <w:rFonts w:cstheme="minorHAnsi" w:eastAsia="Times New Roman"/>
          <w:lang w:eastAsia="fr-FR"/>
        </w:rPr>
        <w:t xml:space="preserve"> DE RECOUVREMENT</w:t>
      </w:r>
    </w:p>
    <w:p w14:paraId="34E7B2AD"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Pr>
          <w:rFonts w:cstheme="minorHAnsi" w:eastAsia="Times New Roman"/>
          <w:lang w:eastAsia="fr-FR"/>
        </w:rPr>
        <w:t>(</w:t>
      </w:r>
      <w:r w:rsidRPr="00F27C75">
        <w:rPr>
          <w:rFonts w:cstheme="minorHAnsi" w:eastAsia="Times New Roman"/>
          <w:lang w:eastAsia="fr-FR"/>
        </w:rPr>
        <w:t>E</w:t>
      </w:r>
      <w:r>
        <w:rPr>
          <w:rFonts w:cstheme="minorHAnsi" w:eastAsia="Times New Roman"/>
          <w:lang w:eastAsia="fr-FR"/>
        </w:rPr>
        <w:t>)</w:t>
      </w:r>
      <w:r w:rsidRPr="00F27C75">
        <w:rPr>
          <w:rFonts w:cstheme="minorHAnsi" w:eastAsia="Times New Roman"/>
          <w:lang w:eastAsia="fr-FR"/>
        </w:rPr>
        <w:t xml:space="preserve"> INFORMATION SUIVI ADMINISTRATIF</w:t>
      </w:r>
    </w:p>
    <w:p w14:paraId="37BE661F"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HOTE</w:t>
      </w:r>
      <w:r>
        <w:rPr>
          <w:rFonts w:cstheme="minorHAnsi" w:eastAsia="Times New Roman"/>
          <w:lang w:eastAsia="fr-FR"/>
        </w:rPr>
        <w:t>(</w:t>
      </w:r>
      <w:r w:rsidRPr="00F27C75">
        <w:rPr>
          <w:rFonts w:cstheme="minorHAnsi" w:eastAsia="Times New Roman"/>
          <w:lang w:eastAsia="fr-FR"/>
        </w:rPr>
        <w:t>SSE</w:t>
      </w:r>
      <w:r>
        <w:rPr>
          <w:rFonts w:cstheme="minorHAnsi" w:eastAsia="Times New Roman"/>
          <w:lang w:eastAsia="fr-FR"/>
        </w:rPr>
        <w:t>)</w:t>
      </w:r>
      <w:r w:rsidRPr="00F27C75">
        <w:rPr>
          <w:rFonts w:cstheme="minorHAnsi" w:eastAsia="Times New Roman"/>
          <w:lang w:eastAsia="fr-FR"/>
        </w:rPr>
        <w:t xml:space="preserve"> D’ACCUEIL ASSISTANT</w:t>
      </w:r>
      <w:r>
        <w:rPr>
          <w:rFonts w:cstheme="minorHAnsi" w:eastAsia="Times New Roman"/>
          <w:lang w:eastAsia="fr-FR"/>
        </w:rPr>
        <w:t>(</w:t>
      </w:r>
      <w:r w:rsidRPr="00F27C75">
        <w:rPr>
          <w:rFonts w:cstheme="minorHAnsi" w:eastAsia="Times New Roman"/>
          <w:lang w:eastAsia="fr-FR"/>
        </w:rPr>
        <w:t>E</w:t>
      </w:r>
      <w:r>
        <w:rPr>
          <w:rFonts w:cstheme="minorHAnsi" w:eastAsia="Times New Roman"/>
          <w:lang w:eastAsia="fr-FR"/>
        </w:rPr>
        <w:t>)</w:t>
      </w:r>
      <w:r w:rsidRPr="00F27C75">
        <w:rPr>
          <w:rFonts w:cstheme="minorHAnsi" w:eastAsia="Times New Roman"/>
          <w:lang w:eastAsia="fr-FR"/>
        </w:rPr>
        <w:t xml:space="preserve"> ADMINISTRATI</w:t>
      </w:r>
      <w:r>
        <w:rPr>
          <w:rFonts w:cstheme="minorHAnsi" w:eastAsia="Times New Roman"/>
          <w:lang w:eastAsia="fr-FR"/>
        </w:rPr>
        <w:t>F(</w:t>
      </w:r>
      <w:r w:rsidRPr="00F27C75">
        <w:rPr>
          <w:rFonts w:cstheme="minorHAnsi" w:eastAsia="Times New Roman"/>
          <w:lang w:eastAsia="fr-FR"/>
        </w:rPr>
        <w:t>VE</w:t>
      </w:r>
      <w:r>
        <w:rPr>
          <w:rFonts w:cstheme="minorHAnsi" w:eastAsia="Times New Roman"/>
          <w:lang w:eastAsia="fr-FR"/>
        </w:rPr>
        <w:t>)</w:t>
      </w:r>
    </w:p>
    <w:p w14:paraId="1E6093D9" w14:textId="77777777" w:rsidP="00412DE8" w:rsidR="00412DE8" w:rsidRDefault="00412DE8" w:rsidRPr="00F27C75">
      <w:pPr>
        <w:pStyle w:val="Paragraphedeliste"/>
        <w:numPr>
          <w:ilvl w:val="2"/>
          <w:numId w:val="8"/>
        </w:numPr>
        <w:spacing w:after="120" w:before="360"/>
        <w:jc w:val="both"/>
        <w:rPr>
          <w:rFonts w:cstheme="minorHAnsi"/>
          <w:b/>
          <w:bCs/>
          <w:u w:val="single"/>
        </w:rPr>
      </w:pPr>
      <w:r w:rsidRPr="00F27C75">
        <w:rPr>
          <w:rFonts w:cstheme="minorHAnsi"/>
          <w:b/>
          <w:bCs/>
          <w:u w:val="single"/>
        </w:rPr>
        <w:t>Budget d’augmentation individuelle au 1</w:t>
      </w:r>
      <w:r w:rsidRPr="00F27C75">
        <w:rPr>
          <w:rFonts w:cstheme="minorHAnsi"/>
          <w:b/>
          <w:bCs/>
          <w:u w:val="single"/>
          <w:vertAlign w:val="superscript"/>
        </w:rPr>
        <w:t>er</w:t>
      </w:r>
      <w:r w:rsidRPr="00F27C75">
        <w:rPr>
          <w:rFonts w:cstheme="minorHAnsi"/>
          <w:b/>
          <w:bCs/>
          <w:u w:val="single"/>
        </w:rPr>
        <w:t xml:space="preserve"> janvier 2022 pour les salariés ETAM des fonctions supports </w:t>
      </w:r>
    </w:p>
    <w:p w14:paraId="7A14A479" w14:textId="77777777" w:rsidP="00412DE8" w:rsidR="00412DE8" w:rsidRDefault="00412DE8" w:rsidRPr="00F27C75">
      <w:pPr>
        <w:spacing w:after="120" w:before="360"/>
        <w:jc w:val="both"/>
        <w:rPr>
          <w:color w:themeColor="text1" w:val="000000"/>
        </w:rPr>
      </w:pPr>
      <w:r w:rsidRPr="00AC7167">
        <w:rPr>
          <w:color w:themeColor="text1" w:val="000000"/>
        </w:rPr>
        <w:t>Au 1</w:t>
      </w:r>
      <w:r w:rsidRPr="00AC7167">
        <w:rPr>
          <w:color w:themeColor="text1" w:val="000000"/>
          <w:vertAlign w:val="superscript"/>
        </w:rPr>
        <w:t>er</w:t>
      </w:r>
      <w:r w:rsidRPr="00AC7167">
        <w:rPr>
          <w:color w:themeColor="text1" w:val="000000"/>
        </w:rPr>
        <w:t xml:space="preserve"> janvier 2022, il est constitué un budget représentant 2% de la masse </w:t>
      </w:r>
      <w:r w:rsidRPr="00AC7167">
        <w:t xml:space="preserve">salariale </w:t>
      </w:r>
      <w:r w:rsidRPr="00AC7167">
        <w:rPr>
          <w:color w:themeColor="text1" w:val="000000"/>
        </w:rPr>
        <w:t xml:space="preserve">des salariés ETAM de cette catégorie </w:t>
      </w:r>
      <w:r w:rsidRPr="00AC7167">
        <w:t xml:space="preserve">(soit 8 500€). </w:t>
      </w:r>
      <w:r w:rsidRPr="00AC7167">
        <w:rPr>
          <w:color w:themeColor="text1" w:val="000000"/>
        </w:rPr>
        <w:t>Ce budget sera réparti de façon discrétionnaire, sur proposition de la hiérarchie et validation de la Direction</w:t>
      </w:r>
      <w:r w:rsidRPr="366915F3">
        <w:rPr>
          <w:color w:themeColor="text1" w:val="000000"/>
        </w:rPr>
        <w:t>.</w:t>
      </w:r>
    </w:p>
    <w:p w14:paraId="04F6C274" w14:textId="77777777" w:rsidP="00412DE8" w:rsidR="00412DE8" w:rsidRDefault="00412DE8" w:rsidRPr="00F27C75">
      <w:pPr>
        <w:spacing w:after="120" w:before="360"/>
        <w:jc w:val="both"/>
        <w:rPr>
          <w:rFonts w:cstheme="minorHAnsi"/>
          <w:bCs/>
          <w:color w:themeColor="text1" w:val="000000"/>
        </w:rPr>
      </w:pPr>
      <w:r w:rsidRPr="00F27C75">
        <w:rPr>
          <w:rFonts w:cstheme="minorHAnsi"/>
          <w:bCs/>
          <w:color w:themeColor="text1" w:val="000000"/>
        </w:rPr>
        <w:t>Les salariés concernés sont les salariés du siège, catégorie ETAM, et n’appartenant pas : à la Direction du Conseil RH, à l’équipe P</w:t>
      </w:r>
      <w:r>
        <w:rPr>
          <w:rFonts w:cstheme="minorHAnsi"/>
          <w:bCs/>
          <w:color w:themeColor="text1" w:val="000000"/>
        </w:rPr>
        <w:t xml:space="preserve">lateforme </w:t>
      </w:r>
      <w:r w:rsidRPr="00F27C75">
        <w:rPr>
          <w:rFonts w:cstheme="minorHAnsi"/>
          <w:bCs/>
          <w:color w:themeColor="text1" w:val="000000"/>
        </w:rPr>
        <w:t>Ad</w:t>
      </w:r>
      <w:r>
        <w:rPr>
          <w:rFonts w:cstheme="minorHAnsi"/>
          <w:bCs/>
          <w:color w:themeColor="text1" w:val="000000"/>
        </w:rPr>
        <w:t>ministrative (PAD)</w:t>
      </w:r>
      <w:r w:rsidRPr="00F27C75">
        <w:rPr>
          <w:rFonts w:cstheme="minorHAnsi"/>
          <w:bCs/>
          <w:color w:themeColor="text1" w:val="000000"/>
        </w:rPr>
        <w:t xml:space="preserve"> et Centre de Contact, ainsi qu’à la Direction des Opérations.</w:t>
      </w:r>
    </w:p>
    <w:p w14:paraId="098E7F6F" w14:textId="77777777" w:rsidP="00412DE8" w:rsidR="00412DE8" w:rsidRDefault="00412DE8" w:rsidRPr="00F27C75">
      <w:pPr>
        <w:pStyle w:val="Paragraphedeliste"/>
        <w:numPr>
          <w:ilvl w:val="2"/>
          <w:numId w:val="8"/>
        </w:numPr>
        <w:spacing w:after="120" w:before="360"/>
        <w:jc w:val="both"/>
        <w:rPr>
          <w:rFonts w:cstheme="minorHAnsi"/>
          <w:b/>
          <w:bCs/>
          <w:u w:val="single"/>
        </w:rPr>
      </w:pPr>
      <w:r w:rsidRPr="00F27C75">
        <w:rPr>
          <w:rFonts w:cstheme="minorHAnsi"/>
          <w:b/>
          <w:bCs/>
          <w:u w:val="single"/>
        </w:rPr>
        <w:t>Augmentations générales au 1</w:t>
      </w:r>
      <w:r w:rsidRPr="00F27C75">
        <w:rPr>
          <w:rFonts w:cstheme="minorHAnsi"/>
          <w:b/>
          <w:bCs/>
          <w:u w:val="single"/>
          <w:vertAlign w:val="superscript"/>
        </w:rPr>
        <w:t>er</w:t>
      </w:r>
      <w:r w:rsidRPr="00F27C75">
        <w:rPr>
          <w:rFonts w:cstheme="minorHAnsi"/>
          <w:b/>
          <w:bCs/>
          <w:u w:val="single"/>
        </w:rPr>
        <w:t xml:space="preserve"> juillet 2022 pour les salariés ETAM hors fonctions support</w:t>
      </w:r>
    </w:p>
    <w:p w14:paraId="3ABB8E01" w14:textId="77777777" w:rsidP="00412DE8" w:rsidR="00412DE8" w:rsidRDefault="00412DE8" w:rsidRPr="00F27C75">
      <w:pPr>
        <w:pStyle w:val="Paragraphedeliste"/>
        <w:spacing w:after="120" w:before="360"/>
        <w:ind w:left="1224"/>
        <w:jc w:val="both"/>
        <w:rPr>
          <w:rFonts w:cstheme="minorHAnsi"/>
          <w:b/>
          <w:bCs/>
        </w:rPr>
      </w:pPr>
    </w:p>
    <w:p w14:paraId="48439D8C" w14:textId="77777777" w:rsidP="00412DE8" w:rsidR="00412DE8" w:rsidRDefault="00412DE8" w:rsidRPr="00F27C75">
      <w:pPr>
        <w:pStyle w:val="Paragraphedeliste"/>
        <w:numPr>
          <w:ilvl w:val="3"/>
          <w:numId w:val="8"/>
        </w:numPr>
        <w:spacing w:after="120" w:before="360"/>
        <w:jc w:val="both"/>
        <w:rPr>
          <w:rFonts w:cstheme="minorHAnsi"/>
          <w:b/>
          <w:bCs/>
        </w:rPr>
      </w:pPr>
      <w:r w:rsidRPr="00F27C75">
        <w:rPr>
          <w:rFonts w:cstheme="minorHAnsi"/>
          <w:b/>
          <w:bCs/>
        </w:rPr>
        <w:t>Augmentation des salaires des conseillers et consultants</w:t>
      </w:r>
    </w:p>
    <w:p w14:paraId="64FFCDE3" w14:textId="77777777" w:rsidP="00412DE8" w:rsidR="00412DE8" w:rsidRDefault="00412DE8" w:rsidRPr="00F27C75">
      <w:pPr>
        <w:spacing w:after="120" w:before="360"/>
        <w:jc w:val="both"/>
        <w:rPr>
          <w:rFonts w:cstheme="minorHAnsi"/>
          <w:bCs/>
          <w:color w:themeColor="text1" w:val="000000"/>
        </w:rPr>
      </w:pPr>
      <w:r w:rsidRPr="005E281D">
        <w:rPr>
          <w:rFonts w:cstheme="minorHAnsi"/>
          <w:bCs/>
        </w:rPr>
        <w:t>Au 1</w:t>
      </w:r>
      <w:r w:rsidRPr="005E281D">
        <w:rPr>
          <w:rFonts w:cstheme="minorHAnsi"/>
          <w:bCs/>
          <w:vertAlign w:val="superscript"/>
        </w:rPr>
        <w:t>er</w:t>
      </w:r>
      <w:r w:rsidRPr="005E281D">
        <w:rPr>
          <w:rFonts w:cstheme="minorHAnsi"/>
          <w:bCs/>
        </w:rPr>
        <w:t xml:space="preserve"> juillet 2022, </w:t>
      </w:r>
      <w:r w:rsidRPr="005E281D">
        <w:rPr>
          <w:rFonts w:cstheme="minorHAnsi"/>
          <w:bCs/>
          <w:color w:themeColor="text1" w:val="000000"/>
        </w:rPr>
        <w:t>les salaires seront augmentés de 1 %</w:t>
      </w:r>
      <w:r w:rsidRPr="00F27C75">
        <w:rPr>
          <w:rFonts w:cstheme="minorHAnsi"/>
          <w:bCs/>
          <w:color w:themeColor="text1" w:val="000000"/>
        </w:rPr>
        <w:t xml:space="preserve"> pour l’ensemble des salariés présents au 1</w:t>
      </w:r>
      <w:r w:rsidRPr="00F27C75">
        <w:rPr>
          <w:rFonts w:cstheme="minorHAnsi"/>
          <w:bCs/>
          <w:color w:themeColor="text1" w:val="000000"/>
          <w:vertAlign w:val="superscript"/>
        </w:rPr>
        <w:t>er</w:t>
      </w:r>
      <w:r w:rsidRPr="00F27C75">
        <w:rPr>
          <w:rFonts w:cstheme="minorHAnsi"/>
          <w:bCs/>
          <w:color w:themeColor="text1" w:val="000000"/>
        </w:rPr>
        <w:t xml:space="preserve"> juillet 2022 et dont l’intitulé d’emploi est présent dans la liste ci-dessous :</w:t>
      </w:r>
    </w:p>
    <w:p w14:paraId="448A68FD"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CHARGE</w:t>
      </w:r>
      <w:r>
        <w:rPr>
          <w:rFonts w:cstheme="minorHAnsi"/>
          <w:bCs/>
          <w:color w:themeColor="text1" w:val="000000"/>
        </w:rPr>
        <w:t>(</w:t>
      </w:r>
      <w:r w:rsidRPr="005E281D">
        <w:rPr>
          <w:rFonts w:cstheme="minorHAnsi"/>
          <w:bCs/>
          <w:color w:themeColor="text1" w:val="000000"/>
        </w:rPr>
        <w:t>E</w:t>
      </w:r>
      <w:r>
        <w:rPr>
          <w:rFonts w:cstheme="minorHAnsi"/>
          <w:bCs/>
          <w:color w:themeColor="text1" w:val="000000"/>
        </w:rPr>
        <w:t>)</w:t>
      </w:r>
      <w:r w:rsidRPr="005E281D">
        <w:rPr>
          <w:rFonts w:cstheme="minorHAnsi"/>
          <w:bCs/>
          <w:color w:themeColor="text1" w:val="000000"/>
        </w:rPr>
        <w:t xml:space="preserve"> DE SUIVI DURABLE</w:t>
      </w:r>
    </w:p>
    <w:p w14:paraId="0CEA7E7E"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CHARGE</w:t>
      </w:r>
      <w:r w:rsidRPr="008B3622">
        <w:rPr>
          <w:rFonts w:cstheme="minorHAnsi"/>
          <w:bCs/>
          <w:color w:themeColor="text1" w:val="000000"/>
        </w:rPr>
        <w:t>(E)</w:t>
      </w:r>
      <w:r w:rsidRPr="005E281D">
        <w:rPr>
          <w:rFonts w:cstheme="minorHAnsi"/>
          <w:bCs/>
          <w:color w:themeColor="text1" w:val="000000"/>
        </w:rPr>
        <w:t xml:space="preserve"> PLACEMENT DIRECT</w:t>
      </w:r>
    </w:p>
    <w:p w14:paraId="1B034D51" w14:textId="77777777" w:rsidP="00412DE8" w:rsidR="00412DE8" w:rsidRDefault="00412DE8" w:rsidRPr="008B3622">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8B3622">
        <w:rPr>
          <w:rFonts w:cstheme="minorHAnsi"/>
          <w:bCs/>
          <w:color w:themeColor="text1" w:val="000000"/>
        </w:rPr>
        <w:t>CONSEILLER(E) EN EVOLUTION PROFESSIONNELLE</w:t>
      </w:r>
    </w:p>
    <w:p w14:paraId="68B9CFF9"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CONSEILLER</w:t>
      </w:r>
      <w:r w:rsidRPr="008B3622">
        <w:rPr>
          <w:rFonts w:cstheme="minorHAnsi"/>
          <w:bCs/>
          <w:color w:themeColor="text1" w:val="000000"/>
        </w:rPr>
        <w:t>(E)</w:t>
      </w:r>
      <w:r w:rsidRPr="005E281D">
        <w:rPr>
          <w:rFonts w:cstheme="minorHAnsi"/>
          <w:bCs/>
          <w:color w:themeColor="text1" w:val="000000"/>
        </w:rPr>
        <w:t xml:space="preserve"> EN INSERTION PROFESSIONNELLE</w:t>
      </w:r>
    </w:p>
    <w:p w14:paraId="3B6C8276"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CONSEILLER</w:t>
      </w:r>
      <w:r w:rsidRPr="008B3622">
        <w:rPr>
          <w:rFonts w:cstheme="minorHAnsi"/>
          <w:bCs/>
          <w:color w:themeColor="text1" w:val="000000"/>
        </w:rPr>
        <w:t>(E)</w:t>
      </w:r>
      <w:r w:rsidRPr="005E281D">
        <w:rPr>
          <w:rFonts w:cstheme="minorHAnsi"/>
          <w:bCs/>
          <w:color w:themeColor="text1" w:val="000000"/>
        </w:rPr>
        <w:t xml:space="preserve"> SUPPORT PERFORMANCE</w:t>
      </w:r>
    </w:p>
    <w:p w14:paraId="4CD5BE23"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CONSEILLER</w:t>
      </w:r>
      <w:r w:rsidRPr="008B3622">
        <w:rPr>
          <w:rFonts w:cstheme="minorHAnsi"/>
          <w:bCs/>
          <w:color w:themeColor="text1" w:val="000000"/>
        </w:rPr>
        <w:t>(E)</w:t>
      </w:r>
      <w:r w:rsidRPr="005E281D">
        <w:rPr>
          <w:rFonts w:cstheme="minorHAnsi"/>
          <w:bCs/>
          <w:color w:themeColor="text1" w:val="000000"/>
        </w:rPr>
        <w:t xml:space="preserve"> EN ACCOMPAGNENT ET PLACEMENT</w:t>
      </w:r>
    </w:p>
    <w:p w14:paraId="3EEC1351"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CONSULTANT</w:t>
      </w:r>
      <w:r w:rsidRPr="008B3622">
        <w:rPr>
          <w:rFonts w:cstheme="minorHAnsi"/>
          <w:bCs/>
          <w:color w:themeColor="text1" w:val="000000"/>
        </w:rPr>
        <w:t>(E)</w:t>
      </w:r>
    </w:p>
    <w:p w14:paraId="01ADD2A9"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CONSULTANT</w:t>
      </w:r>
      <w:r w:rsidRPr="008B3622">
        <w:rPr>
          <w:rFonts w:cstheme="minorHAnsi"/>
          <w:bCs/>
          <w:color w:themeColor="text1" w:val="000000"/>
        </w:rPr>
        <w:t>(E)</w:t>
      </w:r>
      <w:r w:rsidRPr="005E281D">
        <w:rPr>
          <w:rFonts w:cstheme="minorHAnsi"/>
          <w:bCs/>
          <w:color w:themeColor="text1" w:val="000000"/>
        </w:rPr>
        <w:t xml:space="preserve"> SENIOR</w:t>
      </w:r>
    </w:p>
    <w:p w14:paraId="047754C5" w14:textId="77777777" w:rsidP="00412DE8" w:rsidR="00412DE8" w:rsidRDefault="00412DE8" w:rsidRPr="005E281D">
      <w:pPr>
        <w:pStyle w:val="Paragraphedeliste"/>
        <w:numPr>
          <w:ilvl w:val="0"/>
          <w:numId w:val="6"/>
        </w:numPr>
        <w:tabs>
          <w:tab w:pos="720" w:val="clear"/>
          <w:tab w:pos="1560" w:val="num"/>
        </w:tabs>
        <w:spacing w:after="120" w:before="360"/>
        <w:ind w:firstLine="414"/>
        <w:jc w:val="both"/>
        <w:rPr>
          <w:rFonts w:cstheme="minorHAnsi"/>
          <w:bCs/>
          <w:color w:themeColor="text1" w:val="000000"/>
        </w:rPr>
      </w:pPr>
      <w:r w:rsidRPr="005E281D">
        <w:rPr>
          <w:rFonts w:cstheme="minorHAnsi"/>
          <w:bCs/>
          <w:color w:themeColor="text1" w:val="000000"/>
        </w:rPr>
        <w:t>FORMAT</w:t>
      </w:r>
      <w:r>
        <w:rPr>
          <w:rFonts w:cstheme="minorHAnsi"/>
          <w:bCs/>
          <w:color w:themeColor="text1" w:val="000000"/>
        </w:rPr>
        <w:t>EUR(</w:t>
      </w:r>
      <w:r w:rsidRPr="005E281D">
        <w:rPr>
          <w:rFonts w:cstheme="minorHAnsi"/>
          <w:bCs/>
          <w:color w:themeColor="text1" w:val="000000"/>
        </w:rPr>
        <w:t>RICE</w:t>
      </w:r>
      <w:r>
        <w:rPr>
          <w:rFonts w:cstheme="minorHAnsi"/>
          <w:bCs/>
          <w:color w:themeColor="text1" w:val="000000"/>
        </w:rPr>
        <w:t>)</w:t>
      </w:r>
    </w:p>
    <w:p w14:paraId="70FBC5F5" w14:textId="77777777" w:rsidP="00412DE8" w:rsidR="00412DE8" w:rsidRDefault="00412DE8" w:rsidRPr="00F27C75">
      <w:pPr>
        <w:spacing w:after="120" w:before="360"/>
        <w:jc w:val="both"/>
        <w:rPr>
          <w:rStyle w:val="normaltextrun"/>
          <w:rFonts w:cstheme="minorHAnsi"/>
          <w:shd w:color="auto" w:fill="FFFFFF" w:val="clear"/>
        </w:rPr>
      </w:pPr>
      <w:r w:rsidRPr="00F27C75">
        <w:rPr>
          <w:rStyle w:val="normaltextrun"/>
          <w:rFonts w:cstheme="minorHAnsi"/>
          <w:shd w:color="auto" w:fill="FFFFFF" w:val="clear"/>
        </w:rPr>
        <w:t xml:space="preserve">A </w:t>
      </w:r>
      <w:r w:rsidRPr="005E281D">
        <w:rPr>
          <w:rStyle w:val="normaltextrun"/>
          <w:rFonts w:cstheme="minorHAnsi"/>
          <w:shd w:color="auto" w:fill="FFFFFF" w:val="clear"/>
        </w:rPr>
        <w:t>compter du 1</w:t>
      </w:r>
      <w:r w:rsidRPr="005E281D">
        <w:rPr>
          <w:rStyle w:val="normaltextrun"/>
          <w:rFonts w:cstheme="minorHAnsi"/>
          <w:shd w:color="auto" w:fill="FFFFFF" w:val="clear"/>
          <w:vertAlign w:val="superscript"/>
        </w:rPr>
        <w:t>er</w:t>
      </w:r>
      <w:r w:rsidRPr="005E281D">
        <w:rPr>
          <w:rStyle w:val="normaltextrun"/>
          <w:rFonts w:cstheme="minorHAnsi"/>
          <w:shd w:color="auto" w:fill="FFFFFF" w:val="clear"/>
        </w:rPr>
        <w:t xml:space="preserve"> juillet 2022, le</w:t>
      </w:r>
      <w:r w:rsidRPr="00F27C75">
        <w:rPr>
          <w:rStyle w:val="normaltextrun"/>
          <w:rFonts w:cstheme="minorHAnsi"/>
          <w:shd w:color="auto" w:fill="FFFFFF" w:val="clear"/>
        </w:rPr>
        <w:t xml:space="preserve"> salaire d’entrée / de recrutement à ces fonctions, ou dans des fonctions similaires qui viendraient à être créées, sera de :</w:t>
      </w:r>
    </w:p>
    <w:p w14:paraId="05E64847" w14:textId="77777777" w:rsidP="00412DE8" w:rsidR="00412DE8" w:rsidRDefault="00412DE8" w:rsidRPr="005E281D">
      <w:pPr>
        <w:pStyle w:val="Paragraphedeliste"/>
        <w:numPr>
          <w:ilvl w:val="1"/>
          <w:numId w:val="6"/>
        </w:numPr>
        <w:spacing w:after="120"/>
        <w:jc w:val="both"/>
        <w:rPr>
          <w:rStyle w:val="normaltextrun"/>
          <w:rFonts w:cstheme="minorHAnsi"/>
          <w:shd w:color="auto" w:fill="FFFFFF" w:val="clear"/>
        </w:rPr>
      </w:pPr>
      <w:r w:rsidRPr="005E281D">
        <w:rPr>
          <w:rStyle w:val="normaltextrun"/>
          <w:rFonts w:cstheme="minorHAnsi"/>
          <w:shd w:color="auto" w:fill="FFFFFF" w:val="clear"/>
        </w:rPr>
        <w:t>26 110 € brut annuel en province</w:t>
      </w:r>
      <w:r>
        <w:rPr>
          <w:rStyle w:val="normaltextrun"/>
          <w:rFonts w:cstheme="minorHAnsi"/>
          <w:shd w:color="auto" w:fill="FFFFFF" w:val="clear"/>
        </w:rPr>
        <w:t xml:space="preserve"> contre 25 850€ auparavant soit 1 %</w:t>
      </w:r>
    </w:p>
    <w:p w14:paraId="6E6F6EEF" w14:textId="77777777" w:rsidP="00412DE8" w:rsidR="00412DE8" w:rsidRDefault="00412DE8" w:rsidRPr="00EB3E08">
      <w:pPr>
        <w:pStyle w:val="Paragraphedeliste"/>
        <w:numPr>
          <w:ilvl w:val="1"/>
          <w:numId w:val="6"/>
        </w:numPr>
        <w:spacing w:after="120" w:before="360"/>
        <w:jc w:val="both"/>
        <w:rPr>
          <w:rStyle w:val="normaltextrun"/>
          <w:rFonts w:cstheme="minorHAnsi"/>
          <w:shd w:color="auto" w:fill="FFFFFF" w:val="clear"/>
        </w:rPr>
      </w:pPr>
      <w:r w:rsidRPr="005E281D">
        <w:rPr>
          <w:rStyle w:val="normaltextrun"/>
          <w:rFonts w:cstheme="minorHAnsi"/>
          <w:shd w:color="auto" w:fill="FFFFFF" w:val="clear"/>
        </w:rPr>
        <w:t>28 230 € brut annuel en agglomération</w:t>
      </w:r>
      <w:r>
        <w:rPr>
          <w:rStyle w:val="normaltextrun"/>
          <w:rFonts w:cstheme="minorHAnsi"/>
          <w:shd w:color="auto" w:fill="FFFFFF" w:val="clear"/>
        </w:rPr>
        <w:t xml:space="preserve"> contre 27 950€ auparavant soit 1%</w:t>
      </w:r>
    </w:p>
    <w:p w14:paraId="43FFA7EE" w14:textId="77777777" w:rsidP="00412DE8" w:rsidR="00412DE8" w:rsidRDefault="00412DE8" w:rsidRPr="00F27C75">
      <w:pPr>
        <w:pStyle w:val="Paragraphedeliste"/>
        <w:spacing w:after="120" w:before="360"/>
        <w:jc w:val="both"/>
        <w:rPr>
          <w:rFonts w:cstheme="minorHAnsi"/>
          <w:color w:themeColor="text1" w:val="000000"/>
          <w:highlight w:val="yellow"/>
          <w:shd w:color="auto" w:fill="FFFFFF" w:val="clear"/>
        </w:rPr>
      </w:pPr>
    </w:p>
    <w:p w14:paraId="41DA3EE3" w14:textId="77777777" w:rsidP="00412DE8" w:rsidR="00412DE8" w:rsidRDefault="00412DE8" w:rsidRPr="00F27C75">
      <w:pPr>
        <w:pStyle w:val="Paragraphedeliste"/>
        <w:numPr>
          <w:ilvl w:val="3"/>
          <w:numId w:val="8"/>
        </w:numPr>
        <w:spacing w:after="120" w:before="360"/>
        <w:jc w:val="both"/>
        <w:rPr>
          <w:rFonts w:cstheme="minorHAnsi"/>
          <w:b/>
          <w:bCs/>
        </w:rPr>
      </w:pPr>
      <w:r w:rsidRPr="00F27C75">
        <w:rPr>
          <w:rFonts w:cstheme="minorHAnsi"/>
          <w:b/>
          <w:bCs/>
        </w:rPr>
        <w:t>Augmentations des salaires des agents administratifs du centre de contact, de la plateforme administrative, pilotes et chargés d’information</w:t>
      </w:r>
    </w:p>
    <w:p w14:paraId="6CAB53BE" w14:textId="77777777" w:rsidP="00412DE8" w:rsidR="00412DE8" w:rsidRDefault="00412DE8" w:rsidRPr="00F27C75">
      <w:pPr>
        <w:spacing w:after="0" w:before="360"/>
        <w:jc w:val="both"/>
        <w:rPr>
          <w:rFonts w:cstheme="minorHAnsi"/>
          <w:bCs/>
        </w:rPr>
      </w:pPr>
      <w:r w:rsidRPr="00267DB2">
        <w:rPr>
          <w:rFonts w:cstheme="minorHAnsi"/>
          <w:bCs/>
        </w:rPr>
        <w:t>Au 1</w:t>
      </w:r>
      <w:r w:rsidRPr="00267DB2">
        <w:rPr>
          <w:rFonts w:cstheme="minorHAnsi"/>
          <w:bCs/>
          <w:vertAlign w:val="superscript"/>
        </w:rPr>
        <w:t>er</w:t>
      </w:r>
      <w:r w:rsidRPr="00267DB2">
        <w:rPr>
          <w:rFonts w:cstheme="minorHAnsi"/>
          <w:bCs/>
        </w:rPr>
        <w:t xml:space="preserve"> juillet 2022, les</w:t>
      </w:r>
      <w:r w:rsidRPr="00F27C75">
        <w:rPr>
          <w:rFonts w:cstheme="minorHAnsi"/>
          <w:bCs/>
        </w:rPr>
        <w:t xml:space="preserve"> salaires seront augmentés de 2% pour l’ensemble des salariés présents au 1</w:t>
      </w:r>
      <w:r w:rsidRPr="00F27C75">
        <w:rPr>
          <w:rFonts w:cstheme="minorHAnsi"/>
          <w:bCs/>
          <w:vertAlign w:val="superscript"/>
        </w:rPr>
        <w:t>er</w:t>
      </w:r>
      <w:r w:rsidRPr="00F27C75">
        <w:rPr>
          <w:rFonts w:cstheme="minorHAnsi"/>
          <w:bCs/>
        </w:rPr>
        <w:t xml:space="preserve"> juillet 2022 et dont l’intitulé d’emploi est présent dans la liste ci-dessous :</w:t>
      </w:r>
    </w:p>
    <w:p w14:paraId="03B89298"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AGENT</w:t>
      </w:r>
      <w:r w:rsidRPr="008B3622">
        <w:rPr>
          <w:rFonts w:cstheme="minorHAnsi" w:eastAsia="Times New Roman"/>
          <w:lang w:eastAsia="fr-FR"/>
        </w:rPr>
        <w:t>(E)</w:t>
      </w:r>
      <w:r w:rsidRPr="00F27C75">
        <w:rPr>
          <w:rFonts w:cstheme="minorHAnsi" w:eastAsia="Times New Roman"/>
          <w:lang w:eastAsia="fr-FR"/>
        </w:rPr>
        <w:t xml:space="preserve"> ADMINISTRATI</w:t>
      </w:r>
      <w:r>
        <w:rPr>
          <w:rFonts w:cstheme="minorHAnsi" w:eastAsia="Times New Roman"/>
          <w:lang w:eastAsia="fr-FR"/>
        </w:rPr>
        <w:t>F(</w:t>
      </w:r>
      <w:r w:rsidRPr="00F27C75">
        <w:rPr>
          <w:rFonts w:cstheme="minorHAnsi" w:eastAsia="Times New Roman"/>
          <w:lang w:eastAsia="fr-FR"/>
        </w:rPr>
        <w:t>VE</w:t>
      </w:r>
      <w:r>
        <w:rPr>
          <w:rFonts w:cstheme="minorHAnsi" w:eastAsia="Times New Roman"/>
          <w:lang w:eastAsia="fr-FR"/>
        </w:rPr>
        <w:t>)</w:t>
      </w:r>
    </w:p>
    <w:p w14:paraId="5ADC7A5A"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lastRenderedPageBreak/>
        <w:t>CHARGE</w:t>
      </w:r>
      <w:r w:rsidRPr="008B3622">
        <w:rPr>
          <w:rFonts w:cstheme="minorHAnsi" w:eastAsia="Times New Roman"/>
          <w:lang w:eastAsia="fr-FR"/>
        </w:rPr>
        <w:t>(E)</w:t>
      </w:r>
      <w:r w:rsidRPr="00F27C75">
        <w:rPr>
          <w:rFonts w:cstheme="minorHAnsi" w:eastAsia="Times New Roman"/>
          <w:lang w:eastAsia="fr-FR"/>
        </w:rPr>
        <w:t xml:space="preserve"> D’INFORMATION</w:t>
      </w:r>
    </w:p>
    <w:p w14:paraId="574EC42F"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sidRPr="008B3622">
        <w:rPr>
          <w:rFonts w:cstheme="minorHAnsi" w:eastAsia="Times New Roman"/>
          <w:lang w:eastAsia="fr-FR"/>
        </w:rPr>
        <w:t>(E)</w:t>
      </w:r>
      <w:r w:rsidRPr="00F27C75">
        <w:rPr>
          <w:rFonts w:cstheme="minorHAnsi" w:eastAsia="Times New Roman"/>
          <w:lang w:eastAsia="fr-FR"/>
        </w:rPr>
        <w:t xml:space="preserve"> D’INFORMATION EMPLOI</w:t>
      </w:r>
    </w:p>
    <w:p w14:paraId="03C911B9"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sidRPr="008B3622">
        <w:rPr>
          <w:rFonts w:cstheme="minorHAnsi" w:eastAsia="Times New Roman"/>
          <w:lang w:eastAsia="fr-FR"/>
        </w:rPr>
        <w:t>(E)</w:t>
      </w:r>
      <w:r w:rsidRPr="00F27C75">
        <w:rPr>
          <w:rFonts w:cstheme="minorHAnsi" w:eastAsia="Times New Roman"/>
          <w:lang w:eastAsia="fr-FR"/>
        </w:rPr>
        <w:t xml:space="preserve"> DE RECOUVREMENT</w:t>
      </w:r>
    </w:p>
    <w:p w14:paraId="53B9A718"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CHARGE</w:t>
      </w:r>
      <w:r w:rsidRPr="008B3622">
        <w:rPr>
          <w:rFonts w:cstheme="minorHAnsi" w:eastAsia="Times New Roman"/>
          <w:lang w:eastAsia="fr-FR"/>
        </w:rPr>
        <w:t>(E)</w:t>
      </w:r>
      <w:r w:rsidRPr="00F27C75">
        <w:rPr>
          <w:rFonts w:cstheme="minorHAnsi" w:eastAsia="Times New Roman"/>
          <w:lang w:eastAsia="fr-FR"/>
        </w:rPr>
        <w:t xml:space="preserve"> INFORMATION SUIVI ADMINISTRATIF</w:t>
      </w:r>
    </w:p>
    <w:p w14:paraId="144C291A" w14:textId="77777777" w:rsidP="00412DE8" w:rsidR="00412DE8" w:rsidRDefault="00412DE8" w:rsidRPr="00F27C75">
      <w:pPr>
        <w:numPr>
          <w:ilvl w:val="0"/>
          <w:numId w:val="7"/>
        </w:numPr>
        <w:spacing w:after="0" w:line="240" w:lineRule="auto"/>
        <w:ind w:firstLine="0" w:left="1080"/>
        <w:jc w:val="both"/>
        <w:textAlignment w:val="baseline"/>
        <w:rPr>
          <w:rFonts w:cstheme="minorHAnsi" w:eastAsia="Times New Roman"/>
          <w:lang w:eastAsia="fr-FR"/>
        </w:rPr>
      </w:pPr>
      <w:r w:rsidRPr="00F27C75">
        <w:rPr>
          <w:rFonts w:cstheme="minorHAnsi" w:eastAsia="Times New Roman"/>
          <w:lang w:eastAsia="fr-FR"/>
        </w:rPr>
        <w:t>HOTE</w:t>
      </w:r>
      <w:r>
        <w:rPr>
          <w:rFonts w:cstheme="minorHAnsi" w:eastAsia="Times New Roman"/>
          <w:lang w:eastAsia="fr-FR"/>
        </w:rPr>
        <w:t>(</w:t>
      </w:r>
      <w:r w:rsidRPr="00F27C75">
        <w:rPr>
          <w:rFonts w:cstheme="minorHAnsi" w:eastAsia="Times New Roman"/>
          <w:lang w:eastAsia="fr-FR"/>
        </w:rPr>
        <w:t>SSE</w:t>
      </w:r>
      <w:r>
        <w:rPr>
          <w:rFonts w:cstheme="minorHAnsi" w:eastAsia="Times New Roman"/>
          <w:lang w:eastAsia="fr-FR"/>
        </w:rPr>
        <w:t>)</w:t>
      </w:r>
      <w:r w:rsidRPr="00F27C75">
        <w:rPr>
          <w:rFonts w:cstheme="minorHAnsi" w:eastAsia="Times New Roman"/>
          <w:lang w:eastAsia="fr-FR"/>
        </w:rPr>
        <w:t xml:space="preserve"> D’ACCUEIL ASSISTANT</w:t>
      </w:r>
      <w:r w:rsidRPr="008B3622">
        <w:rPr>
          <w:rFonts w:cstheme="minorHAnsi" w:eastAsia="Times New Roman"/>
          <w:lang w:eastAsia="fr-FR"/>
        </w:rPr>
        <w:t>(E)</w:t>
      </w:r>
      <w:r w:rsidRPr="00F27C75">
        <w:rPr>
          <w:rFonts w:cstheme="minorHAnsi" w:eastAsia="Times New Roman"/>
          <w:lang w:eastAsia="fr-FR"/>
        </w:rPr>
        <w:t xml:space="preserve"> ADMINISTRATI</w:t>
      </w:r>
      <w:r>
        <w:rPr>
          <w:rFonts w:cstheme="minorHAnsi" w:eastAsia="Times New Roman"/>
          <w:lang w:eastAsia="fr-FR"/>
        </w:rPr>
        <w:t>F(</w:t>
      </w:r>
      <w:r w:rsidRPr="00F27C75">
        <w:rPr>
          <w:rFonts w:cstheme="minorHAnsi" w:eastAsia="Times New Roman"/>
          <w:lang w:eastAsia="fr-FR"/>
        </w:rPr>
        <w:t>VE</w:t>
      </w:r>
      <w:r>
        <w:rPr>
          <w:rFonts w:cstheme="minorHAnsi" w:eastAsia="Times New Roman"/>
          <w:lang w:eastAsia="fr-FR"/>
        </w:rPr>
        <w:t>)</w:t>
      </w:r>
    </w:p>
    <w:p w14:paraId="48D174B4" w14:textId="77777777" w:rsidP="00412DE8" w:rsidR="00412DE8" w:rsidRDefault="00412DE8" w:rsidRPr="00F27C75">
      <w:pPr>
        <w:spacing w:after="120" w:before="360"/>
        <w:jc w:val="both"/>
        <w:rPr>
          <w:rStyle w:val="eop"/>
          <w:rFonts w:cstheme="minorHAnsi"/>
          <w:color w:themeColor="text1" w:val="000000"/>
          <w:shd w:color="auto" w:fill="FFFFFF" w:val="clear"/>
        </w:rPr>
      </w:pPr>
      <w:r w:rsidRPr="00F27C75">
        <w:rPr>
          <w:rStyle w:val="normaltextrun"/>
          <w:rFonts w:cstheme="minorHAnsi"/>
          <w:color w:themeColor="text1" w:val="000000"/>
          <w:shd w:color="auto" w:fill="FFFFFF" w:val="clear"/>
        </w:rPr>
        <w:t xml:space="preserve">Le salaire d’entrée / de recrutement à ces fonctions, ou dans des fonctions similaires qui viendraient à être créées, est </w:t>
      </w:r>
      <w:r w:rsidRPr="00C468EA">
        <w:rPr>
          <w:rStyle w:val="normaltextrun"/>
          <w:rFonts w:cstheme="minorHAnsi"/>
          <w:color w:themeColor="text1" w:val="000000"/>
          <w:shd w:color="auto" w:fill="FFFFFF" w:val="clear"/>
        </w:rPr>
        <w:t>de 23 460 €</w:t>
      </w:r>
      <w:r w:rsidRPr="00F27C75">
        <w:rPr>
          <w:rStyle w:val="normaltextrun"/>
          <w:rFonts w:cstheme="minorHAnsi"/>
          <w:color w:themeColor="text1" w:val="000000"/>
          <w:shd w:color="auto" w:fill="FFFFFF" w:val="clear"/>
        </w:rPr>
        <w:t xml:space="preserve"> bruts annuels à compter du 1</w:t>
      </w:r>
      <w:r w:rsidRPr="00F27C75">
        <w:rPr>
          <w:rStyle w:val="normaltextrun"/>
          <w:rFonts w:cstheme="minorHAnsi"/>
          <w:color w:themeColor="text1" w:val="000000"/>
          <w:shd w:color="auto" w:fill="FFFFFF" w:val="clear"/>
          <w:vertAlign w:val="superscript"/>
        </w:rPr>
        <w:t>er</w:t>
      </w:r>
      <w:r w:rsidRPr="00F27C75">
        <w:rPr>
          <w:rStyle w:val="normaltextrun"/>
          <w:rFonts w:cstheme="minorHAnsi"/>
          <w:color w:themeColor="text1" w:val="000000"/>
          <w:shd w:color="auto" w:fill="FFFFFF" w:val="clear"/>
        </w:rPr>
        <w:t xml:space="preserve"> juillet 2022</w:t>
      </w:r>
      <w:r>
        <w:rPr>
          <w:rStyle w:val="normaltextrun"/>
          <w:rFonts w:cstheme="minorHAnsi"/>
          <w:color w:themeColor="text1" w:val="000000"/>
          <w:shd w:color="auto" w:fill="FFFFFF" w:val="clear"/>
        </w:rPr>
        <w:t>, contre 23 000€ auparavant.</w:t>
      </w:r>
    </w:p>
    <w:p w14:paraId="26770851" w14:textId="77777777" w:rsidP="00412DE8" w:rsidR="00412DE8" w:rsidRDefault="00412DE8" w:rsidRPr="00F27C75">
      <w:pPr>
        <w:pStyle w:val="Paragraphedeliste"/>
        <w:numPr>
          <w:ilvl w:val="1"/>
          <w:numId w:val="8"/>
        </w:numPr>
        <w:spacing w:after="120" w:before="360"/>
        <w:jc w:val="both"/>
        <w:rPr>
          <w:rFonts w:cstheme="minorHAnsi"/>
          <w:b/>
          <w:bCs/>
        </w:rPr>
      </w:pPr>
      <w:r w:rsidRPr="00F27C75">
        <w:rPr>
          <w:rFonts w:cstheme="minorHAnsi"/>
          <w:b/>
          <w:bCs/>
        </w:rPr>
        <w:t>Revalorisation de la prime d’ancienneté</w:t>
      </w:r>
    </w:p>
    <w:p w14:paraId="3F86C69F" w14:textId="77777777" w:rsidP="00412DE8" w:rsidR="00412DE8" w:rsidRDefault="00412DE8" w:rsidRPr="00F27C75">
      <w:pPr>
        <w:spacing w:after="120" w:before="360"/>
        <w:jc w:val="both"/>
        <w:rPr>
          <w:rFonts w:cstheme="minorHAnsi"/>
          <w:bCs/>
        </w:rPr>
      </w:pPr>
      <w:r w:rsidRPr="00C468EA">
        <w:rPr>
          <w:rFonts w:cstheme="minorHAnsi"/>
          <w:bCs/>
        </w:rPr>
        <w:t>Au 1</w:t>
      </w:r>
      <w:r w:rsidRPr="00C468EA">
        <w:rPr>
          <w:rFonts w:cstheme="minorHAnsi"/>
          <w:bCs/>
          <w:vertAlign w:val="superscript"/>
        </w:rPr>
        <w:t>er</w:t>
      </w:r>
      <w:r w:rsidRPr="00C468EA">
        <w:rPr>
          <w:rFonts w:cstheme="minorHAnsi"/>
          <w:bCs/>
        </w:rPr>
        <w:t xml:space="preserve"> janvier 2022,</w:t>
      </w:r>
      <w:r w:rsidRPr="00F27C75">
        <w:rPr>
          <w:rFonts w:cstheme="minorHAnsi"/>
          <w:bCs/>
        </w:rPr>
        <w:t xml:space="preserve"> le montant de la prime d’ancienneté, versée chaque année et sous réserve de la présence effective du salarié à la date d’anniversaire de son embauche, sera revalorisé comme suit :</w:t>
      </w:r>
    </w:p>
    <w:p w14:paraId="307E8845" w14:textId="77777777" w:rsidP="00412DE8" w:rsidR="00412DE8" w:rsidRDefault="00412DE8" w:rsidRPr="00016A1F">
      <w:pPr>
        <w:pStyle w:val="Paragraphedeliste"/>
        <w:numPr>
          <w:ilvl w:val="1"/>
          <w:numId w:val="6"/>
        </w:numPr>
        <w:tabs>
          <w:tab w:pos="1440" w:val="clear"/>
        </w:tabs>
        <w:spacing w:after="120" w:before="360"/>
        <w:jc w:val="both"/>
        <w:rPr>
          <w:rFonts w:cstheme="minorHAnsi"/>
          <w:bCs/>
        </w:rPr>
      </w:pPr>
      <w:r w:rsidRPr="00F27C75">
        <w:rPr>
          <w:rFonts w:cstheme="minorHAnsi"/>
          <w:bCs/>
        </w:rPr>
        <w:t>A partir du 36</w:t>
      </w:r>
      <w:r w:rsidRPr="00F27C75">
        <w:rPr>
          <w:rFonts w:cstheme="minorHAnsi"/>
          <w:bCs/>
          <w:vertAlign w:val="superscript"/>
        </w:rPr>
        <w:t>ème</w:t>
      </w:r>
      <w:r w:rsidRPr="00F27C75">
        <w:rPr>
          <w:rFonts w:cstheme="minorHAnsi"/>
          <w:bCs/>
        </w:rPr>
        <w:t xml:space="preserve"> mois de présence effective (3ans révolus) </w:t>
      </w:r>
      <w:r w:rsidRPr="00016A1F">
        <w:rPr>
          <w:rFonts w:cstheme="minorHAnsi"/>
          <w:bCs/>
        </w:rPr>
        <w:t>: 250€</w:t>
      </w:r>
    </w:p>
    <w:p w14:paraId="013E95FD" w14:textId="77777777" w:rsidP="00412DE8" w:rsidR="00412DE8" w:rsidRDefault="00412DE8" w:rsidRPr="00016A1F">
      <w:pPr>
        <w:pStyle w:val="Paragraphedeliste"/>
        <w:numPr>
          <w:ilvl w:val="1"/>
          <w:numId w:val="6"/>
        </w:numPr>
        <w:tabs>
          <w:tab w:pos="1440" w:val="clear"/>
        </w:tabs>
        <w:spacing w:after="120" w:before="360"/>
        <w:jc w:val="both"/>
        <w:rPr>
          <w:rFonts w:cstheme="minorHAnsi"/>
          <w:bCs/>
        </w:rPr>
      </w:pPr>
      <w:r w:rsidRPr="00016A1F">
        <w:rPr>
          <w:rFonts w:cstheme="minorHAnsi"/>
          <w:bCs/>
        </w:rPr>
        <w:t>A partir du 60</w:t>
      </w:r>
      <w:r w:rsidRPr="00016A1F">
        <w:rPr>
          <w:rFonts w:cstheme="minorHAnsi"/>
          <w:bCs/>
          <w:vertAlign w:val="superscript"/>
        </w:rPr>
        <w:t>ème</w:t>
      </w:r>
      <w:r w:rsidRPr="00016A1F">
        <w:rPr>
          <w:rFonts w:cstheme="minorHAnsi"/>
          <w:bCs/>
        </w:rPr>
        <w:t xml:space="preserve"> mois de présence effective (5ans révolus) : 250€</w:t>
      </w:r>
    </w:p>
    <w:p w14:paraId="590CB2FF" w14:textId="77777777" w:rsidP="00412DE8" w:rsidR="00412DE8" w:rsidRDefault="00412DE8" w:rsidRPr="00016A1F">
      <w:pPr>
        <w:pStyle w:val="Paragraphedeliste"/>
        <w:numPr>
          <w:ilvl w:val="1"/>
          <w:numId w:val="6"/>
        </w:numPr>
        <w:tabs>
          <w:tab w:pos="1440" w:val="clear"/>
        </w:tabs>
        <w:spacing w:after="120" w:before="360"/>
        <w:jc w:val="both"/>
        <w:rPr>
          <w:rFonts w:cstheme="minorHAnsi"/>
          <w:bCs/>
        </w:rPr>
      </w:pPr>
      <w:r w:rsidRPr="00016A1F">
        <w:rPr>
          <w:rFonts w:cstheme="minorHAnsi"/>
          <w:bCs/>
        </w:rPr>
        <w:t>A partir du 120</w:t>
      </w:r>
      <w:r w:rsidRPr="00016A1F">
        <w:rPr>
          <w:rFonts w:cstheme="minorHAnsi"/>
          <w:bCs/>
          <w:vertAlign w:val="superscript"/>
        </w:rPr>
        <w:t>ème</w:t>
      </w:r>
      <w:r w:rsidRPr="00016A1F">
        <w:rPr>
          <w:rFonts w:cstheme="minorHAnsi"/>
          <w:bCs/>
        </w:rPr>
        <w:t xml:space="preserve"> mois de présence effective (10 ans révolus) : 450€</w:t>
      </w:r>
    </w:p>
    <w:p w14:paraId="573BC14B" w14:textId="77777777" w:rsidP="00412DE8" w:rsidR="00412DE8" w:rsidRDefault="00412DE8" w:rsidRPr="00016A1F">
      <w:pPr>
        <w:pStyle w:val="Paragraphedeliste"/>
        <w:numPr>
          <w:ilvl w:val="1"/>
          <w:numId w:val="6"/>
        </w:numPr>
        <w:tabs>
          <w:tab w:pos="1440" w:val="clear"/>
        </w:tabs>
        <w:spacing w:after="120" w:before="360"/>
        <w:jc w:val="both"/>
        <w:rPr>
          <w:rFonts w:cstheme="minorHAnsi"/>
          <w:bCs/>
        </w:rPr>
      </w:pPr>
      <w:r w:rsidRPr="00016A1F">
        <w:rPr>
          <w:rFonts w:cstheme="minorHAnsi"/>
          <w:bCs/>
        </w:rPr>
        <w:t>A partir du 180</w:t>
      </w:r>
      <w:r w:rsidRPr="00016A1F">
        <w:rPr>
          <w:rFonts w:cstheme="minorHAnsi"/>
          <w:bCs/>
          <w:vertAlign w:val="superscript"/>
        </w:rPr>
        <w:t>ème</w:t>
      </w:r>
      <w:r w:rsidRPr="00016A1F">
        <w:rPr>
          <w:rFonts w:cstheme="minorHAnsi"/>
          <w:bCs/>
        </w:rPr>
        <w:t xml:space="preserve"> mois de présence effective (15ans révolus) : 750€</w:t>
      </w:r>
    </w:p>
    <w:p w14:paraId="2A734BB0" w14:textId="77777777" w:rsidP="00412DE8" w:rsidR="00412DE8" w:rsidRDefault="00412DE8" w:rsidRPr="00F27C75">
      <w:pPr>
        <w:pStyle w:val="Paragraphedeliste"/>
        <w:spacing w:after="120" w:before="360"/>
        <w:jc w:val="both"/>
        <w:rPr>
          <w:rFonts w:cstheme="minorHAnsi"/>
          <w:bCs/>
        </w:rPr>
      </w:pPr>
    </w:p>
    <w:p w14:paraId="242B78EE" w14:textId="77777777" w:rsidP="00412DE8" w:rsidR="00412DE8" w:rsidRDefault="00412DE8" w:rsidRPr="00F27C75">
      <w:pPr>
        <w:pStyle w:val="Paragraphedeliste"/>
        <w:numPr>
          <w:ilvl w:val="1"/>
          <w:numId w:val="8"/>
        </w:numPr>
        <w:spacing w:after="120" w:before="360"/>
        <w:jc w:val="both"/>
        <w:rPr>
          <w:rFonts w:cstheme="minorHAnsi"/>
          <w:b/>
          <w:bCs/>
        </w:rPr>
      </w:pPr>
      <w:r w:rsidRPr="00F27C75">
        <w:rPr>
          <w:rFonts w:cstheme="minorHAnsi"/>
          <w:b/>
          <w:bCs/>
        </w:rPr>
        <w:t>Versement d’une prime exceptionnelle de pouvoir d’achat (prime « MACRON »)</w:t>
      </w:r>
    </w:p>
    <w:p w14:paraId="32CAFBB5" w14:textId="77777777" w:rsidP="00412DE8" w:rsidR="00412DE8" w:rsidRDefault="00412DE8" w:rsidRPr="00F27C75">
      <w:pPr>
        <w:spacing w:after="120" w:before="360"/>
        <w:jc w:val="both"/>
        <w:rPr>
          <w:rFonts w:cstheme="minorHAnsi"/>
          <w:bCs/>
        </w:rPr>
      </w:pPr>
      <w:r w:rsidRPr="00F27C75">
        <w:rPr>
          <w:rFonts w:cstheme="minorHAnsi"/>
          <w:bCs/>
        </w:rPr>
        <w:t>Les Parties conviennent de verser aux salariés une prime exceptionnelle de pouvoir d’achat dite « prime Macron », ayant pour objectif de soutenir le pouvoir d’achat des ménages</w:t>
      </w:r>
      <w:r>
        <w:rPr>
          <w:rFonts w:cstheme="minorHAnsi"/>
          <w:bCs/>
        </w:rPr>
        <w:t xml:space="preserve">, </w:t>
      </w:r>
      <w:r w:rsidRPr="00497742">
        <w:rPr>
          <w:rFonts w:cstheme="minorHAnsi"/>
          <w:bCs/>
        </w:rPr>
        <w:t>en cohérence avec les dispositions de l’article 4 de la Loi n° 2021-953 du 19 juillet 2021 de finances rectificative pour 2021</w:t>
      </w:r>
      <w:r>
        <w:rPr>
          <w:rFonts w:cstheme="minorHAnsi"/>
          <w:bCs/>
        </w:rPr>
        <w:t>.</w:t>
      </w:r>
    </w:p>
    <w:p w14:paraId="30271FE7" w14:textId="77777777" w:rsidP="00412DE8" w:rsidR="00412DE8" w:rsidRDefault="00412DE8" w:rsidRPr="00F27C75">
      <w:pPr>
        <w:spacing w:after="120" w:before="360"/>
        <w:jc w:val="both"/>
        <w:rPr>
          <w:rFonts w:cstheme="minorHAnsi"/>
          <w:bCs/>
        </w:rPr>
      </w:pPr>
      <w:r w:rsidRPr="00F27C75">
        <w:rPr>
          <w:rFonts w:cstheme="minorHAnsi"/>
          <w:bCs/>
        </w:rPr>
        <w:t xml:space="preserve">Ainsi, les Organisations Syndicales représentatives et la Direction de TINGARI se sont accordées sur le versement de cette prime </w:t>
      </w:r>
      <w:r>
        <w:rPr>
          <w:rFonts w:cstheme="minorHAnsi"/>
          <w:bCs/>
        </w:rPr>
        <w:t>avec la paie du mois</w:t>
      </w:r>
      <w:r w:rsidRPr="00F27C75">
        <w:rPr>
          <w:rFonts w:cstheme="minorHAnsi"/>
          <w:bCs/>
        </w:rPr>
        <w:t xml:space="preserve"> de </w:t>
      </w:r>
      <w:r w:rsidRPr="00016A1F">
        <w:rPr>
          <w:rFonts w:cstheme="minorHAnsi"/>
          <w:bCs/>
        </w:rPr>
        <w:t>mars 2022.</w:t>
      </w:r>
      <w:r>
        <w:rPr>
          <w:rFonts w:cstheme="minorHAnsi"/>
          <w:bCs/>
        </w:rPr>
        <w:t xml:space="preserve"> </w:t>
      </w:r>
      <w:r w:rsidRPr="00030CC9">
        <w:rPr>
          <w:rFonts w:cstheme="minorHAnsi"/>
          <w:bCs/>
        </w:rPr>
        <w:t>Le montant de cette prime exceptionnelle de pouvoir d’achat apparaitra sur le bulletin de paie sur une ligne spécifique et sous un intitulé distinct.</w:t>
      </w:r>
    </w:p>
    <w:p w14:paraId="67FFAFE4" w14:textId="77777777" w:rsidP="00412DE8" w:rsidR="00412DE8" w:rsidRDefault="00412DE8" w:rsidRPr="00F27C75">
      <w:pPr>
        <w:spacing w:after="120" w:before="360"/>
        <w:jc w:val="both"/>
        <w:rPr>
          <w:rFonts w:cstheme="minorHAnsi"/>
          <w:bCs/>
        </w:rPr>
      </w:pPr>
      <w:r w:rsidRPr="00F27C75">
        <w:rPr>
          <w:rFonts w:cstheme="minorHAnsi"/>
          <w:bCs/>
        </w:rPr>
        <w:t>Les conditions cumulatives d’éligibilité au versement de cette prime sont les suivantes :</w:t>
      </w:r>
    </w:p>
    <w:p w14:paraId="570BA8E6" w14:textId="77777777" w:rsidP="00412DE8" w:rsidR="00412DE8" w:rsidRDefault="00412DE8" w:rsidRPr="00F27C75">
      <w:pPr>
        <w:pStyle w:val="Paragraphedeliste"/>
        <w:numPr>
          <w:ilvl w:val="0"/>
          <w:numId w:val="4"/>
        </w:numPr>
        <w:jc w:val="both"/>
        <w:rPr>
          <w:rFonts w:cstheme="minorHAnsi"/>
          <w:bCs/>
        </w:rPr>
      </w:pPr>
      <w:r w:rsidRPr="00F27C75">
        <w:rPr>
          <w:rFonts w:cstheme="minorHAnsi"/>
          <w:bCs/>
        </w:rPr>
        <w:t xml:space="preserve">le salarié doit être </w:t>
      </w:r>
      <w:r w:rsidRPr="00F27C75">
        <w:rPr>
          <w:rFonts w:cstheme="minorHAnsi"/>
          <w:bCs/>
          <w:color w:themeColor="text1" w:val="000000"/>
        </w:rPr>
        <w:t xml:space="preserve">titulaire d’un contrat de travail en cours au jour </w:t>
      </w:r>
      <w:r>
        <w:rPr>
          <w:rFonts w:cstheme="minorHAnsi"/>
          <w:bCs/>
          <w:color w:themeColor="text1" w:val="000000"/>
        </w:rPr>
        <w:t>du dépôt</w:t>
      </w:r>
      <w:r w:rsidRPr="00F27C75">
        <w:rPr>
          <w:rFonts w:cstheme="minorHAnsi"/>
          <w:bCs/>
          <w:color w:themeColor="text1" w:val="000000"/>
        </w:rPr>
        <w:t xml:space="preserve"> du présent accord ;</w:t>
      </w:r>
    </w:p>
    <w:p w14:paraId="755B6F0C" w14:textId="77777777" w:rsidP="00412DE8" w:rsidR="00412DE8" w:rsidRDefault="00412DE8" w:rsidRPr="00F27C75">
      <w:pPr>
        <w:pStyle w:val="Paragraphedeliste"/>
        <w:numPr>
          <w:ilvl w:val="0"/>
          <w:numId w:val="4"/>
        </w:numPr>
        <w:jc w:val="both"/>
        <w:rPr>
          <w:rFonts w:cstheme="minorHAnsi"/>
          <w:bCs/>
        </w:rPr>
      </w:pPr>
      <w:r w:rsidRPr="00F27C75">
        <w:rPr>
          <w:rFonts w:cstheme="minorHAnsi"/>
          <w:bCs/>
        </w:rPr>
        <w:t>le salarié doit avoir perçu, au cours des 12 mois précédant le versement de la prime (de mars 2021 à février 2022), une rémunération brute totale inférieure ou égale à 35 000 € pour un équivalent temps plein.</w:t>
      </w:r>
      <w:r>
        <w:rPr>
          <w:rFonts w:cstheme="minorHAnsi"/>
          <w:bCs/>
        </w:rPr>
        <w:t xml:space="preserve"> </w:t>
      </w:r>
      <w:r w:rsidRPr="00030CC9">
        <w:rPr>
          <w:rFonts w:cstheme="minorHAnsi"/>
          <w:bCs/>
        </w:rPr>
        <w:t>Pour les salariés à temps partiel ou arrivés en cours d’année, ce plafond de rémunération est proratisé.</w:t>
      </w:r>
    </w:p>
    <w:p w14:paraId="4FC003FD" w14:textId="77777777" w:rsidP="00412DE8" w:rsidR="00412DE8" w:rsidRDefault="00412DE8" w:rsidRPr="00F27C75">
      <w:pPr>
        <w:jc w:val="both"/>
      </w:pPr>
      <w:r w:rsidRPr="366915F3">
        <w:t>Cette prime est modulée selon deux critères :</w:t>
      </w:r>
    </w:p>
    <w:p w14:paraId="1465D8A7" w14:textId="77777777" w:rsidP="00412DE8" w:rsidR="00412DE8" w:rsidRDefault="00412DE8" w:rsidRPr="00F27C75">
      <w:pPr>
        <w:pStyle w:val="xmsonormal"/>
        <w:numPr>
          <w:ilvl w:val="0"/>
          <w:numId w:val="4"/>
        </w:numPr>
        <w:spacing w:after="0" w:afterAutospacing="0" w:before="0" w:beforeAutospacing="0"/>
        <w:jc w:val="both"/>
        <w:textAlignment w:val="baseline"/>
        <w:rPr>
          <w:rFonts w:asciiTheme="minorHAnsi" w:cstheme="minorHAnsi" w:eastAsia="Times New Roman" w:hAnsiTheme="minorHAnsi"/>
          <w:bCs/>
          <w:color w:val="000000"/>
        </w:rPr>
      </w:pPr>
      <w:r w:rsidRPr="00F27C75">
        <w:rPr>
          <w:rFonts w:asciiTheme="minorHAnsi" w:cstheme="minorHAnsi" w:eastAsia="Times New Roman" w:hAnsiTheme="minorHAnsi"/>
          <w:bCs/>
          <w:color w:val="000000"/>
        </w:rPr>
        <w:t>la rémunération brute du bénéficiaire perçue au cours des 12 derniers mois précédant le versement de la prime ;</w:t>
      </w:r>
    </w:p>
    <w:p w14:paraId="22354D0C" w14:textId="77777777" w:rsidP="00412DE8" w:rsidR="00412DE8" w:rsidRDefault="00412DE8">
      <w:pPr>
        <w:pStyle w:val="xmsonormal"/>
        <w:numPr>
          <w:ilvl w:val="0"/>
          <w:numId w:val="4"/>
        </w:numPr>
        <w:spacing w:after="0" w:afterAutospacing="0" w:before="0" w:beforeAutospacing="0"/>
        <w:jc w:val="both"/>
        <w:textAlignment w:val="baseline"/>
        <w:rPr>
          <w:rFonts w:asciiTheme="minorHAnsi" w:cstheme="minorHAnsi" w:eastAsia="Times New Roman" w:hAnsiTheme="minorHAnsi"/>
          <w:bCs/>
          <w:color w:val="000000"/>
        </w:rPr>
      </w:pPr>
      <w:r w:rsidRPr="00F27C75">
        <w:rPr>
          <w:rFonts w:asciiTheme="minorHAnsi" w:cstheme="minorHAnsi" w:eastAsia="Times New Roman" w:hAnsiTheme="minorHAnsi"/>
          <w:bCs/>
          <w:color w:val="000000"/>
        </w:rPr>
        <w:t>la présence du bénéficiaire dans l’entreprise</w:t>
      </w:r>
      <w:r>
        <w:rPr>
          <w:rFonts w:asciiTheme="minorHAnsi" w:cstheme="minorHAnsi" w:eastAsia="Times New Roman" w:hAnsiTheme="minorHAnsi"/>
          <w:bCs/>
          <w:color w:val="000000"/>
        </w:rPr>
        <w:t xml:space="preserve"> </w:t>
      </w:r>
      <w:r w:rsidRPr="00F27C75">
        <w:rPr>
          <w:rFonts w:asciiTheme="minorHAnsi" w:cstheme="minorHAnsi" w:eastAsia="Times New Roman" w:hAnsiTheme="minorHAnsi"/>
          <w:bCs/>
          <w:color w:val="000000"/>
        </w:rPr>
        <w:t>perçue au cours des 12 derniers mois précédant le versement de la prime (présence de moins de six mois ; présence de plus de six mois).</w:t>
      </w:r>
      <w:r>
        <w:rPr>
          <w:rFonts w:asciiTheme="minorHAnsi" w:cstheme="minorHAnsi" w:eastAsia="Times New Roman" w:hAnsiTheme="minorHAnsi"/>
          <w:bCs/>
          <w:color w:val="000000"/>
        </w:rPr>
        <w:t xml:space="preserve"> </w:t>
      </w:r>
    </w:p>
    <w:p w14:paraId="71D978AF" w14:textId="77777777" w:rsidP="00412DE8" w:rsidR="00412DE8" w:rsidRDefault="00412DE8" w:rsidRPr="00F27C75">
      <w:pPr>
        <w:spacing w:after="0"/>
        <w:jc w:val="both"/>
        <w:rPr>
          <w:rFonts w:cstheme="minorHAnsi"/>
        </w:rPr>
      </w:pPr>
    </w:p>
    <w:p w14:paraId="3EF7BBAC" w14:textId="77777777" w:rsidP="00412DE8" w:rsidR="00412DE8" w:rsidRDefault="00412DE8">
      <w:pPr>
        <w:jc w:val="both"/>
        <w:rPr>
          <w:rFonts w:cstheme="minorHAnsi"/>
          <w:bCs/>
        </w:rPr>
      </w:pPr>
    </w:p>
    <w:p w14:paraId="40E7971E" w14:textId="77777777" w:rsidP="00412DE8" w:rsidR="00412DE8" w:rsidRDefault="00412DE8">
      <w:pPr>
        <w:jc w:val="both"/>
        <w:rPr>
          <w:rFonts w:cstheme="minorHAnsi"/>
          <w:bCs/>
        </w:rPr>
      </w:pPr>
    </w:p>
    <w:p w14:paraId="0F9D2761" w14:textId="77777777" w:rsidP="00412DE8" w:rsidR="00412DE8" w:rsidRDefault="00412DE8">
      <w:pPr>
        <w:jc w:val="both"/>
        <w:rPr>
          <w:rFonts w:cstheme="minorHAnsi"/>
          <w:bCs/>
        </w:rPr>
      </w:pPr>
    </w:p>
    <w:p w14:paraId="1AFC60AC" w14:textId="77777777" w:rsidP="00412DE8" w:rsidR="00412DE8" w:rsidRDefault="00412DE8">
      <w:pPr>
        <w:jc w:val="both"/>
        <w:rPr>
          <w:rFonts w:cstheme="minorHAnsi"/>
          <w:bCs/>
        </w:rPr>
      </w:pPr>
    </w:p>
    <w:p w14:paraId="5F15754F" w14:textId="77777777" w:rsidP="00412DE8" w:rsidR="00412DE8" w:rsidRDefault="00412DE8" w:rsidRPr="00F27C75">
      <w:pPr>
        <w:jc w:val="both"/>
        <w:rPr>
          <w:rFonts w:cstheme="minorHAnsi"/>
          <w:bCs/>
        </w:rPr>
      </w:pPr>
      <w:r w:rsidRPr="00F27C75">
        <w:rPr>
          <w:rFonts w:cstheme="minorHAnsi"/>
          <w:bCs/>
        </w:rPr>
        <w:lastRenderedPageBreak/>
        <w:t>Ainsi, le montant est fixé comme tel :</w:t>
      </w:r>
    </w:p>
    <w:tbl>
      <w:tblPr>
        <w:tblStyle w:val="Grilledutableau"/>
        <w:tblW w:type="dxa" w:w="8075"/>
        <w:jc w:val="center"/>
        <w:tblLook w:firstColumn="1" w:firstRow="1" w:lastColumn="0" w:lastRow="0" w:noHBand="0" w:noVBand="1" w:val="04A0"/>
      </w:tblPr>
      <w:tblGrid>
        <w:gridCol w:w="3020"/>
        <w:gridCol w:w="2504"/>
        <w:gridCol w:w="2551"/>
      </w:tblGrid>
      <w:tr w14:paraId="1507CC38" w14:textId="77777777" w:rsidR="00412DE8" w:rsidRPr="00F27C75" w:rsidTr="00DB5657">
        <w:trPr>
          <w:jc w:val="center"/>
        </w:trPr>
        <w:tc>
          <w:tcPr>
            <w:tcW w:type="dxa" w:w="3020"/>
          </w:tcPr>
          <w:p w14:paraId="554234D6" w14:textId="77777777" w:rsidP="00DB5657" w:rsidR="00412DE8" w:rsidRDefault="00412DE8" w:rsidRPr="00E005F6">
            <w:pPr>
              <w:jc w:val="center"/>
              <w:rPr>
                <w:b/>
                <w:bCs/>
              </w:rPr>
            </w:pPr>
            <w:bookmarkStart w:id="1" w:name="_Hlk96008728"/>
            <w:r w:rsidRPr="366915F3">
              <w:rPr>
                <w:b/>
                <w:bCs/>
              </w:rPr>
              <w:t>Montant du salaire annuel base temps plein</w:t>
            </w:r>
          </w:p>
        </w:tc>
        <w:tc>
          <w:tcPr>
            <w:tcW w:type="dxa" w:w="2504"/>
            <w:shd w:color="auto" w:fill="auto" w:val="clear"/>
          </w:tcPr>
          <w:p w14:paraId="67F1C71D" w14:textId="77777777" w:rsidP="00DB5657" w:rsidR="00412DE8" w:rsidRDefault="00412DE8" w:rsidRPr="00E005F6">
            <w:pPr>
              <w:jc w:val="center"/>
              <w:rPr>
                <w:rFonts w:cstheme="minorHAnsi"/>
                <w:b/>
              </w:rPr>
            </w:pPr>
            <w:r w:rsidRPr="00E005F6">
              <w:rPr>
                <w:rFonts w:cstheme="minorHAnsi"/>
                <w:b/>
              </w:rPr>
              <w:t>Bénéficiaire présent depuis moins de 6 mois</w:t>
            </w:r>
          </w:p>
        </w:tc>
        <w:tc>
          <w:tcPr>
            <w:tcW w:type="dxa" w:w="2551"/>
            <w:shd w:color="auto" w:fill="auto" w:val="clear"/>
          </w:tcPr>
          <w:p w14:paraId="4170876A" w14:textId="77777777" w:rsidP="00DB5657" w:rsidR="00412DE8" w:rsidRDefault="00412DE8" w:rsidRPr="00E005F6">
            <w:pPr>
              <w:jc w:val="center"/>
              <w:rPr>
                <w:rFonts w:cstheme="minorHAnsi"/>
                <w:b/>
              </w:rPr>
            </w:pPr>
            <w:r w:rsidRPr="00E005F6">
              <w:rPr>
                <w:rFonts w:cstheme="minorHAnsi"/>
                <w:b/>
              </w:rPr>
              <w:t>Bénéficiaire présent depuis plus de 6 mois</w:t>
            </w:r>
          </w:p>
        </w:tc>
      </w:tr>
      <w:tr w14:paraId="0B598C59" w14:textId="77777777" w:rsidR="00412DE8" w:rsidRPr="00F27C75" w:rsidTr="00DB5657">
        <w:trPr>
          <w:jc w:val="center"/>
        </w:trPr>
        <w:tc>
          <w:tcPr>
            <w:tcW w:type="dxa" w:w="3020"/>
          </w:tcPr>
          <w:p w14:paraId="67324A98" w14:textId="77777777" w:rsidP="00DB5657" w:rsidR="00412DE8" w:rsidRDefault="00412DE8" w:rsidRPr="00F27C75">
            <w:pPr>
              <w:jc w:val="center"/>
              <w:rPr>
                <w:rFonts w:cstheme="minorHAnsi"/>
                <w:bCs/>
              </w:rPr>
            </w:pPr>
            <w:r w:rsidRPr="00F27C75">
              <w:rPr>
                <w:rFonts w:cstheme="minorHAnsi"/>
                <w:bCs/>
              </w:rPr>
              <w:t>Inférieure à 25 850€</w:t>
            </w:r>
          </w:p>
        </w:tc>
        <w:tc>
          <w:tcPr>
            <w:tcW w:type="dxa" w:w="2504"/>
          </w:tcPr>
          <w:p w14:paraId="0F64A9A6" w14:textId="77777777" w:rsidP="00DB5657" w:rsidR="00412DE8" w:rsidRDefault="00412DE8" w:rsidRPr="009B1F38">
            <w:pPr>
              <w:jc w:val="center"/>
              <w:rPr>
                <w:rFonts w:cstheme="minorHAnsi"/>
                <w:bCs/>
              </w:rPr>
            </w:pPr>
            <w:r w:rsidRPr="009B1F38">
              <w:rPr>
                <w:rFonts w:cstheme="minorHAnsi"/>
                <w:bCs/>
              </w:rPr>
              <w:t>135€</w:t>
            </w:r>
          </w:p>
        </w:tc>
        <w:tc>
          <w:tcPr>
            <w:tcW w:type="dxa" w:w="2551"/>
          </w:tcPr>
          <w:p w14:paraId="23CD0585" w14:textId="77777777" w:rsidP="00DB5657" w:rsidR="00412DE8" w:rsidRDefault="00412DE8" w:rsidRPr="009B1F38">
            <w:pPr>
              <w:jc w:val="center"/>
              <w:rPr>
                <w:rFonts w:cstheme="minorHAnsi"/>
                <w:bCs/>
              </w:rPr>
            </w:pPr>
            <w:r w:rsidRPr="009B1F38">
              <w:rPr>
                <w:rFonts w:cstheme="minorHAnsi"/>
                <w:bCs/>
              </w:rPr>
              <w:t>270€</w:t>
            </w:r>
          </w:p>
        </w:tc>
      </w:tr>
      <w:tr w14:paraId="7CA99441" w14:textId="77777777" w:rsidR="00412DE8" w:rsidRPr="00F27C75" w:rsidTr="00DB5657">
        <w:trPr>
          <w:jc w:val="center"/>
        </w:trPr>
        <w:tc>
          <w:tcPr>
            <w:tcW w:type="dxa" w:w="3020"/>
          </w:tcPr>
          <w:p w14:paraId="0569DB52" w14:textId="77777777" w:rsidP="00DB5657" w:rsidR="00412DE8" w:rsidRDefault="00412DE8" w:rsidRPr="00F27C75">
            <w:pPr>
              <w:jc w:val="center"/>
              <w:rPr>
                <w:rFonts w:cstheme="minorHAnsi"/>
                <w:bCs/>
              </w:rPr>
            </w:pPr>
            <w:r w:rsidRPr="00F27C75">
              <w:rPr>
                <w:rFonts w:cstheme="minorHAnsi"/>
                <w:bCs/>
              </w:rPr>
              <w:t>Inférieure à 27 950€</w:t>
            </w:r>
          </w:p>
        </w:tc>
        <w:tc>
          <w:tcPr>
            <w:tcW w:type="dxa" w:w="2504"/>
          </w:tcPr>
          <w:p w14:paraId="490F99FA" w14:textId="77777777" w:rsidP="00DB5657" w:rsidR="00412DE8" w:rsidRDefault="00412DE8" w:rsidRPr="009B1F38">
            <w:pPr>
              <w:jc w:val="center"/>
              <w:rPr>
                <w:rFonts w:cstheme="minorHAnsi"/>
                <w:bCs/>
              </w:rPr>
            </w:pPr>
            <w:r w:rsidRPr="009B1F38">
              <w:rPr>
                <w:rFonts w:cstheme="minorHAnsi"/>
                <w:bCs/>
              </w:rPr>
              <w:t>125€</w:t>
            </w:r>
          </w:p>
        </w:tc>
        <w:tc>
          <w:tcPr>
            <w:tcW w:type="dxa" w:w="2551"/>
          </w:tcPr>
          <w:p w14:paraId="7692E6B5" w14:textId="77777777" w:rsidP="00DB5657" w:rsidR="00412DE8" w:rsidRDefault="00412DE8" w:rsidRPr="009B1F38">
            <w:pPr>
              <w:jc w:val="center"/>
              <w:rPr>
                <w:rFonts w:cstheme="minorHAnsi"/>
                <w:bCs/>
              </w:rPr>
            </w:pPr>
            <w:r w:rsidRPr="009B1F38">
              <w:rPr>
                <w:rFonts w:cstheme="minorHAnsi"/>
                <w:bCs/>
              </w:rPr>
              <w:t>250€</w:t>
            </w:r>
          </w:p>
        </w:tc>
      </w:tr>
      <w:tr w14:paraId="69BEC10A" w14:textId="77777777" w:rsidR="00412DE8" w:rsidRPr="00F27C75" w:rsidTr="00DB5657">
        <w:trPr>
          <w:jc w:val="center"/>
        </w:trPr>
        <w:tc>
          <w:tcPr>
            <w:tcW w:type="dxa" w:w="3020"/>
          </w:tcPr>
          <w:p w14:paraId="10A96E0A" w14:textId="77777777" w:rsidP="00DB5657" w:rsidR="00412DE8" w:rsidRDefault="00412DE8" w:rsidRPr="00F27C75">
            <w:pPr>
              <w:jc w:val="center"/>
              <w:rPr>
                <w:rFonts w:cstheme="minorHAnsi"/>
                <w:bCs/>
              </w:rPr>
            </w:pPr>
            <w:r w:rsidRPr="00F27C75">
              <w:rPr>
                <w:rFonts w:cstheme="minorHAnsi"/>
                <w:bCs/>
              </w:rPr>
              <w:t>Inférieure à 29 000€</w:t>
            </w:r>
          </w:p>
        </w:tc>
        <w:tc>
          <w:tcPr>
            <w:tcW w:type="dxa" w:w="2504"/>
          </w:tcPr>
          <w:p w14:paraId="4EEF22D0" w14:textId="77777777" w:rsidP="00DB5657" w:rsidR="00412DE8" w:rsidRDefault="00412DE8" w:rsidRPr="00F27C75">
            <w:pPr>
              <w:jc w:val="center"/>
              <w:rPr>
                <w:rFonts w:cstheme="minorHAnsi"/>
                <w:bCs/>
              </w:rPr>
            </w:pPr>
            <w:r w:rsidRPr="00F27C75">
              <w:rPr>
                <w:rFonts w:cstheme="minorHAnsi"/>
                <w:bCs/>
              </w:rPr>
              <w:t>105€</w:t>
            </w:r>
          </w:p>
        </w:tc>
        <w:tc>
          <w:tcPr>
            <w:tcW w:type="dxa" w:w="2551"/>
          </w:tcPr>
          <w:p w14:paraId="471773B5" w14:textId="77777777" w:rsidP="00DB5657" w:rsidR="00412DE8" w:rsidRDefault="00412DE8" w:rsidRPr="00F27C75">
            <w:pPr>
              <w:jc w:val="center"/>
              <w:rPr>
                <w:rFonts w:cstheme="minorHAnsi"/>
                <w:bCs/>
              </w:rPr>
            </w:pPr>
            <w:r w:rsidRPr="00F27C75">
              <w:rPr>
                <w:rFonts w:cstheme="minorHAnsi"/>
                <w:bCs/>
              </w:rPr>
              <w:t>210€</w:t>
            </w:r>
          </w:p>
        </w:tc>
      </w:tr>
      <w:tr w14:paraId="7B51BF27" w14:textId="77777777" w:rsidR="00412DE8" w:rsidRPr="00F27C75" w:rsidTr="00DB5657">
        <w:trPr>
          <w:jc w:val="center"/>
        </w:trPr>
        <w:tc>
          <w:tcPr>
            <w:tcW w:type="dxa" w:w="3020"/>
          </w:tcPr>
          <w:p w14:paraId="5600981D" w14:textId="77777777" w:rsidP="00DB5657" w:rsidR="00412DE8" w:rsidRDefault="00412DE8" w:rsidRPr="00F27C75">
            <w:pPr>
              <w:jc w:val="center"/>
              <w:rPr>
                <w:rFonts w:cstheme="minorHAnsi"/>
                <w:bCs/>
              </w:rPr>
            </w:pPr>
            <w:r w:rsidRPr="00F27C75">
              <w:rPr>
                <w:rFonts w:cstheme="minorHAnsi"/>
                <w:bCs/>
              </w:rPr>
              <w:t>Inférieure à 30 000€</w:t>
            </w:r>
          </w:p>
        </w:tc>
        <w:tc>
          <w:tcPr>
            <w:tcW w:type="dxa" w:w="2504"/>
          </w:tcPr>
          <w:p w14:paraId="6FD8778F" w14:textId="77777777" w:rsidP="00DB5657" w:rsidR="00412DE8" w:rsidRDefault="00412DE8" w:rsidRPr="00F27C75">
            <w:pPr>
              <w:jc w:val="center"/>
              <w:rPr>
                <w:rFonts w:cstheme="minorHAnsi"/>
                <w:bCs/>
              </w:rPr>
            </w:pPr>
            <w:r w:rsidRPr="00F27C75">
              <w:rPr>
                <w:rFonts w:cstheme="minorHAnsi"/>
                <w:bCs/>
              </w:rPr>
              <w:t>95€</w:t>
            </w:r>
          </w:p>
        </w:tc>
        <w:tc>
          <w:tcPr>
            <w:tcW w:type="dxa" w:w="2551"/>
          </w:tcPr>
          <w:p w14:paraId="5E6F9FC9" w14:textId="77777777" w:rsidP="00DB5657" w:rsidR="00412DE8" w:rsidRDefault="00412DE8" w:rsidRPr="00F27C75">
            <w:pPr>
              <w:jc w:val="center"/>
              <w:rPr>
                <w:rFonts w:cstheme="minorHAnsi"/>
                <w:bCs/>
              </w:rPr>
            </w:pPr>
            <w:r w:rsidRPr="00F27C75">
              <w:rPr>
                <w:rFonts w:cstheme="minorHAnsi"/>
                <w:bCs/>
              </w:rPr>
              <w:t>190€</w:t>
            </w:r>
          </w:p>
        </w:tc>
      </w:tr>
      <w:tr w14:paraId="3A560953" w14:textId="77777777" w:rsidR="00412DE8" w:rsidRPr="00F27C75" w:rsidTr="00DB5657">
        <w:trPr>
          <w:jc w:val="center"/>
        </w:trPr>
        <w:tc>
          <w:tcPr>
            <w:tcW w:type="dxa" w:w="3020"/>
          </w:tcPr>
          <w:p w14:paraId="0A1F32E8" w14:textId="77777777" w:rsidP="00DB5657" w:rsidR="00412DE8" w:rsidRDefault="00412DE8" w:rsidRPr="00F27C75">
            <w:pPr>
              <w:jc w:val="center"/>
              <w:rPr>
                <w:rFonts w:cstheme="minorHAnsi"/>
                <w:bCs/>
              </w:rPr>
            </w:pPr>
            <w:r w:rsidRPr="00F27C75">
              <w:rPr>
                <w:rFonts w:cstheme="minorHAnsi"/>
                <w:bCs/>
              </w:rPr>
              <w:t>Inférieure à 35 000€</w:t>
            </w:r>
          </w:p>
        </w:tc>
        <w:tc>
          <w:tcPr>
            <w:tcW w:type="dxa" w:w="2504"/>
          </w:tcPr>
          <w:p w14:paraId="69F0ABF2" w14:textId="77777777" w:rsidP="00DB5657" w:rsidR="00412DE8" w:rsidRDefault="00412DE8" w:rsidRPr="00F27C75">
            <w:pPr>
              <w:jc w:val="center"/>
              <w:rPr>
                <w:rFonts w:cstheme="minorHAnsi"/>
                <w:bCs/>
              </w:rPr>
            </w:pPr>
            <w:r w:rsidRPr="00F27C75">
              <w:rPr>
                <w:rFonts w:cstheme="minorHAnsi"/>
                <w:bCs/>
              </w:rPr>
              <w:t>85€</w:t>
            </w:r>
          </w:p>
        </w:tc>
        <w:tc>
          <w:tcPr>
            <w:tcW w:type="dxa" w:w="2551"/>
          </w:tcPr>
          <w:p w14:paraId="51014F8F" w14:textId="77777777" w:rsidP="00DB5657" w:rsidR="00412DE8" w:rsidRDefault="00412DE8" w:rsidRPr="00F27C75">
            <w:pPr>
              <w:jc w:val="center"/>
              <w:rPr>
                <w:rFonts w:cstheme="minorHAnsi"/>
                <w:bCs/>
              </w:rPr>
            </w:pPr>
            <w:r w:rsidRPr="00F27C75">
              <w:rPr>
                <w:rFonts w:cstheme="minorHAnsi"/>
                <w:bCs/>
              </w:rPr>
              <w:t>170€</w:t>
            </w:r>
          </w:p>
        </w:tc>
      </w:tr>
      <w:bookmarkEnd w:id="1"/>
    </w:tbl>
    <w:p w14:paraId="11B08FF8" w14:textId="77777777" w:rsidP="00412DE8" w:rsidR="00412DE8" w:rsidRDefault="00412DE8" w:rsidRPr="00F27C75">
      <w:pPr>
        <w:jc w:val="both"/>
        <w:rPr>
          <w:rFonts w:cstheme="minorHAnsi"/>
          <w:bCs/>
        </w:rPr>
      </w:pPr>
    </w:p>
    <w:p w14:paraId="3D8FD644" w14:textId="77777777" w:rsidP="00412DE8" w:rsidR="00412DE8" w:rsidRDefault="00412DE8">
      <w:pPr>
        <w:jc w:val="both"/>
        <w:rPr>
          <w:rFonts w:cstheme="minorHAnsi"/>
          <w:bCs/>
        </w:rPr>
      </w:pPr>
      <w:r w:rsidRPr="00F27C75">
        <w:rPr>
          <w:rFonts w:cstheme="minorHAnsi"/>
          <w:bCs/>
        </w:rPr>
        <w:t>Les montants visés ci-dessus sont fixés sur la base d’un salaire à temps plein.</w:t>
      </w:r>
      <w:r>
        <w:rPr>
          <w:rFonts w:cstheme="minorHAnsi"/>
          <w:bCs/>
        </w:rPr>
        <w:t xml:space="preserve"> </w:t>
      </w:r>
      <w:r w:rsidRPr="00030CC9">
        <w:rPr>
          <w:rFonts w:cstheme="minorHAnsi"/>
          <w:bCs/>
        </w:rPr>
        <w:t>Le montant de la prime exceptionnelle est</w:t>
      </w:r>
      <w:r>
        <w:rPr>
          <w:rFonts w:cstheme="minorHAnsi"/>
          <w:bCs/>
        </w:rPr>
        <w:t xml:space="preserve"> ainsi </w:t>
      </w:r>
      <w:r w:rsidRPr="00030CC9">
        <w:rPr>
          <w:rFonts w:cstheme="minorHAnsi"/>
          <w:bCs/>
        </w:rPr>
        <w:t>modulé pour les salariés travaillant à temps partiel.</w:t>
      </w:r>
    </w:p>
    <w:p w14:paraId="521BB8E2" w14:textId="77777777" w:rsidP="00412DE8" w:rsidR="00412DE8" w:rsidRDefault="00412DE8">
      <w:pPr>
        <w:jc w:val="both"/>
        <w:rPr>
          <w:rFonts w:cstheme="minorHAnsi"/>
          <w:bCs/>
        </w:rPr>
      </w:pPr>
      <w:r w:rsidRPr="00030CC9">
        <w:rPr>
          <w:rFonts w:cstheme="minorHAnsi"/>
          <w:bCs/>
        </w:rPr>
        <w:t>Il est précisé que le montant de la prime n’est pas réduit pour les congés au titre de la maternité, de la paternité et de l’accueil ou de l’adoption d’un enfant, ainsi que pour les congés d’éducation parentale, de présence parentale, pour enfant malade et acquis par don de jours de repos à un parent d’enfant décédé ou gravement malade.</w:t>
      </w:r>
    </w:p>
    <w:p w14:paraId="0C908933" w14:textId="77777777" w:rsidP="00412DE8" w:rsidR="00412DE8" w:rsidRDefault="00412DE8" w:rsidRPr="00030CC9">
      <w:pPr>
        <w:jc w:val="both"/>
        <w:rPr>
          <w:rFonts w:cstheme="minorHAnsi"/>
          <w:bCs/>
        </w:rPr>
      </w:pPr>
      <w:r>
        <w:rPr>
          <w:rFonts w:cstheme="minorHAnsi"/>
          <w:bCs/>
        </w:rPr>
        <w:t>Les parties rappellent que l</w:t>
      </w:r>
      <w:r w:rsidRPr="00030CC9">
        <w:rPr>
          <w:rFonts w:cstheme="minorHAnsi"/>
          <w:bCs/>
        </w:rPr>
        <w:t>a présente prime ne peut se substituer à aucun élément de rémunération au sens de l’article L. 242-1 du code de la sécurité sociale, versé par l’employeur en vertu des usages en vigueur dans l’entreprise ou devenu obligatoire en vertu de règles légales ou contractuelles.</w:t>
      </w:r>
    </w:p>
    <w:p w14:paraId="1FEC2DDD" w14:textId="77777777" w:rsidP="00412DE8" w:rsidR="00412DE8" w:rsidRDefault="00412DE8" w:rsidRPr="00F27C75">
      <w:pPr>
        <w:jc w:val="both"/>
        <w:rPr>
          <w:rFonts w:cstheme="minorHAnsi"/>
          <w:bCs/>
        </w:rPr>
      </w:pPr>
      <w:r w:rsidRPr="00030CC9">
        <w:rPr>
          <w:rFonts w:cstheme="minorHAnsi"/>
          <w:bCs/>
        </w:rPr>
        <w:t>Elle ne peut non plus se substituer à une augmentation de rémunération ni à des primes prévues par un accord salarial, le contrat de travail ou les usages en vigueur dans l’entreprise. Les sommes versées au titre d’un régime d’épargne salariale ne sont pas visées par ces dispositions.</w:t>
      </w:r>
    </w:p>
    <w:p w14:paraId="42A843F0" w14:textId="77777777" w:rsidP="00412DE8" w:rsidR="00412DE8" w:rsidRDefault="00412DE8" w:rsidRPr="00F27C75">
      <w:pPr>
        <w:pStyle w:val="Paragraphedeliste"/>
        <w:numPr>
          <w:ilvl w:val="0"/>
          <w:numId w:val="2"/>
        </w:numPr>
        <w:spacing w:after="120" w:before="360"/>
        <w:contextualSpacing w:val="0"/>
        <w:jc w:val="both"/>
        <w:rPr>
          <w:rFonts w:cstheme="minorHAnsi"/>
          <w:b/>
          <w:bCs/>
        </w:rPr>
      </w:pPr>
      <w:r w:rsidRPr="00F27C75">
        <w:rPr>
          <w:rFonts w:cstheme="minorHAnsi"/>
          <w:b/>
          <w:bCs/>
        </w:rPr>
        <w:t>A</w:t>
      </w:r>
      <w:r>
        <w:rPr>
          <w:rFonts w:cstheme="minorHAnsi"/>
          <w:b/>
          <w:bCs/>
        </w:rPr>
        <w:t>RTICLE</w:t>
      </w:r>
      <w:r w:rsidRPr="00F27C75">
        <w:rPr>
          <w:rFonts w:cstheme="minorHAnsi"/>
          <w:b/>
          <w:bCs/>
        </w:rPr>
        <w:t xml:space="preserve"> 2 : </w:t>
      </w:r>
      <w:r>
        <w:rPr>
          <w:rFonts w:cstheme="minorHAnsi"/>
          <w:b/>
          <w:bCs/>
        </w:rPr>
        <w:t>AUTRES MESURES</w:t>
      </w:r>
    </w:p>
    <w:p w14:paraId="4C43210F" w14:textId="77777777" w:rsidP="00412DE8" w:rsidR="00412DE8" w:rsidRDefault="00412DE8" w:rsidRPr="00F27C75">
      <w:pPr>
        <w:pStyle w:val="Paragraphedeliste"/>
        <w:numPr>
          <w:ilvl w:val="1"/>
          <w:numId w:val="2"/>
        </w:numPr>
        <w:spacing w:after="120"/>
        <w:jc w:val="both"/>
        <w:rPr>
          <w:b/>
          <w:bCs/>
        </w:rPr>
      </w:pPr>
      <w:r w:rsidRPr="366915F3">
        <w:rPr>
          <w:b/>
          <w:bCs/>
        </w:rPr>
        <w:t>Financement de la surcomplémentaire pour les salariés reconnus travailleurs handicapés ou en invalidité</w:t>
      </w:r>
    </w:p>
    <w:p w14:paraId="4658123E" w14:textId="77777777" w:rsidP="00412DE8" w:rsidR="00412DE8" w:rsidRDefault="00412DE8" w:rsidRPr="00F27C75">
      <w:pPr>
        <w:spacing w:after="120" w:before="360"/>
        <w:jc w:val="both"/>
      </w:pPr>
      <w:r w:rsidRPr="07ED5F34">
        <w:t>A compter du 1</w:t>
      </w:r>
      <w:r w:rsidRPr="07ED5F34">
        <w:rPr>
          <w:vertAlign w:val="superscript"/>
        </w:rPr>
        <w:t>er</w:t>
      </w:r>
      <w:r w:rsidRPr="07ED5F34">
        <w:t xml:space="preserve"> janvier 2022 il a été convenu d’une prise en charge intégrale par l’entreprise de la surcomplémentaire pour les salariés qui sont reconnus travailleurs handicapés ou en invalidité, sous réserve d’une déclaration attestant de la qualité de travailleur handicapé ou en invalidité auprès de l’employeur.</w:t>
      </w:r>
    </w:p>
    <w:p w14:paraId="3BC0AD8A" w14:textId="77777777" w:rsidP="00412DE8" w:rsidR="00412DE8" w:rsidRDefault="00412DE8" w:rsidRPr="00F27C75">
      <w:pPr>
        <w:pStyle w:val="Paragraphedeliste"/>
        <w:numPr>
          <w:ilvl w:val="1"/>
          <w:numId w:val="2"/>
        </w:numPr>
        <w:spacing w:after="120" w:before="360"/>
        <w:jc w:val="both"/>
        <w:rPr>
          <w:rFonts w:cstheme="minorHAnsi"/>
          <w:b/>
          <w:bCs/>
        </w:rPr>
      </w:pPr>
      <w:r w:rsidRPr="00F27C75">
        <w:rPr>
          <w:rFonts w:cstheme="minorHAnsi"/>
          <w:b/>
          <w:bCs/>
        </w:rPr>
        <w:t>Ordre du jour des négociations sociales à venir :</w:t>
      </w:r>
    </w:p>
    <w:p w14:paraId="69CE58E1" w14:textId="77777777" w:rsidP="00412DE8" w:rsidR="00412DE8" w:rsidRDefault="00412DE8" w:rsidRPr="00F27C75">
      <w:pPr>
        <w:spacing w:after="120"/>
        <w:jc w:val="both"/>
        <w:rPr>
          <w:rFonts w:cstheme="minorHAnsi"/>
        </w:rPr>
      </w:pPr>
      <w:r w:rsidRPr="00F27C75">
        <w:rPr>
          <w:rFonts w:cstheme="minorHAnsi"/>
        </w:rPr>
        <w:t>Il a été convenu que les sujets suivants seront à l’ordre du jour des négociations sociales ou discussions au cours de l’année 2022 :</w:t>
      </w:r>
    </w:p>
    <w:p w14:paraId="2C349019"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la gestion des emplois et des parcours professionnels (GEPP ou GPEC),</w:t>
      </w:r>
    </w:p>
    <w:p w14:paraId="7788D92F"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le temps de travail des consultants de la Direction du Conseil RH (DCRH),</w:t>
      </w:r>
    </w:p>
    <w:p w14:paraId="5800D290" w14:textId="77777777" w:rsidP="00412DE8" w:rsidR="00412DE8" w:rsidRDefault="00412DE8" w:rsidRPr="00F27C75">
      <w:pPr>
        <w:pStyle w:val="Paragraphedeliste"/>
        <w:numPr>
          <w:ilvl w:val="0"/>
          <w:numId w:val="1"/>
        </w:numPr>
        <w:spacing w:after="120"/>
        <w:jc w:val="both"/>
        <w:rPr>
          <w:rFonts w:cstheme="minorHAnsi"/>
        </w:rPr>
      </w:pPr>
      <w:r w:rsidRPr="07ED5F34">
        <w:t>l'intéressement, à signer avant fin juin 2022 pour couvrir l’</w:t>
      </w:r>
      <w:bookmarkStart w:id="2" w:name="_Int_LqiUVNjR"/>
      <w:r w:rsidRPr="07ED5F34">
        <w:t>année</w:t>
      </w:r>
      <w:bookmarkEnd w:id="2"/>
      <w:r w:rsidRPr="07ED5F34">
        <w:t xml:space="preserve"> 2022,</w:t>
      </w:r>
      <w:r w:rsidRPr="00F27C75">
        <w:rPr>
          <w:rFonts w:cstheme="minorHAnsi"/>
        </w:rPr>
        <w:t xml:space="preserve"> le plan de développement des compétences</w:t>
      </w:r>
      <w:r>
        <w:rPr>
          <w:rFonts w:cstheme="minorHAnsi"/>
        </w:rPr>
        <w:t>,</w:t>
      </w:r>
    </w:p>
    <w:p w14:paraId="329ACD22" w14:textId="77777777" w:rsidP="00412DE8" w:rsidR="00412DE8" w:rsidRDefault="00412DE8">
      <w:pPr>
        <w:pStyle w:val="Paragraphedeliste"/>
        <w:numPr>
          <w:ilvl w:val="0"/>
          <w:numId w:val="1"/>
        </w:numPr>
        <w:spacing w:after="120"/>
        <w:jc w:val="both"/>
        <w:rPr>
          <w:rFonts w:cstheme="minorHAnsi"/>
        </w:rPr>
      </w:pPr>
      <w:r w:rsidRPr="00F27C75">
        <w:rPr>
          <w:rFonts w:cstheme="minorHAnsi"/>
        </w:rPr>
        <w:t>l’abondement sur le compte CPF pour les salariés sans formation depuis 2018</w:t>
      </w:r>
      <w:r>
        <w:rPr>
          <w:rFonts w:cstheme="minorHAnsi"/>
        </w:rPr>
        <w:t>,</w:t>
      </w:r>
    </w:p>
    <w:p w14:paraId="77BC5DA0" w14:textId="77777777" w:rsidP="00412DE8" w:rsidR="00412DE8" w:rsidRDefault="00412DE8" w:rsidRPr="00F27C75">
      <w:pPr>
        <w:pStyle w:val="Paragraphedeliste"/>
        <w:numPr>
          <w:ilvl w:val="0"/>
          <w:numId w:val="1"/>
        </w:numPr>
        <w:spacing w:after="120"/>
        <w:jc w:val="both"/>
        <w:rPr>
          <w:rFonts w:cstheme="minorHAnsi"/>
        </w:rPr>
      </w:pPr>
      <w:r>
        <w:rPr>
          <w:rFonts w:cstheme="minorHAnsi"/>
        </w:rPr>
        <w:t>l’égalité professionnelle entre les femmes et les hommes à signer avant juin 2022.</w:t>
      </w:r>
    </w:p>
    <w:p w14:paraId="1060BFE2" w14:textId="77777777" w:rsidP="00412DE8" w:rsidR="00412DE8" w:rsidRDefault="00412DE8" w:rsidRPr="0032704E">
      <w:pPr>
        <w:pStyle w:val="Paragraphedeliste"/>
        <w:spacing w:after="120"/>
        <w:ind w:left="1068"/>
        <w:jc w:val="both"/>
        <w:rPr>
          <w:rFonts w:cstheme="minorHAnsi"/>
        </w:rPr>
      </w:pPr>
    </w:p>
    <w:p w14:paraId="6AAE0536" w14:textId="77777777" w:rsidP="00412DE8" w:rsidR="00412DE8" w:rsidRDefault="00412DE8" w:rsidRPr="0032704E">
      <w:pPr>
        <w:pStyle w:val="Paragraphedeliste"/>
        <w:numPr>
          <w:ilvl w:val="0"/>
          <w:numId w:val="2"/>
        </w:numPr>
        <w:spacing w:after="120" w:before="360"/>
        <w:jc w:val="both"/>
        <w:rPr>
          <w:rFonts w:cstheme="minorHAnsi"/>
          <w:b/>
        </w:rPr>
      </w:pPr>
      <w:r w:rsidRPr="0032704E">
        <w:rPr>
          <w:rFonts w:cstheme="minorHAnsi"/>
          <w:b/>
        </w:rPr>
        <w:t>ARTICLE 3 – AUTRES POINTS</w:t>
      </w:r>
    </w:p>
    <w:p w14:paraId="310AC6BA" w14:textId="77777777" w:rsidP="00412DE8" w:rsidR="00412DE8" w:rsidRDefault="00412DE8" w:rsidRPr="00F27C75">
      <w:pPr>
        <w:autoSpaceDE w:val="0"/>
        <w:autoSpaceDN w:val="0"/>
        <w:adjustRightInd w:val="0"/>
        <w:spacing w:after="120" w:line="240" w:lineRule="atLeast"/>
        <w:jc w:val="both"/>
        <w:rPr>
          <w:color w:val="000000"/>
        </w:rPr>
      </w:pPr>
      <w:r w:rsidRPr="07ED5F34">
        <w:rPr>
          <w:color w:themeColor="text1" w:val="000000"/>
        </w:rPr>
        <w:t xml:space="preserve">Après sept réunions, les Parties reconnaissent qu’elles n’ont pu aboutir à un accord sur les autres points de revendications des Organisations Syndicales suivants : </w:t>
      </w:r>
    </w:p>
    <w:p w14:paraId="0576ACCF" w14:textId="77777777" w:rsidP="00412DE8" w:rsidR="00412DE8" w:rsidRDefault="00412DE8" w:rsidRPr="00F27C75">
      <w:pPr>
        <w:pStyle w:val="Paragraphedeliste"/>
        <w:numPr>
          <w:ilvl w:val="0"/>
          <w:numId w:val="1"/>
        </w:numPr>
        <w:spacing w:after="120"/>
        <w:jc w:val="both"/>
        <w:rPr>
          <w:rFonts w:eastAsiaTheme="minorEastAsia"/>
        </w:rPr>
      </w:pPr>
      <w:r w:rsidRPr="366915F3">
        <w:t>la rémunération de deux jours d’absence en cas d’immersion professionnelle en externe</w:t>
      </w:r>
      <w:r>
        <w:t>,</w:t>
      </w:r>
    </w:p>
    <w:p w14:paraId="34D02F82" w14:textId="77777777" w:rsidP="00412DE8" w:rsidR="00412DE8" w:rsidRDefault="00412DE8" w:rsidRPr="00F27C75">
      <w:pPr>
        <w:pStyle w:val="Paragraphedeliste"/>
        <w:numPr>
          <w:ilvl w:val="0"/>
          <w:numId w:val="1"/>
        </w:numPr>
        <w:spacing w:after="120"/>
        <w:jc w:val="both"/>
        <w:rPr>
          <w:rFonts w:eastAsiaTheme="minorEastAsia"/>
        </w:rPr>
      </w:pPr>
      <w:r w:rsidRPr="366915F3">
        <w:lastRenderedPageBreak/>
        <w:t xml:space="preserve">l’alignement de salaires pour les chargés de placement direct sont en </w:t>
      </w:r>
      <w:r>
        <w:t>deçà</w:t>
      </w:r>
      <w:r w:rsidRPr="366915F3">
        <w:t xml:space="preserve"> du salaire des conseillers (augmentation de salaires liée aux grandes métropoles),</w:t>
      </w:r>
    </w:p>
    <w:p w14:paraId="31BB4B72" w14:textId="77777777" w:rsidP="00412DE8" w:rsidR="00412DE8" w:rsidRDefault="00412DE8" w:rsidRPr="00F27C75">
      <w:pPr>
        <w:pStyle w:val="Paragraphedeliste"/>
        <w:numPr>
          <w:ilvl w:val="0"/>
          <w:numId w:val="1"/>
        </w:numPr>
        <w:spacing w:after="120"/>
        <w:jc w:val="both"/>
        <w:rPr>
          <w:rFonts w:eastAsiaTheme="minorEastAsia"/>
        </w:rPr>
      </w:pPr>
      <w:r w:rsidRPr="366915F3">
        <w:t xml:space="preserve">l’évènement </w:t>
      </w:r>
      <w:r>
        <w:t xml:space="preserve">de convivialité </w:t>
      </w:r>
      <w:r w:rsidRPr="366915F3">
        <w:t>annuel pour tous les salariés</w:t>
      </w:r>
      <w:r>
        <w:t>,</w:t>
      </w:r>
    </w:p>
    <w:p w14:paraId="794A173F" w14:textId="77777777" w:rsidP="00412DE8" w:rsidR="00412DE8" w:rsidRDefault="00412DE8" w:rsidRPr="00F27C75">
      <w:pPr>
        <w:pStyle w:val="Paragraphedeliste"/>
        <w:numPr>
          <w:ilvl w:val="0"/>
          <w:numId w:val="1"/>
        </w:numPr>
        <w:spacing w:after="120"/>
        <w:jc w:val="both"/>
        <w:rPr>
          <w:rFonts w:eastAsiaTheme="minorEastAsia"/>
        </w:rPr>
      </w:pPr>
      <w:r w:rsidRPr="366915F3">
        <w:t>la prise en charge de la surcomplémentaire pour les personnes qui la payent</w:t>
      </w:r>
      <w:r>
        <w:t>,</w:t>
      </w:r>
    </w:p>
    <w:p w14:paraId="2A6ACCFD" w14:textId="77777777" w:rsidP="00412DE8" w:rsidR="00412DE8" w:rsidRDefault="00412DE8" w:rsidRPr="00F27C75">
      <w:pPr>
        <w:pStyle w:val="Paragraphedeliste"/>
        <w:numPr>
          <w:ilvl w:val="0"/>
          <w:numId w:val="1"/>
        </w:numPr>
        <w:spacing w:after="120"/>
        <w:jc w:val="both"/>
      </w:pPr>
      <w:r w:rsidRPr="366915F3">
        <w:t>la mise en place d’échanges/repas par équipe une fois par mois</w:t>
      </w:r>
      <w:r>
        <w:t>,</w:t>
      </w:r>
    </w:p>
    <w:p w14:paraId="5E46DE8C" w14:textId="77777777" w:rsidP="00412DE8" w:rsidR="00412DE8" w:rsidRDefault="00412DE8" w:rsidRPr="00F27C75">
      <w:pPr>
        <w:pStyle w:val="Paragraphedeliste"/>
        <w:numPr>
          <w:ilvl w:val="0"/>
          <w:numId w:val="1"/>
        </w:numPr>
        <w:spacing w:after="120"/>
        <w:jc w:val="both"/>
        <w:rPr>
          <w:rFonts w:eastAsiaTheme="minorEastAsia"/>
        </w:rPr>
      </w:pPr>
      <w:r w:rsidRPr="366915F3">
        <w:t>financement de la surcomplémentaire par l’entreprise pour les personnes en arrêt maladie longue durée</w:t>
      </w:r>
      <w:r>
        <w:t>,</w:t>
      </w:r>
      <w:r w:rsidRPr="366915F3">
        <w:t xml:space="preserve"> </w:t>
      </w:r>
    </w:p>
    <w:p w14:paraId="5FD49C7D" w14:textId="77777777" w:rsidP="00412DE8" w:rsidR="00412DE8" w:rsidRDefault="00412DE8" w:rsidRPr="00F27C75">
      <w:pPr>
        <w:pStyle w:val="Paragraphedeliste"/>
        <w:numPr>
          <w:ilvl w:val="0"/>
          <w:numId w:val="1"/>
        </w:numPr>
        <w:spacing w:after="120"/>
        <w:jc w:val="both"/>
      </w:pPr>
      <w:r w:rsidRPr="366915F3">
        <w:t>prise en charge des titres de transport à 100%</w:t>
      </w:r>
      <w:r>
        <w:t>,</w:t>
      </w:r>
    </w:p>
    <w:p w14:paraId="7A845C5F"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financement d’un jour enfant malade</w:t>
      </w:r>
      <w:r>
        <w:rPr>
          <w:rFonts w:cstheme="minorHAnsi"/>
        </w:rPr>
        <w:t>,</w:t>
      </w:r>
    </w:p>
    <w:p w14:paraId="42D8971B"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financement d’un jour pour proche aidant</w:t>
      </w:r>
      <w:r>
        <w:rPr>
          <w:rFonts w:cstheme="minorHAnsi"/>
        </w:rPr>
        <w:t>,</w:t>
      </w:r>
    </w:p>
    <w:p w14:paraId="0A29C48C"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instauration d’un 13</w:t>
      </w:r>
      <w:r w:rsidRPr="00F27C75">
        <w:rPr>
          <w:rFonts w:cstheme="minorHAnsi"/>
          <w:vertAlign w:val="superscript"/>
        </w:rPr>
        <w:t>ème</w:t>
      </w:r>
      <w:r w:rsidRPr="00F27C75">
        <w:rPr>
          <w:rFonts w:cstheme="minorHAnsi"/>
        </w:rPr>
        <w:t xml:space="preserve"> mois</w:t>
      </w:r>
      <w:r>
        <w:rPr>
          <w:rFonts w:cstheme="minorHAnsi"/>
        </w:rPr>
        <w:t>,</w:t>
      </w:r>
    </w:p>
    <w:p w14:paraId="7F65EB3F"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financement des jours de déménagement</w:t>
      </w:r>
      <w:r>
        <w:rPr>
          <w:rFonts w:cstheme="minorHAnsi"/>
        </w:rPr>
        <w:t>,</w:t>
      </w:r>
    </w:p>
    <w:p w14:paraId="03FEDF87"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majoration des heures travaillées le samedi</w:t>
      </w:r>
      <w:r>
        <w:rPr>
          <w:rFonts w:cstheme="minorHAnsi"/>
        </w:rPr>
        <w:t>,</w:t>
      </w:r>
    </w:p>
    <w:p w14:paraId="63D1F976"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augmentation du pourcentage d’augmentation de la grille salariale des conseillers</w:t>
      </w:r>
      <w:r>
        <w:rPr>
          <w:rFonts w:cstheme="minorHAnsi"/>
        </w:rPr>
        <w:t>,</w:t>
      </w:r>
    </w:p>
    <w:p w14:paraId="095BFF49"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réduction de la carence arrêt maladie d’un an à 6 mois</w:t>
      </w:r>
      <w:r>
        <w:rPr>
          <w:rFonts w:cstheme="minorHAnsi"/>
        </w:rPr>
        <w:t>,</w:t>
      </w:r>
    </w:p>
    <w:p w14:paraId="295D37B6"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négociation sur le périmètre de la mobilité contrainte en cas de changement de site sur la réduction des temps imposés</w:t>
      </w:r>
      <w:r>
        <w:rPr>
          <w:rFonts w:cstheme="minorHAnsi"/>
        </w:rPr>
        <w:t>,</w:t>
      </w:r>
    </w:p>
    <w:p w14:paraId="782F10B0"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mutualisation de la prime de vacances</w:t>
      </w:r>
      <w:r>
        <w:rPr>
          <w:rFonts w:cstheme="minorHAnsi"/>
        </w:rPr>
        <w:t>,</w:t>
      </w:r>
    </w:p>
    <w:p w14:paraId="40A02C65"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prime de performance pour les salariés de l’OPS</w:t>
      </w:r>
      <w:r>
        <w:rPr>
          <w:rFonts w:cstheme="minorHAnsi"/>
        </w:rPr>
        <w:t>,</w:t>
      </w:r>
    </w:p>
    <w:p w14:paraId="5BD3ED4A"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revalorisation des titres restaurant</w:t>
      </w:r>
      <w:r>
        <w:rPr>
          <w:rFonts w:cstheme="minorHAnsi"/>
        </w:rPr>
        <w:t>,</w:t>
      </w:r>
      <w:r w:rsidRPr="00F27C75">
        <w:rPr>
          <w:rFonts w:cstheme="minorHAnsi"/>
        </w:rPr>
        <w:t> </w:t>
      </w:r>
    </w:p>
    <w:p w14:paraId="6C431E79"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pérennisation de la prise en charge du repas de noël</w:t>
      </w:r>
      <w:r>
        <w:rPr>
          <w:rFonts w:cstheme="minorHAnsi"/>
        </w:rPr>
        <w:t>,</w:t>
      </w:r>
    </w:p>
    <w:p w14:paraId="65F50C0E"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négociation d’une prime d’assiduité pour les personnes sans absence</w:t>
      </w:r>
      <w:r>
        <w:rPr>
          <w:rFonts w:cstheme="minorHAnsi"/>
        </w:rPr>
        <w:t>,</w:t>
      </w:r>
    </w:p>
    <w:p w14:paraId="04DC57EC"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prime de noël</w:t>
      </w:r>
      <w:r>
        <w:rPr>
          <w:rFonts w:cstheme="minorHAnsi"/>
        </w:rPr>
        <w:t>,</w:t>
      </w:r>
    </w:p>
    <w:p w14:paraId="14259C41" w14:textId="77777777" w:rsidP="00412DE8" w:rsidR="00412DE8" w:rsidRDefault="00412DE8" w:rsidRPr="00F27C75">
      <w:pPr>
        <w:pStyle w:val="Paragraphedeliste"/>
        <w:numPr>
          <w:ilvl w:val="0"/>
          <w:numId w:val="1"/>
        </w:numPr>
        <w:spacing w:after="120"/>
        <w:jc w:val="both"/>
        <w:rPr>
          <w:rFonts w:cstheme="minorHAnsi"/>
        </w:rPr>
      </w:pPr>
      <w:r w:rsidRPr="00F27C75">
        <w:rPr>
          <w:rFonts w:cstheme="minorHAnsi"/>
        </w:rPr>
        <w:t>négociation sur le temps de récupération relatif au temps de trajet</w:t>
      </w:r>
      <w:r>
        <w:rPr>
          <w:rFonts w:cstheme="minorHAnsi"/>
        </w:rPr>
        <w:t>.</w:t>
      </w:r>
    </w:p>
    <w:p w14:paraId="01E820D7" w14:textId="77777777" w:rsidP="00412DE8" w:rsidR="00412DE8" w:rsidRDefault="00412DE8" w:rsidRPr="00F27C75">
      <w:pPr>
        <w:spacing w:after="120" w:before="240"/>
        <w:jc w:val="both"/>
        <w:rPr>
          <w:rFonts w:cstheme="minorHAnsi"/>
          <w:b/>
        </w:rPr>
      </w:pPr>
      <w:r w:rsidRPr="00F27C75">
        <w:rPr>
          <w:rFonts w:cstheme="minorHAnsi"/>
          <w:b/>
        </w:rPr>
        <w:t>Article 4 : Durée</w:t>
      </w:r>
    </w:p>
    <w:p w14:paraId="41408690" w14:textId="77777777" w:rsidP="00412DE8" w:rsidR="00412DE8" w:rsidRDefault="00412DE8" w:rsidRPr="00F27C75">
      <w:pPr>
        <w:spacing w:after="120"/>
        <w:jc w:val="both"/>
        <w:rPr>
          <w:rFonts w:cstheme="minorHAnsi"/>
        </w:rPr>
      </w:pPr>
      <w:r w:rsidRPr="00F27C75">
        <w:rPr>
          <w:rFonts w:cstheme="minorHAnsi"/>
        </w:rPr>
        <w:t>Les dispositions du présent accord sont conclues pour une durée indéterminée.</w:t>
      </w:r>
    </w:p>
    <w:p w14:paraId="63770D77" w14:textId="77777777" w:rsidP="00412DE8" w:rsidR="00412DE8" w:rsidRDefault="00412DE8" w:rsidRPr="00F27C75">
      <w:pPr>
        <w:spacing w:after="120" w:before="360"/>
        <w:jc w:val="both"/>
        <w:rPr>
          <w:rFonts w:cstheme="minorHAnsi"/>
          <w:b/>
        </w:rPr>
      </w:pPr>
      <w:r w:rsidRPr="00F27C75">
        <w:rPr>
          <w:rFonts w:cstheme="minorHAnsi"/>
          <w:b/>
        </w:rPr>
        <w:t xml:space="preserve">Article 5 : Révision </w:t>
      </w:r>
    </w:p>
    <w:p w14:paraId="694C8630" w14:textId="77777777" w:rsidP="00412DE8" w:rsidR="00412DE8" w:rsidRDefault="00412DE8" w:rsidRPr="00F27C75">
      <w:pPr>
        <w:spacing w:after="120"/>
        <w:jc w:val="both"/>
        <w:rPr>
          <w:rFonts w:cstheme="minorHAnsi"/>
        </w:rPr>
      </w:pPr>
      <w:r w:rsidRPr="00F27C75">
        <w:rPr>
          <w:rFonts w:cstheme="minorHAnsi"/>
        </w:rPr>
        <w:t>Le présent accord peut être révisé selon les dispositions légales en vigueur.</w:t>
      </w:r>
    </w:p>
    <w:p w14:paraId="37C4D839" w14:textId="77777777" w:rsidP="00412DE8" w:rsidR="00412DE8" w:rsidRDefault="00412DE8" w:rsidRPr="00F27C75">
      <w:pPr>
        <w:spacing w:after="120"/>
        <w:jc w:val="both"/>
        <w:rPr>
          <w:rFonts w:cstheme="minorHAnsi"/>
        </w:rPr>
      </w:pPr>
      <w:r w:rsidRPr="00F27C75">
        <w:rPr>
          <w:rFonts w:cstheme="minorHAnsi"/>
        </w:rPr>
        <w:t>Les dispositions du présent accord peuvent faire l’objet d’une demande de révision par lettre recommandée avec accusé de réception et comporter, outre l’indication des dispositions dont la révision est demandée, des propositions de remplacement.</w:t>
      </w:r>
    </w:p>
    <w:p w14:paraId="15A7D50E" w14:textId="77777777" w:rsidP="00412DE8" w:rsidR="00412DE8" w:rsidRDefault="00412DE8" w:rsidRPr="00F27C75">
      <w:pPr>
        <w:spacing w:after="120" w:before="120"/>
        <w:jc w:val="both"/>
        <w:rPr>
          <w:rFonts w:cstheme="minorHAnsi"/>
        </w:rPr>
      </w:pPr>
      <w:r w:rsidRPr="00F27C75">
        <w:rPr>
          <w:rFonts w:cstheme="minorHAnsi"/>
        </w:rPr>
        <w:t xml:space="preserve">Le plus rapidement possible et au plus tard dans un délai de trois mois suivant la réception de cette lettre, les parties signataires, ou à l’issue du cycle électoral, les organisations syndicales représentatives non-signataires ouvriront une négociation en vue de la rédaction d’un nouveau texte. </w:t>
      </w:r>
    </w:p>
    <w:p w14:paraId="62A54576" w14:textId="77777777" w:rsidP="00412DE8" w:rsidR="00412DE8" w:rsidRDefault="00412DE8" w:rsidRPr="00F27C75">
      <w:pPr>
        <w:spacing w:after="120" w:before="120"/>
        <w:jc w:val="both"/>
        <w:rPr>
          <w:rFonts w:cstheme="minorHAnsi"/>
        </w:rPr>
      </w:pPr>
      <w:r w:rsidRPr="00F27C75">
        <w:rPr>
          <w:rFonts w:cstheme="minorHAnsi"/>
        </w:rPr>
        <w:t xml:space="preserve">Les dispositions de l’accord dont la révision est demandée restent en vigueur jusqu’à la conclusion d’un nouvel accord ou, à défaut, sont maintenues conformément aux dispositions légales. </w:t>
      </w:r>
    </w:p>
    <w:p w14:paraId="7966B5BA" w14:textId="77777777" w:rsidP="00412DE8" w:rsidR="00412DE8" w:rsidRDefault="00412DE8" w:rsidRPr="00F27C75">
      <w:pPr>
        <w:spacing w:after="120" w:before="360"/>
        <w:jc w:val="both"/>
        <w:rPr>
          <w:rFonts w:cstheme="minorHAnsi"/>
          <w:b/>
        </w:rPr>
      </w:pPr>
      <w:r w:rsidRPr="00F27C75">
        <w:rPr>
          <w:rFonts w:cstheme="minorHAnsi"/>
          <w:b/>
        </w:rPr>
        <w:t xml:space="preserve">Article 6 : Dénonciation </w:t>
      </w:r>
    </w:p>
    <w:p w14:paraId="7456960E" w14:textId="77777777" w:rsidP="00412DE8" w:rsidR="00412DE8" w:rsidRDefault="00412DE8" w:rsidRPr="00F27C75">
      <w:pPr>
        <w:spacing w:after="120" w:before="120"/>
        <w:jc w:val="both"/>
        <w:rPr>
          <w:rFonts w:cstheme="minorHAnsi"/>
        </w:rPr>
      </w:pPr>
      <w:r w:rsidRPr="00F27C75">
        <w:rPr>
          <w:rFonts w:cstheme="minorHAnsi"/>
        </w:rPr>
        <w:t>Les dispositions du présent accord qui sont conclues à durée indéterminée pourront être dénoncées par chaque partie signataire dans les conditions prévues aux articles L. 2261-9 et suivants du code du travail, sous réserve d’un préavis de trois mois.</w:t>
      </w:r>
    </w:p>
    <w:p w14:paraId="38C79019" w14:textId="77777777" w:rsidP="00412DE8" w:rsidR="00412DE8" w:rsidRDefault="00412DE8" w:rsidRPr="00F27C75">
      <w:pPr>
        <w:spacing w:after="120" w:before="360"/>
        <w:jc w:val="both"/>
        <w:rPr>
          <w:rFonts w:cstheme="minorHAnsi"/>
          <w:b/>
        </w:rPr>
      </w:pPr>
      <w:r w:rsidRPr="00F27C75">
        <w:rPr>
          <w:rFonts w:cstheme="minorHAnsi"/>
          <w:b/>
        </w:rPr>
        <w:t>Article 7 : Publicité et dépôt légal</w:t>
      </w:r>
    </w:p>
    <w:p w14:paraId="5AEFD00B" w14:textId="77777777" w:rsidP="00412DE8" w:rsidR="00412DE8" w:rsidRDefault="00412DE8" w:rsidRPr="00F27C75">
      <w:pPr>
        <w:spacing w:after="120"/>
        <w:jc w:val="both"/>
        <w:rPr>
          <w:rFonts w:cstheme="minorHAnsi"/>
        </w:rPr>
      </w:pPr>
      <w:r w:rsidRPr="00F27C75">
        <w:rPr>
          <w:rFonts w:cstheme="minorHAnsi"/>
        </w:rPr>
        <w:lastRenderedPageBreak/>
        <w:t>Conformément à l’article L. 2231-5 du code du Travail, le présent accord sera notifié par la Direction à l’ensemble des organisations syndicales représentatives.</w:t>
      </w:r>
    </w:p>
    <w:p w14:paraId="3D0D2258" w14:textId="77777777" w:rsidP="00412DE8" w:rsidR="00412DE8" w:rsidRDefault="00412DE8" w:rsidRPr="00F27C75">
      <w:pPr>
        <w:spacing w:after="120"/>
        <w:jc w:val="both"/>
        <w:rPr>
          <w:rFonts w:cstheme="minorHAnsi"/>
        </w:rPr>
      </w:pPr>
      <w:r w:rsidRPr="00F27C75">
        <w:rPr>
          <w:rFonts w:cstheme="minorHAnsi"/>
        </w:rPr>
        <w:t xml:space="preserve">Les formalités de dépôt du présent accord seront réalisées conformément aux dispositions du code du travail. Ainsi : </w:t>
      </w:r>
    </w:p>
    <w:p w14:paraId="3BEB5679" w14:textId="77777777" w:rsidP="00412DE8" w:rsidR="00412DE8" w:rsidRDefault="00412DE8" w:rsidRPr="00F27C75">
      <w:pPr>
        <w:pStyle w:val="Paragraphedeliste"/>
        <w:numPr>
          <w:ilvl w:val="0"/>
          <w:numId w:val="5"/>
        </w:numPr>
        <w:spacing w:after="120"/>
        <w:jc w:val="both"/>
        <w:rPr>
          <w:rFonts w:cstheme="minorHAnsi"/>
        </w:rPr>
      </w:pPr>
      <w:r w:rsidRPr="00F27C75">
        <w:rPr>
          <w:rFonts w:cstheme="minorHAnsi"/>
        </w:rPr>
        <w:t>un exemplaire sera déposé au greffe du Conseil de prud’hommes de Paris ;</w:t>
      </w:r>
    </w:p>
    <w:p w14:paraId="4E6124E4" w14:textId="77777777" w:rsidP="00412DE8" w:rsidR="00412DE8" w:rsidRDefault="00412DE8" w:rsidRPr="00F27C75">
      <w:pPr>
        <w:pStyle w:val="Paragraphedeliste"/>
        <w:numPr>
          <w:ilvl w:val="0"/>
          <w:numId w:val="5"/>
        </w:numPr>
        <w:spacing w:after="120"/>
        <w:jc w:val="both"/>
        <w:rPr>
          <w:rFonts w:cstheme="minorHAnsi"/>
        </w:rPr>
      </w:pPr>
      <w:r w:rsidRPr="00F27C75">
        <w:rPr>
          <w:rFonts w:cstheme="minorHAnsi"/>
        </w:rPr>
        <w:t>un exemplaire sera déposé sur la plateforme de téléprocédure du ministère du travail.</w:t>
      </w:r>
    </w:p>
    <w:p w14:paraId="7FD11CDC" w14:textId="77777777" w:rsidP="00412DE8" w:rsidR="00412DE8" w:rsidRDefault="00412DE8" w:rsidRPr="00F27C75">
      <w:pPr>
        <w:spacing w:after="120"/>
        <w:jc w:val="both"/>
        <w:rPr>
          <w:rFonts w:cstheme="minorHAnsi"/>
        </w:rPr>
      </w:pPr>
      <w:r w:rsidRPr="00F27C75">
        <w:rPr>
          <w:rFonts w:cstheme="minorHAnsi"/>
        </w:rPr>
        <w:t>Le présent accord sera rendu public (dans une version anonymisée) et versé dans la base de données nationale, aucune des Parties n’ayant exprimé le souhait d’occulter tout ou partie des dispositions de cet accord préalablement à son dépôt.</w:t>
      </w:r>
    </w:p>
    <w:p w14:paraId="144D228E" w14:textId="77777777" w:rsidP="00412DE8" w:rsidR="00412DE8" w:rsidRDefault="00412DE8" w:rsidRPr="00F27C75">
      <w:pPr>
        <w:spacing w:after="120"/>
        <w:jc w:val="both"/>
        <w:rPr>
          <w:rFonts w:cstheme="minorHAnsi"/>
        </w:rPr>
      </w:pPr>
      <w:r w:rsidRPr="00F27C75">
        <w:rPr>
          <w:rFonts w:cstheme="minorHAnsi"/>
        </w:rPr>
        <w:t xml:space="preserve">Chacun des exemplaires déposés à la </w:t>
      </w:r>
      <w:r>
        <w:rPr>
          <w:rFonts w:cstheme="minorHAnsi"/>
        </w:rPr>
        <w:t>DRIEETS</w:t>
      </w:r>
      <w:r w:rsidRPr="00F27C75">
        <w:rPr>
          <w:rFonts w:cstheme="minorHAnsi"/>
        </w:rPr>
        <w:t xml:space="preserve"> et au Conseil de Prud’hommes sera accompagné des documents listés à l’article D. 2231-7.</w:t>
      </w:r>
    </w:p>
    <w:p w14:paraId="6E335429" w14:textId="77777777" w:rsidP="00412DE8" w:rsidR="00412DE8" w:rsidRDefault="00412DE8">
      <w:pPr>
        <w:spacing w:after="120"/>
        <w:jc w:val="both"/>
      </w:pPr>
    </w:p>
    <w:p w14:paraId="42309A09" w14:textId="77777777" w:rsidP="00412DE8" w:rsidR="00412DE8" w:rsidRDefault="00412DE8" w:rsidRPr="009B1F38">
      <w:pPr>
        <w:spacing w:after="120"/>
        <w:jc w:val="both"/>
        <w:rPr>
          <w:rStyle w:val="eop"/>
        </w:rPr>
      </w:pPr>
      <w:r w:rsidRPr="366915F3">
        <w:t xml:space="preserve">Fait à Paris, </w:t>
      </w:r>
      <w:r w:rsidRPr="366915F3">
        <w:rPr>
          <w:rStyle w:val="normaltextrun"/>
          <w:color w:val="000000"/>
          <w:shd w:color="auto" w:fill="FFFFFF" w:val="clear"/>
        </w:rPr>
        <w:t>signé électroniquement par les parties, puis envoyé pour téléchargement à chaque partie y compris aux fins de publicité.</w:t>
      </w:r>
    </w:p>
    <w:p w14:paraId="5D922FE6" w14:textId="77777777" w:rsidP="00412DE8" w:rsidR="00412DE8" w:rsidRDefault="00412DE8" w:rsidRPr="00F27C75">
      <w:pPr>
        <w:spacing w:after="120" w:before="720"/>
        <w:jc w:val="both"/>
        <w:rPr>
          <w:rFonts w:cstheme="minorHAnsi"/>
        </w:rPr>
      </w:pPr>
      <w:r w:rsidRPr="00F27C75">
        <w:rPr>
          <w:rFonts w:cstheme="minorHAnsi"/>
        </w:rPr>
        <w:t xml:space="preserve">Pour les Organisations Syndicales représentatives au sein de la société, </w:t>
      </w:r>
    </w:p>
    <w:p w14:paraId="4C446238" w14:textId="03A5CABA" w:rsidP="00412DE8" w:rsidR="00412DE8" w:rsidRDefault="00412DE8" w:rsidRPr="00F27C75">
      <w:pPr>
        <w:spacing w:after="120" w:before="1080"/>
        <w:jc w:val="both"/>
        <w:rPr>
          <w:rFonts w:cstheme="minorHAnsi"/>
        </w:rPr>
      </w:pPr>
      <w:r w:rsidRPr="00F27C75">
        <w:rPr>
          <w:rFonts w:cstheme="minorHAnsi"/>
        </w:rPr>
        <w:t xml:space="preserve">Pour le syndicat CFDT, </w:t>
      </w:r>
    </w:p>
    <w:p w14:paraId="7678EC1C" w14:textId="55E9C134" w:rsidP="00412DE8" w:rsidR="00412DE8" w:rsidRDefault="00412DE8" w:rsidRPr="00F27C75">
      <w:pPr>
        <w:spacing w:after="120" w:before="1080"/>
        <w:jc w:val="both"/>
        <w:rPr>
          <w:rFonts w:cstheme="minorHAnsi"/>
        </w:rPr>
      </w:pPr>
      <w:r w:rsidRPr="00F27C75">
        <w:rPr>
          <w:rFonts w:cstheme="minorHAnsi"/>
        </w:rPr>
        <w:t xml:space="preserve">Pour le syndicat CFTC, </w:t>
      </w:r>
    </w:p>
    <w:p w14:paraId="1806F259" w14:textId="7D663AC6" w:rsidP="00412DE8" w:rsidR="00412DE8" w:rsidRDefault="00412DE8" w:rsidRPr="00F27C75">
      <w:pPr>
        <w:spacing w:after="120" w:before="1080"/>
        <w:jc w:val="both"/>
        <w:rPr>
          <w:rFonts w:cstheme="minorHAnsi"/>
        </w:rPr>
      </w:pPr>
      <w:r w:rsidRPr="00F27C75">
        <w:rPr>
          <w:rFonts w:cstheme="minorHAnsi"/>
        </w:rPr>
        <w:t xml:space="preserve">Pour le syndicat CGT, </w:t>
      </w:r>
    </w:p>
    <w:p w14:paraId="5D8C03B1" w14:textId="65BC21B6" w:rsidP="00412DE8" w:rsidR="00412DE8" w:rsidRDefault="00412DE8" w:rsidRPr="00F27C75">
      <w:pPr>
        <w:spacing w:after="120" w:before="1080"/>
        <w:jc w:val="both"/>
        <w:rPr>
          <w:rFonts w:cstheme="minorHAnsi"/>
        </w:rPr>
      </w:pPr>
      <w:r w:rsidRPr="366915F3">
        <w:t xml:space="preserve">Pour TINGARI SAS, </w:t>
      </w:r>
    </w:p>
    <w:p w14:paraId="59BFCFA2" w14:textId="77777777" w:rsidR="00CC68D4" w:rsidRDefault="00CC68D4"/>
    <w:sectPr w:rsidR="00CC68D4" w:rsidSect="00681F9F">
      <w:footerReference r:id="rId10" w:type="default"/>
      <w:pgSz w:h="16838" w:w="11906"/>
      <w:pgMar w:bottom="993" w:footer="708" w:gutter="0" w:header="708" w:left="1417" w:right="1417" w:top="113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2EA7" w14:textId="77777777" w:rsidR="00000000" w:rsidRDefault="00653863">
      <w:pPr>
        <w:spacing w:after="0" w:line="240" w:lineRule="auto"/>
      </w:pPr>
      <w:r>
        <w:separator/>
      </w:r>
    </w:p>
  </w:endnote>
  <w:endnote w:type="continuationSeparator" w:id="0">
    <w:p w14:paraId="0BE8112D" w14:textId="77777777" w:rsidR="00000000" w:rsidRDefault="0065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768274" w14:textId="77777777" w:rsidP="00650997" w:rsidR="00650997" w:rsidRDefault="007266D9" w:rsidRPr="00ED3C7B">
    <w:pPr>
      <w:pStyle w:val="Pieddepage"/>
      <w:jc w:val="center"/>
      <w:rPr>
        <w:sz w:val="18"/>
        <w:szCs w:val="18"/>
      </w:rPr>
    </w:pPr>
    <w:r w:rsidRPr="00ED3C7B">
      <w:rPr>
        <w:sz w:val="18"/>
        <w:szCs w:val="18"/>
      </w:rPr>
      <w:t xml:space="preserve">Page </w:t>
    </w:r>
    <w:r w:rsidRPr="00ED3C7B">
      <w:rPr>
        <w:b/>
        <w:bCs/>
        <w:sz w:val="18"/>
        <w:szCs w:val="18"/>
      </w:rPr>
      <w:fldChar w:fldCharType="begin"/>
    </w:r>
    <w:r w:rsidRPr="00ED3C7B">
      <w:rPr>
        <w:b/>
        <w:bCs/>
        <w:sz w:val="18"/>
        <w:szCs w:val="18"/>
      </w:rPr>
      <w:instrText>PAGE  \* Arabic  \* MERGEFORMAT</w:instrText>
    </w:r>
    <w:r w:rsidRPr="00ED3C7B">
      <w:rPr>
        <w:b/>
        <w:bCs/>
        <w:sz w:val="18"/>
        <w:szCs w:val="18"/>
      </w:rPr>
      <w:fldChar w:fldCharType="separate"/>
    </w:r>
    <w:r>
      <w:rPr>
        <w:b/>
        <w:bCs/>
        <w:noProof/>
        <w:sz w:val="18"/>
        <w:szCs w:val="18"/>
      </w:rPr>
      <w:t>1</w:t>
    </w:r>
    <w:r w:rsidRPr="00ED3C7B">
      <w:rPr>
        <w:b/>
        <w:bCs/>
        <w:sz w:val="18"/>
        <w:szCs w:val="18"/>
      </w:rPr>
      <w:fldChar w:fldCharType="end"/>
    </w:r>
    <w:r w:rsidRPr="00ED3C7B">
      <w:rPr>
        <w:sz w:val="18"/>
        <w:szCs w:val="18"/>
      </w:rPr>
      <w:t xml:space="preserve"> sur </w:t>
    </w:r>
    <w:r w:rsidRPr="00ED3C7B">
      <w:rPr>
        <w:b/>
        <w:bCs/>
        <w:sz w:val="18"/>
        <w:szCs w:val="18"/>
      </w:rPr>
      <w:fldChar w:fldCharType="begin"/>
    </w:r>
    <w:r w:rsidRPr="00ED3C7B">
      <w:rPr>
        <w:b/>
        <w:bCs/>
        <w:sz w:val="18"/>
        <w:szCs w:val="18"/>
      </w:rPr>
      <w:instrText>NUMPAGES  \* Arabic  \* MERGEFORMAT</w:instrText>
    </w:r>
    <w:r w:rsidRPr="00ED3C7B">
      <w:rPr>
        <w:b/>
        <w:bCs/>
        <w:sz w:val="18"/>
        <w:szCs w:val="18"/>
      </w:rPr>
      <w:fldChar w:fldCharType="separate"/>
    </w:r>
    <w:r>
      <w:rPr>
        <w:b/>
        <w:bCs/>
        <w:noProof/>
        <w:sz w:val="18"/>
        <w:szCs w:val="18"/>
      </w:rPr>
      <w:t>9</w:t>
    </w:r>
    <w:r w:rsidRPr="00ED3C7B">
      <w:rPr>
        <w:b/>
        <w:bCs/>
        <w:sz w:val="18"/>
        <w:szCs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18333B3" w14:textId="77777777" w:rsidR="00000000" w:rsidRDefault="00653863">
      <w:pPr>
        <w:spacing w:after="0" w:line="240" w:lineRule="auto"/>
      </w:pPr>
      <w:r>
        <w:separator/>
      </w:r>
    </w:p>
  </w:footnote>
  <w:footnote w:id="0" w:type="continuationSeparator">
    <w:p w14:paraId="01C5C329" w14:textId="77777777" w:rsidR="00000000" w:rsidRDefault="0065386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DA23D6"/>
    <w:multiLevelType w:val="hybridMultilevel"/>
    <w:tmpl w:val="EADA34BC"/>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080440B2"/>
    <w:multiLevelType w:val="multilevel"/>
    <w:tmpl w:val="5C42CC1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
    <w:nsid w:val="0D51035F"/>
    <w:multiLevelType w:val="hybridMultilevel"/>
    <w:tmpl w:val="174C2676"/>
    <w:lvl w:ilvl="0" w:tplc="1D70B0A8">
      <w:start w:val="15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F404801"/>
    <w:multiLevelType w:val="multilevel"/>
    <w:tmpl w:val="67242B9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rPr>
        <w:b/>
        <w:bCs w:val="0"/>
        <w:i w:val="0"/>
        <w:iCs w:val="0"/>
      </w:r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4">
    <w:nsid w:val="42991DF4"/>
    <w:multiLevelType w:val="hybridMultilevel"/>
    <w:tmpl w:val="3EB02F2C"/>
    <w:lvl w:ilvl="0" w:tplc="D7D4864A">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3E74A89"/>
    <w:multiLevelType w:val="multilevel"/>
    <w:tmpl w:val="6102F394"/>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6">
    <w:nsid w:val="728A69EE"/>
    <w:multiLevelType w:val="hybridMultilevel"/>
    <w:tmpl w:val="C8305DB0"/>
    <w:lvl w:ilvl="0" w:tplc="584E20AC">
      <w:start w:val="8"/>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7AF851D2"/>
    <w:multiLevelType w:val="multilevel"/>
    <w:tmpl w:val="C8E23540"/>
    <w:lvl w:ilvl="0">
      <w:start w:val="1"/>
      <w:numFmt w:val="decimal"/>
      <w:lvlText w:val="%1."/>
      <w:lvlJc w:val="left"/>
      <w:pPr>
        <w:ind w:hanging="360" w:left="360"/>
      </w:pPr>
    </w:lvl>
    <w:lvl w:ilvl="1">
      <w:start w:val="1"/>
      <w:numFmt w:val="decimal"/>
      <w:lvlText w:val="%1.%2."/>
      <w:lvlJc w:val="left"/>
      <w:pPr>
        <w:ind w:hanging="432" w:left="792"/>
      </w:pPr>
      <w:rPr>
        <w:b/>
        <w:bCs/>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num w:numId="1">
    <w:abstractNumId w:val="0"/>
  </w:num>
  <w:num w:numId="2">
    <w:abstractNumId w:val="7"/>
  </w:num>
  <w:num w:numId="3">
    <w:abstractNumId w:val="6"/>
  </w:num>
  <w:num w:numId="4">
    <w:abstractNumId w:val="4"/>
  </w:num>
  <w:num w:numId="5">
    <w:abstractNumId w:val="2"/>
  </w:num>
  <w:num w:numId="6">
    <w:abstractNumId w:val="5"/>
  </w:num>
  <w:num w:numId="7">
    <w:abstractNumId w:val="1"/>
  </w:num>
  <w:num w:numId="8">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E8"/>
    <w:rsid w:val="00412DE8"/>
    <w:rsid w:val="00653863"/>
    <w:rsid w:val="007266D9"/>
    <w:rsid w:val="008A614E"/>
    <w:rsid w:val="00CC68D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FFE5164"/>
  <w15:chartTrackingRefBased/>
  <w15:docId w15:val="{C5E93BA8-B9B7-493F-A3D6-0C5B31CE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2DE8"/>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412DE8"/>
    <w:pPr>
      <w:ind w:left="720"/>
      <w:contextualSpacing/>
    </w:pPr>
  </w:style>
  <w:style w:styleId="Pieddepage" w:type="paragraph">
    <w:name w:val="footer"/>
    <w:basedOn w:val="Normal"/>
    <w:link w:val="PieddepageCar"/>
    <w:uiPriority w:val="99"/>
    <w:unhideWhenUsed/>
    <w:rsid w:val="00412DE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12DE8"/>
  </w:style>
  <w:style w:customStyle="1" w:styleId="xmsonormal" w:type="paragraph">
    <w:name w:val="x_msonormal"/>
    <w:basedOn w:val="Normal"/>
    <w:rsid w:val="00412DE8"/>
    <w:pPr>
      <w:spacing w:after="100" w:afterAutospacing="1" w:before="100" w:beforeAutospacing="1" w:line="240" w:lineRule="auto"/>
    </w:pPr>
    <w:rPr>
      <w:rFonts w:ascii="Calibri" w:cs="Calibri" w:hAnsi="Calibri"/>
      <w:lang w:eastAsia="fr-FR"/>
    </w:rPr>
  </w:style>
  <w:style w:customStyle="1" w:styleId="paragraph" w:type="paragraph">
    <w:name w:val="paragraph"/>
    <w:basedOn w:val="Normal"/>
    <w:rsid w:val="00412DE8"/>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normaltextrun" w:type="character">
    <w:name w:val="normaltextrun"/>
    <w:basedOn w:val="Policepardfaut"/>
    <w:rsid w:val="00412DE8"/>
  </w:style>
  <w:style w:customStyle="1" w:styleId="eop" w:type="character">
    <w:name w:val="eop"/>
    <w:basedOn w:val="Policepardfaut"/>
    <w:rsid w:val="00412DE8"/>
  </w:style>
  <w:style w:styleId="Grilledutableau" w:type="table">
    <w:name w:val="Table Grid"/>
    <w:basedOn w:val="TableauNormal"/>
    <w:uiPriority w:val="39"/>
    <w:rsid w:val="00412D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589000D374A941B715FA522621D522" ma:contentTypeVersion="14" ma:contentTypeDescription="Crée un document." ma:contentTypeScope="" ma:versionID="80d29f0e591575f79880e8f2dd3888e9">
  <xsd:schema xmlns:xsd="http://www.w3.org/2001/XMLSchema" xmlns:xs="http://www.w3.org/2001/XMLSchema" xmlns:p="http://schemas.microsoft.com/office/2006/metadata/properties" xmlns:ns2="b88169fe-72c9-4878-8bba-e8efb6e91e9f" xmlns:ns3="d53b52b7-6351-4522-8d85-35f8a5cdbfc0" xmlns:ns4="http://schemas.microsoft.com/sharepoint/v4" targetNamespace="http://schemas.microsoft.com/office/2006/metadata/properties" ma:root="true" ma:fieldsID="89b7d21cc37270df3f5d11ac352951fc" ns2:_="" ns3:_="" ns4:_="">
    <xsd:import namespace="b88169fe-72c9-4878-8bba-e8efb6e91e9f"/>
    <xsd:import namespace="d53b52b7-6351-4522-8d85-35f8a5cdbfc0"/>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169fe-72c9-4878-8bba-e8efb6e91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3b52b7-6351-4522-8d85-35f8a5cdbfc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09C351-1BF4-4EAB-95D2-9A34E30AAFE5}">
  <ds:schemaRefs>
    <ds:schemaRef ds:uri="d53b52b7-6351-4522-8d85-35f8a5cdbfc0"/>
    <ds:schemaRef ds:uri="b88169fe-72c9-4878-8bba-e8efb6e91e9f"/>
    <ds:schemaRef ds:uri="http://purl.org/dc/dcmitype/"/>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sharepoint/v4"/>
    <ds:schemaRef ds:uri="http://purl.org/dc/elements/1.1/"/>
  </ds:schemaRefs>
</ds:datastoreItem>
</file>

<file path=customXml/itemProps2.xml><?xml version="1.0" encoding="utf-8"?>
<ds:datastoreItem xmlns:ds="http://schemas.openxmlformats.org/officeDocument/2006/customXml" ds:itemID="{4498DB43-8669-40E2-ACEA-84BD3D51B47E}">
  <ds:schemaRefs>
    <ds:schemaRef ds:uri="http://schemas.microsoft.com/sharepoint/v3/contenttype/forms"/>
  </ds:schemaRefs>
</ds:datastoreItem>
</file>

<file path=customXml/itemProps3.xml><?xml version="1.0" encoding="utf-8"?>
<ds:datastoreItem xmlns:ds="http://schemas.openxmlformats.org/officeDocument/2006/customXml" ds:itemID="{162927A8-9FFA-4417-B3FE-C591286CB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169fe-72c9-4878-8bba-e8efb6e91e9f"/>
    <ds:schemaRef ds:uri="d53b52b7-6351-4522-8d85-35f8a5cdbfc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2940</Words>
  <Characters>16176</Characters>
  <Application>Microsoft Office Word</Application>
  <DocSecurity>0</DocSecurity>
  <Lines>134</Lines>
  <Paragraphs>38</Paragraphs>
  <ScaleCrop>false</ScaleCrop>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2022-03-17T14:55:00Z</dcterms:created>
  <dcterms:modified xsi:type="dcterms:W3CDTF">2022-03-17T14:55:00Z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0x010100EB589000D374A941B715FA522621D522</vt:lpwstr>
  </property>
</Properties>
</file>