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143052BA" w14:textId="77777777" w:rsidP="00A678F5" w:rsidR="00FE657B" w:rsidRDefault="00FE657B">
      <w:pPr>
        <w:spacing w:after="0"/>
        <w:jc w:val="both"/>
      </w:pPr>
    </w:p>
    <w:p w14:paraId="1CE2594D" w14:textId="77777777" w:rsidP="00A678F5" w:rsidR="00FE657B" w:rsidRDefault="00FE657B">
      <w:pPr>
        <w:spacing w:after="0"/>
        <w:jc w:val="both"/>
      </w:pPr>
    </w:p>
    <w:p w14:paraId="3288AD80" w14:textId="4E838705" w:rsidP="00FA24C5" w:rsidR="00FE657B" w:rsidRDefault="00FE657B">
      <w:pPr>
        <w:pBdr>
          <w:top w:color="auto" w:space="1" w:sz="4" w:val="single"/>
          <w:left w:color="auto" w:space="4" w:sz="4" w:val="single"/>
          <w:bottom w:color="auto" w:space="0" w:sz="4" w:val="single"/>
          <w:right w:color="auto" w:space="4" w:sz="4" w:val="single"/>
        </w:pBdr>
        <w:spacing w:after="120"/>
        <w:jc w:val="center"/>
        <w:rPr>
          <w:b/>
          <w:sz w:val="28"/>
        </w:rPr>
      </w:pPr>
      <w:r w:rsidRPr="00114EF1">
        <w:rPr>
          <w:b/>
          <w:sz w:val="28"/>
        </w:rPr>
        <w:t xml:space="preserve">Accord </w:t>
      </w:r>
      <w:r>
        <w:rPr>
          <w:b/>
          <w:sz w:val="28"/>
        </w:rPr>
        <w:t xml:space="preserve">collectif - </w:t>
      </w:r>
      <w:r w:rsidRPr="00114EF1">
        <w:rPr>
          <w:b/>
          <w:sz w:val="28"/>
        </w:rPr>
        <w:t>Négoci</w:t>
      </w:r>
      <w:r>
        <w:rPr>
          <w:b/>
          <w:sz w:val="28"/>
        </w:rPr>
        <w:t xml:space="preserve">ation Annuelle Obligatoire </w:t>
      </w:r>
      <w:r w:rsidR="005238E6">
        <w:rPr>
          <w:b/>
          <w:sz w:val="28"/>
        </w:rPr>
        <w:t>2022</w:t>
      </w:r>
      <w:r w:rsidR="001867B8">
        <w:rPr>
          <w:b/>
          <w:sz w:val="28"/>
        </w:rPr>
        <w:t xml:space="preserve"> </w:t>
      </w:r>
    </w:p>
    <w:p w14:paraId="4074C8C3" w14:textId="5E063C73" w:rsidP="00FA24C5" w:rsidR="00FA24C5" w:rsidRDefault="00FA24C5">
      <w:pPr>
        <w:pBdr>
          <w:top w:color="auto" w:space="1" w:sz="4" w:val="single"/>
          <w:left w:color="auto" w:space="4" w:sz="4" w:val="single"/>
          <w:bottom w:color="auto" w:space="0" w:sz="4" w:val="single"/>
          <w:right w:color="auto" w:space="4" w:sz="4" w:val="single"/>
        </w:pBdr>
        <w:spacing w:after="120"/>
        <w:jc w:val="center"/>
      </w:pPr>
      <w:r>
        <w:rPr>
          <w:b/>
          <w:sz w:val="28"/>
        </w:rPr>
        <w:t xml:space="preserve">SOCIETE </w:t>
      </w:r>
      <w:r w:rsidR="003120B5">
        <w:rPr>
          <w:b/>
          <w:sz w:val="28"/>
        </w:rPr>
        <w:t>KING GOBELINS</w:t>
      </w:r>
      <w:r>
        <w:rPr>
          <w:b/>
          <w:sz w:val="28"/>
        </w:rPr>
        <w:t xml:space="preserve"> </w:t>
      </w:r>
    </w:p>
    <w:p w14:paraId="5B46C2B2" w14:textId="77777777" w:rsidP="00A678F5" w:rsidR="00ED0E61" w:rsidRDefault="00ED0E61">
      <w:pPr>
        <w:spacing w:after="0"/>
        <w:jc w:val="both"/>
      </w:pPr>
    </w:p>
    <w:p w14:paraId="44A8090C" w14:textId="77777777" w:rsidP="00A678F5" w:rsidR="00ED0E61" w:rsidRDefault="00ED0E61" w:rsidRPr="00A678F5">
      <w:pPr>
        <w:spacing w:after="0"/>
        <w:jc w:val="both"/>
      </w:pPr>
    </w:p>
    <w:p w14:paraId="7D6FD7CA" w14:textId="77777777" w:rsidP="00A678F5" w:rsidR="00CF722A" w:rsidRDefault="00CF722A" w:rsidRPr="00A678F5">
      <w:pPr>
        <w:jc w:val="both"/>
        <w:rPr>
          <w:b/>
          <w:u w:val="single"/>
        </w:rPr>
      </w:pPr>
      <w:r w:rsidRPr="00A678F5">
        <w:rPr>
          <w:b/>
          <w:u w:val="single"/>
        </w:rPr>
        <w:t>ENTRE LES SOUSSIGNES</w:t>
      </w:r>
    </w:p>
    <w:p w14:paraId="46B656B2" w14:textId="37001BC1" w:rsidP="00A678F5" w:rsidR="00CF722A" w:rsidRDefault="00CF722A">
      <w:pPr>
        <w:jc w:val="both"/>
      </w:pPr>
      <w:r w:rsidRPr="00A678F5">
        <w:t xml:space="preserve">La société </w:t>
      </w:r>
      <w:r w:rsidR="003120B5">
        <w:rPr>
          <w:b/>
        </w:rPr>
        <w:t>KING GOBELINS</w:t>
      </w:r>
      <w:r w:rsidRPr="00A678F5">
        <w:t xml:space="preserve">, dont </w:t>
      </w:r>
      <w:r w:rsidRPr="00734201">
        <w:t>le siège social est situé</w:t>
      </w:r>
      <w:r w:rsidR="003120B5">
        <w:t xml:space="preserve"> </w:t>
      </w:r>
      <w:r w:rsidR="009E57D4">
        <w:t>51 Avenue des Gobelins</w:t>
      </w:r>
      <w:r w:rsidR="00734201" w:rsidRPr="009E57D4">
        <w:t>,</w:t>
      </w:r>
      <w:r w:rsidRPr="00734201">
        <w:t xml:space="preserve"> représentée par</w:t>
      </w:r>
      <w:r w:rsidR="000C2ECA">
        <w:t xml:space="preserve"> M_____________</w:t>
      </w:r>
      <w:r w:rsidR="002F193C" w:rsidRPr="00FE181B">
        <w:t>,</w:t>
      </w:r>
      <w:r w:rsidR="008D158F" w:rsidRPr="00FE181B">
        <w:t xml:space="preserve"> </w:t>
      </w:r>
      <w:r w:rsidR="00153DA4" w:rsidRPr="00FE181B">
        <w:t>en</w:t>
      </w:r>
      <w:r w:rsidR="00153DA4" w:rsidRPr="00734201">
        <w:t xml:space="preserve"> sa qualité de Direct</w:t>
      </w:r>
      <w:r w:rsidR="00FE181B">
        <w:t>rice</w:t>
      </w:r>
      <w:r w:rsidR="00153DA4" w:rsidRPr="00734201">
        <w:t xml:space="preserve"> de Magasin</w:t>
      </w:r>
      <w:r w:rsidR="007510CD" w:rsidRPr="00734201">
        <w:rPr>
          <w:rFonts w:cs="Arial"/>
        </w:rPr>
        <w:t>, dûment mandaté à cet effet</w:t>
      </w:r>
      <w:r w:rsidR="00B142F0" w:rsidRPr="00734201">
        <w:t> ;</w:t>
      </w:r>
    </w:p>
    <w:p w14:paraId="5C28BD4F" w14:textId="77777777" w:rsidP="007510CD" w:rsidR="007510CD" w:rsidRDefault="007510CD">
      <w:pPr>
        <w:jc w:val="right"/>
        <w:rPr>
          <w:rFonts w:cs="Arial"/>
        </w:rPr>
      </w:pPr>
      <w:r>
        <w:rPr>
          <w:rFonts w:cs="Arial"/>
        </w:rPr>
        <w:t>Ci-après dénommée la « société » ou la « Direction »,</w:t>
      </w:r>
    </w:p>
    <w:p w14:paraId="21F366F4" w14:textId="77777777" w:rsidP="00BD1DE5" w:rsidR="00CF722A" w:rsidRDefault="00CF722A" w:rsidRPr="00A678F5">
      <w:pPr>
        <w:ind w:left="7788"/>
        <w:jc w:val="right"/>
      </w:pPr>
      <w:r w:rsidRPr="00A678F5">
        <w:t>D’une part</w:t>
      </w:r>
      <w:r w:rsidR="007510CD">
        <w:t>,</w:t>
      </w:r>
    </w:p>
    <w:p w14:paraId="11C15DA9" w14:textId="77777777" w:rsidP="00A678F5" w:rsidR="00CF722A" w:rsidRDefault="00CF722A" w:rsidRPr="00A678F5">
      <w:pPr>
        <w:jc w:val="both"/>
        <w:rPr>
          <w:b/>
          <w:u w:val="single"/>
        </w:rPr>
      </w:pPr>
      <w:r w:rsidRPr="00A678F5">
        <w:rPr>
          <w:b/>
          <w:u w:val="single"/>
        </w:rPr>
        <w:t>ET</w:t>
      </w:r>
    </w:p>
    <w:p w14:paraId="4232C6A7" w14:textId="77777777" w:rsidP="00A678F5" w:rsidR="00CF722A" w:rsidRDefault="00CF722A" w:rsidRPr="002F193C">
      <w:pPr>
        <w:jc w:val="both"/>
      </w:pPr>
      <w:r w:rsidRPr="002F193C">
        <w:t>L’</w:t>
      </w:r>
      <w:r w:rsidRPr="002F193C">
        <w:rPr>
          <w:b/>
        </w:rPr>
        <w:t>organisation syndicale représentative</w:t>
      </w:r>
      <w:r w:rsidRPr="002F193C">
        <w:t xml:space="preserve"> </w:t>
      </w:r>
      <w:r w:rsidR="007510CD" w:rsidRPr="002F193C">
        <w:t>au sein de la société</w:t>
      </w:r>
      <w:r w:rsidRPr="002F193C">
        <w:t> :</w:t>
      </w:r>
    </w:p>
    <w:p w14:paraId="30FBDF98" w14:textId="40C4A33F" w:rsidP="00A678F5" w:rsidR="00CF722A" w:rsidRDefault="00A03DA4" w:rsidRPr="00FE181B">
      <w:pPr>
        <w:pStyle w:val="Paragraphedeliste"/>
        <w:numPr>
          <w:ilvl w:val="0"/>
          <w:numId w:val="1"/>
        </w:numPr>
        <w:spacing w:after="240"/>
        <w:contextualSpacing w:val="0"/>
        <w:jc w:val="both"/>
      </w:pPr>
      <w:r w:rsidRPr="00FE181B">
        <w:t>L</w:t>
      </w:r>
      <w:r w:rsidR="00CF722A" w:rsidRPr="00FE181B">
        <w:t xml:space="preserve">e syndicat </w:t>
      </w:r>
      <w:r w:rsidR="00FE181B" w:rsidRPr="00FE181B">
        <w:t>CGT</w:t>
      </w:r>
      <w:r w:rsidR="00CF722A" w:rsidRPr="00FE181B">
        <w:t xml:space="preserve">, </w:t>
      </w:r>
      <w:r w:rsidR="007510CD" w:rsidRPr="00FE181B">
        <w:t xml:space="preserve">représenté par </w:t>
      </w:r>
      <w:r w:rsidR="000C2ECA">
        <w:t>M_____________</w:t>
      </w:r>
      <w:r w:rsidR="000C2ECA" w:rsidRPr="00FE181B">
        <w:t xml:space="preserve">, </w:t>
      </w:r>
      <w:r w:rsidR="00FE181B" w:rsidRPr="00FE181B">
        <w:t>en</w:t>
      </w:r>
      <w:r w:rsidR="00FE657B" w:rsidRPr="00FE181B">
        <w:t xml:space="preserve"> sa qualité de</w:t>
      </w:r>
      <w:r w:rsidR="00C04BA5" w:rsidRPr="00FE181B">
        <w:t xml:space="preserve"> D</w:t>
      </w:r>
      <w:r w:rsidR="00CF722A" w:rsidRPr="00FE181B">
        <w:t>élégué</w:t>
      </w:r>
      <w:r w:rsidR="00C04BA5" w:rsidRPr="00FE181B">
        <w:t xml:space="preserve"> S</w:t>
      </w:r>
      <w:r w:rsidR="00CF722A" w:rsidRPr="00FE181B">
        <w:t>yndical ;</w:t>
      </w:r>
    </w:p>
    <w:p w14:paraId="49BD8569" w14:textId="77777777" w:rsidP="00BD1DE5" w:rsidR="007510CD" w:rsidRDefault="007510CD" w:rsidRPr="00814209">
      <w:pPr>
        <w:jc w:val="right"/>
        <w:rPr>
          <w:rFonts w:cstheme="minorHAnsi"/>
        </w:rPr>
      </w:pPr>
      <w:r w:rsidRPr="00814209">
        <w:rPr>
          <w:rFonts w:cstheme="minorHAnsi"/>
        </w:rPr>
        <w:t xml:space="preserve">Ci-après dénommée </w:t>
      </w:r>
      <w:r w:rsidRPr="007510CD">
        <w:rPr>
          <w:rFonts w:cstheme="minorHAnsi"/>
        </w:rPr>
        <w:t>l’«</w:t>
      </w:r>
      <w:r w:rsidRPr="00814209">
        <w:rPr>
          <w:rFonts w:cstheme="minorHAnsi"/>
        </w:rPr>
        <w:t> </w:t>
      </w:r>
      <w:r>
        <w:rPr>
          <w:rFonts w:cstheme="minorHAnsi"/>
        </w:rPr>
        <w:t>O</w:t>
      </w:r>
      <w:r w:rsidRPr="00814209">
        <w:rPr>
          <w:rFonts w:cstheme="minorHAnsi"/>
        </w:rPr>
        <w:t xml:space="preserve">rganisation </w:t>
      </w:r>
      <w:r>
        <w:rPr>
          <w:rFonts w:cstheme="minorHAnsi"/>
        </w:rPr>
        <w:t>S</w:t>
      </w:r>
      <w:r w:rsidRPr="00814209">
        <w:rPr>
          <w:rFonts w:cstheme="minorHAnsi"/>
        </w:rPr>
        <w:t>yndicale</w:t>
      </w:r>
      <w:r>
        <w:rPr>
          <w:rFonts w:cstheme="minorHAnsi"/>
        </w:rPr>
        <w:t> »</w:t>
      </w:r>
      <w:r w:rsidRPr="00814209">
        <w:rPr>
          <w:rFonts w:cstheme="minorHAnsi"/>
        </w:rPr>
        <w:t>,</w:t>
      </w:r>
    </w:p>
    <w:p w14:paraId="06B3FA05" w14:textId="77777777" w:rsidP="00BD1DE5" w:rsidR="00CF722A" w:rsidRDefault="00CF722A" w:rsidRPr="00A678F5">
      <w:pPr>
        <w:ind w:firstLine="348" w:left="7440"/>
        <w:jc w:val="right"/>
      </w:pPr>
      <w:r w:rsidRPr="00A678F5">
        <w:t>D’autre part</w:t>
      </w:r>
      <w:r w:rsidR="007510CD">
        <w:t>,</w:t>
      </w:r>
    </w:p>
    <w:p w14:paraId="418B425F" w14:textId="77777777" w:rsidP="00184466" w:rsidR="00184466" w:rsidRDefault="00184466">
      <w:pPr>
        <w:shd w:color="auto" w:fill="FFFFFF" w:val="clear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</w:tabs>
        <w:rPr>
          <w:rFonts w:cstheme="minorHAnsi"/>
        </w:rPr>
      </w:pPr>
      <w:r>
        <w:rPr>
          <w:rFonts w:cstheme="minorHAnsi"/>
        </w:rPr>
        <w:t>Ci-après dénommés conjointement les « Parties ».</w:t>
      </w:r>
    </w:p>
    <w:p w14:paraId="167E04F7" w14:textId="77777777" w:rsidP="00A678F5" w:rsidR="00184466" w:rsidRDefault="00184466">
      <w:pPr>
        <w:jc w:val="both"/>
        <w:rPr>
          <w:b/>
          <w:u w:val="single"/>
        </w:rPr>
      </w:pPr>
    </w:p>
    <w:p w14:paraId="7B913205" w14:textId="77777777" w:rsidP="00A678F5" w:rsidR="00CF722A" w:rsidRDefault="00CF722A" w:rsidRPr="00A678F5">
      <w:pPr>
        <w:jc w:val="both"/>
        <w:rPr>
          <w:b/>
          <w:u w:val="single"/>
        </w:rPr>
      </w:pPr>
      <w:r w:rsidRPr="00A678F5">
        <w:rPr>
          <w:b/>
          <w:u w:val="single"/>
        </w:rPr>
        <w:t>PREAMBULE</w:t>
      </w:r>
    </w:p>
    <w:p w14:paraId="0C38F629" w14:textId="77777777" w:rsidP="00A678F5" w:rsidR="00CF722A" w:rsidRDefault="00CF722A" w:rsidRPr="00A678F5">
      <w:pPr>
        <w:jc w:val="both"/>
      </w:pPr>
      <w:r w:rsidRPr="00A678F5">
        <w:t xml:space="preserve">Conformément aux dispositions </w:t>
      </w:r>
      <w:r w:rsidR="007510CD">
        <w:rPr>
          <w:rFonts w:cs="Arial"/>
        </w:rPr>
        <w:t>des articles L.2242-1 et suivants du Code du travail</w:t>
      </w:r>
      <w:r w:rsidRPr="00A678F5">
        <w:t>, une négociation s’est e</w:t>
      </w:r>
      <w:r w:rsidR="00153DA4" w:rsidRPr="00A678F5">
        <w:t>ngagée entre la Direction et l’O</w:t>
      </w:r>
      <w:r w:rsidRPr="00A678F5">
        <w:t xml:space="preserve">rganisation </w:t>
      </w:r>
      <w:r w:rsidR="00153DA4" w:rsidRPr="00A678F5">
        <w:t>S</w:t>
      </w:r>
      <w:r w:rsidRPr="00A678F5">
        <w:t>yndicale représentative dans l’entreprise, sur les thèmes de la négociation annuelle obligatoire.</w:t>
      </w:r>
    </w:p>
    <w:p w14:paraId="00483E9E" w14:textId="77777777" w:rsidP="00A678F5" w:rsidR="00CF722A" w:rsidRDefault="00CF722A" w:rsidRPr="00A678F5">
      <w:pPr>
        <w:jc w:val="both"/>
      </w:pPr>
      <w:r w:rsidRPr="00A678F5">
        <w:t>La Dir</w:t>
      </w:r>
      <w:r w:rsidR="00153DA4" w:rsidRPr="00A678F5">
        <w:t>ection et l’Organisation</w:t>
      </w:r>
      <w:r w:rsidRPr="00A678F5">
        <w:t xml:space="preserve"> </w:t>
      </w:r>
      <w:r w:rsidR="00153DA4" w:rsidRPr="00A678F5">
        <w:t>S</w:t>
      </w:r>
      <w:r w:rsidRPr="00A678F5">
        <w:t>yndicale</w:t>
      </w:r>
      <w:r w:rsidR="00153DA4" w:rsidRPr="00A678F5">
        <w:t xml:space="preserve"> </w:t>
      </w:r>
      <w:r w:rsidRPr="00A678F5">
        <w:t>se sont rencontrées selon le calendrier suivant :</w:t>
      </w:r>
    </w:p>
    <w:p w14:paraId="6E96DDF5" w14:textId="77468732" w:rsidP="00A678F5" w:rsidR="00CF722A" w:rsidRDefault="00CF722A">
      <w:pPr>
        <w:pStyle w:val="Paragraphedeliste"/>
        <w:numPr>
          <w:ilvl w:val="0"/>
          <w:numId w:val="2"/>
        </w:numPr>
        <w:jc w:val="both"/>
      </w:pPr>
      <w:r w:rsidRPr="00A678F5">
        <w:t xml:space="preserve">Le </w:t>
      </w:r>
      <w:r w:rsidR="00FE181B">
        <w:t xml:space="preserve">08 Mars </w:t>
      </w:r>
      <w:r w:rsidR="00F65FB7">
        <w:t>2022</w:t>
      </w:r>
      <w:r w:rsidR="00331C81">
        <w:t> ;</w:t>
      </w:r>
    </w:p>
    <w:p w14:paraId="1F183086" w14:textId="1569B6AD" w:rsidP="00F65FB7" w:rsidR="00F65FB7" w:rsidRDefault="00F65FB7">
      <w:pPr>
        <w:pStyle w:val="Paragraphedeliste"/>
        <w:numPr>
          <w:ilvl w:val="0"/>
          <w:numId w:val="2"/>
        </w:numPr>
        <w:jc w:val="both"/>
      </w:pPr>
      <w:r w:rsidRPr="00A678F5">
        <w:t xml:space="preserve">Le </w:t>
      </w:r>
      <w:r w:rsidR="00FE181B">
        <w:t xml:space="preserve">24 Mars </w:t>
      </w:r>
      <w:r>
        <w:t>2022</w:t>
      </w:r>
      <w:r w:rsidR="00331C81">
        <w:t> ;</w:t>
      </w:r>
    </w:p>
    <w:p w14:paraId="27D03CE3" w14:textId="77777777" w:rsidP="00A678F5" w:rsidR="00CF722A" w:rsidRDefault="00CF722A" w:rsidRPr="00A678F5">
      <w:pPr>
        <w:jc w:val="both"/>
      </w:pPr>
      <w:r w:rsidRPr="00A678F5">
        <w:t>Ces réunions ont donné lieu à des é</w:t>
      </w:r>
      <w:r w:rsidR="00153DA4" w:rsidRPr="00A678F5">
        <w:t>changes entre l’employeur et l’Organisation S</w:t>
      </w:r>
      <w:r w:rsidRPr="00A678F5">
        <w:t>yndicale, au regard du contexte économique et social de l’entreprise. Des propositions de part et d’autre ont, dans ce cadre, été formulées.</w:t>
      </w:r>
    </w:p>
    <w:p w14:paraId="31E14F64" w14:textId="1391BE67" w:rsidP="00A678F5" w:rsidR="000C52A3" w:rsidRDefault="00CF722A">
      <w:pPr>
        <w:jc w:val="both"/>
      </w:pPr>
      <w:r w:rsidRPr="00A678F5">
        <w:t>Ces réunions ont abouti à un accord entre les parties. Celles-ci ont convenu des dispositions suivantes :</w:t>
      </w:r>
    </w:p>
    <w:p w14:paraId="3DF1D908" w14:textId="77777777" w:rsidP="00A678F5" w:rsidR="00331C81" w:rsidRDefault="00331C81" w:rsidRPr="00A678F5">
      <w:pPr>
        <w:jc w:val="both"/>
      </w:pPr>
    </w:p>
    <w:p w14:paraId="2BAF73E4" w14:textId="77777777" w:rsidP="00A678F5" w:rsidR="00CF722A" w:rsidRDefault="00CF722A" w:rsidRPr="00A678F5">
      <w:pPr>
        <w:jc w:val="both"/>
        <w:rPr>
          <w:b/>
          <w:u w:val="single"/>
        </w:rPr>
      </w:pPr>
      <w:r w:rsidRPr="00A678F5">
        <w:rPr>
          <w:b/>
          <w:u w:val="single"/>
        </w:rPr>
        <w:t xml:space="preserve">Article </w:t>
      </w:r>
      <w:r w:rsidRPr="007900AF">
        <w:rPr>
          <w:b/>
          <w:u w:val="single"/>
        </w:rPr>
        <w:t xml:space="preserve">1 </w:t>
      </w:r>
      <w:r w:rsidRPr="00BD1DE5">
        <w:rPr>
          <w:b/>
          <w:u w:val="single"/>
        </w:rPr>
        <w:t>-</w:t>
      </w:r>
      <w:r w:rsidRPr="00A678F5">
        <w:rPr>
          <w:b/>
          <w:u w:val="single"/>
        </w:rPr>
        <w:t xml:space="preserve"> Champ d’application de l’accord</w:t>
      </w:r>
    </w:p>
    <w:p w14:paraId="04FDAD07" w14:textId="55BC322A" w:rsidP="00A678F5" w:rsidR="001B6D00" w:rsidRDefault="00CF722A" w:rsidRPr="00A678F5">
      <w:pPr>
        <w:jc w:val="both"/>
      </w:pPr>
      <w:r w:rsidRPr="00A678F5">
        <w:t>Le présent accord s’applique à l’</w:t>
      </w:r>
      <w:r w:rsidR="00153DA4" w:rsidRPr="00A678F5">
        <w:t xml:space="preserve">ensemble du </w:t>
      </w:r>
      <w:r w:rsidR="006A713C">
        <w:t>p</w:t>
      </w:r>
      <w:r w:rsidR="00734201" w:rsidRPr="00A678F5">
        <w:t>ersonnel salarié</w:t>
      </w:r>
      <w:r w:rsidR="00B142F0" w:rsidRPr="00A678F5">
        <w:t xml:space="preserve"> de la Société </w:t>
      </w:r>
      <w:r w:rsidR="003120B5">
        <w:t>KING GOBELINS</w:t>
      </w:r>
      <w:r w:rsidR="00CC0575" w:rsidRPr="00A678F5">
        <w:t>.</w:t>
      </w:r>
      <w:r w:rsidRPr="00A678F5">
        <w:t xml:space="preserve"> </w:t>
      </w:r>
    </w:p>
    <w:p w14:paraId="3D8C87DB" w14:textId="27733440" w:rsidP="007900AF" w:rsidR="007900AF" w:rsidRDefault="007900AF" w:rsidRPr="00BD1DE5">
      <w:pPr>
        <w:jc w:val="both"/>
        <w:rPr>
          <w:rFonts w:cs="Arial"/>
          <w:b/>
        </w:rPr>
      </w:pPr>
      <w:r w:rsidRPr="00BD1DE5">
        <w:rPr>
          <w:rFonts w:cs="Arial"/>
          <w:b/>
          <w:u w:val="single"/>
        </w:rPr>
        <w:lastRenderedPageBreak/>
        <w:t xml:space="preserve">Article 2 </w:t>
      </w:r>
      <w:r w:rsidR="009816C9" w:rsidRPr="00BD1DE5">
        <w:rPr>
          <w:rFonts w:cs="Arial"/>
          <w:b/>
          <w:u w:val="single"/>
        </w:rPr>
        <w:t>- Augmentations</w:t>
      </w:r>
      <w:r w:rsidRPr="00BD1DE5">
        <w:rPr>
          <w:rFonts w:cs="Arial"/>
          <w:b/>
          <w:u w:val="single"/>
        </w:rPr>
        <w:t xml:space="preserve"> salariales </w:t>
      </w:r>
    </w:p>
    <w:p w14:paraId="5344AB02" w14:textId="77777777" w:rsidP="007900AF" w:rsidR="007900AF" w:rsidRDefault="007900AF">
      <w:pPr>
        <w:jc w:val="both"/>
      </w:pPr>
      <w:r>
        <w:t>La Direction rappelle</w:t>
      </w:r>
      <w:r w:rsidRPr="00A678F5">
        <w:t xml:space="preserve"> qu’elle </w:t>
      </w:r>
      <w:r>
        <w:t>revalorise</w:t>
      </w:r>
      <w:r w:rsidRPr="00A678F5">
        <w:t xml:space="preserve"> les salaires des collaborateurs </w:t>
      </w:r>
      <w:r>
        <w:t>selon l'évolution</w:t>
      </w:r>
      <w:r w:rsidRPr="00A678F5">
        <w:t xml:space="preserve"> des dispositions légales et </w:t>
      </w:r>
      <w:r>
        <w:t>conventionnelles applicables (convention collective nationale du commerce de détail et de gros à prédominance alimentaire)</w:t>
      </w:r>
      <w:r w:rsidRPr="00A678F5">
        <w:t>.</w:t>
      </w:r>
    </w:p>
    <w:p w14:paraId="0C614C63" w14:textId="77777777" w:rsidP="007900AF" w:rsidR="00A37B8D" w:rsidRDefault="007900AF">
      <w:pPr>
        <w:jc w:val="both"/>
      </w:pPr>
      <w:r>
        <w:t>De plus, i</w:t>
      </w:r>
      <w:r w:rsidRPr="00BD1DE5">
        <w:t xml:space="preserve">l est convenu </w:t>
      </w:r>
      <w:r w:rsidR="006A6AE0">
        <w:t xml:space="preserve">entre les Parties </w:t>
      </w:r>
      <w:r w:rsidR="00A37B8D">
        <w:t>des augmentations suivantes :</w:t>
      </w:r>
    </w:p>
    <w:p w14:paraId="511DE833" w14:textId="7D0E0ADA" w:rsidP="00CB576E" w:rsidR="00CB576E" w:rsidRDefault="00CB576E">
      <w:pPr>
        <w:jc w:val="both"/>
      </w:pPr>
      <w:r w:rsidRPr="009816C9">
        <w:rPr>
          <w:u w:val="single"/>
        </w:rPr>
        <w:t>Pour les Employés</w:t>
      </w:r>
      <w:r w:rsidR="009816C9">
        <w:t> :</w:t>
      </w:r>
    </w:p>
    <w:p w14:paraId="0361BB0E" w14:textId="77777777" w:rsidP="00CB576E" w:rsidR="00CB576E" w:rsidRDefault="00CB576E">
      <w:pPr>
        <w:jc w:val="both"/>
      </w:pPr>
      <w:r>
        <w:t xml:space="preserve">La Direction attribue une augmentation générale de 2% sur la base des salaires de référence au 31 décembre 2021 de cette catégorie, effective à compter du 1er avril 2022. </w:t>
      </w:r>
    </w:p>
    <w:p w14:paraId="77A63D2F" w14:textId="77777777" w:rsidP="00CB576E" w:rsidR="00CB576E" w:rsidRDefault="00CB576E">
      <w:pPr>
        <w:jc w:val="both"/>
      </w:pPr>
      <w:r>
        <w:t xml:space="preserve">Seuls les salariés ayant une ancienneté d’au moins un an à la date du versement de l’augmentation générale </w:t>
      </w:r>
      <w:proofErr w:type="gramStart"/>
      <w:r>
        <w:t>pourront</w:t>
      </w:r>
      <w:proofErr w:type="gramEnd"/>
      <w:r>
        <w:t xml:space="preserve"> en bénéficier.</w:t>
      </w:r>
    </w:p>
    <w:p w14:paraId="4A230B07" w14:textId="52F4E2AB" w:rsidP="00CB576E" w:rsidR="00CB576E" w:rsidRDefault="00CB576E" w:rsidRPr="009816C9">
      <w:pPr>
        <w:jc w:val="both"/>
        <w:rPr>
          <w:u w:val="single"/>
        </w:rPr>
      </w:pPr>
      <w:r w:rsidRPr="009816C9">
        <w:rPr>
          <w:u w:val="single"/>
        </w:rPr>
        <w:t>Pour les Agents de maitrise</w:t>
      </w:r>
      <w:r w:rsidR="009816C9" w:rsidRPr="009816C9">
        <w:t> :</w:t>
      </w:r>
    </w:p>
    <w:p w14:paraId="4739C5EE" w14:textId="77777777" w:rsidP="00CB576E" w:rsidR="00CB576E" w:rsidRDefault="00CB576E">
      <w:pPr>
        <w:jc w:val="both"/>
      </w:pPr>
      <w:r>
        <w:t>La Direction attribue une enveloppe globale d’augmentation de 2% sur la base des salaires de référence au 31 décembre 2021 de cette catégorie, effective à compter du 1er avril 2022, dans le cadre d’augmentations individuelles.</w:t>
      </w:r>
    </w:p>
    <w:p w14:paraId="3EEEA7B2" w14:textId="77777777" w:rsidP="00CB576E" w:rsidR="00CB576E" w:rsidRDefault="00CB576E">
      <w:pPr>
        <w:jc w:val="both"/>
      </w:pPr>
      <w:r>
        <w:t xml:space="preserve">Seuls les salariés ayant une ancienneté d’au moins un an à la date du versement des augmentations individuelles </w:t>
      </w:r>
      <w:proofErr w:type="gramStart"/>
      <w:r>
        <w:t>pourront</w:t>
      </w:r>
      <w:proofErr w:type="gramEnd"/>
      <w:r>
        <w:t xml:space="preserve"> en bénéficier.</w:t>
      </w:r>
    </w:p>
    <w:p w14:paraId="07AA8EF5" w14:textId="77777777" w:rsidP="00CB576E" w:rsidR="00CB576E" w:rsidRDefault="00CB576E">
      <w:pPr>
        <w:jc w:val="both"/>
      </w:pPr>
      <w:r>
        <w:t>Les augmentations individuelles seront attribuées en tenant compte de la compétence, de la performance et de l’expérience des collaborateurs concernés.</w:t>
      </w:r>
    </w:p>
    <w:p w14:paraId="353AF757" w14:textId="77777777" w:rsidP="00CB576E" w:rsidR="00CB576E" w:rsidRDefault="00CB576E">
      <w:pPr>
        <w:jc w:val="both"/>
      </w:pPr>
      <w:r>
        <w:t>Les augmentations individuelles tiendront compte des éventuels écarts de salaire qui pourraient exister entre les hommes et les femmes, à compétence, à expérience et à poste égal.</w:t>
      </w:r>
    </w:p>
    <w:p w14:paraId="65B945C9" w14:textId="1AECC9B6" w:rsidP="00CB576E" w:rsidR="00CB576E" w:rsidRDefault="00CB576E">
      <w:pPr>
        <w:jc w:val="both"/>
      </w:pPr>
      <w:r w:rsidRPr="009816C9">
        <w:rPr>
          <w:u w:val="single"/>
        </w:rPr>
        <w:t>Pour les Cadres</w:t>
      </w:r>
      <w:r w:rsidR="009816C9">
        <w:t> :</w:t>
      </w:r>
    </w:p>
    <w:p w14:paraId="7EEA8D18" w14:textId="77777777" w:rsidP="00CB576E" w:rsidR="00CB576E" w:rsidRDefault="00CB576E">
      <w:pPr>
        <w:jc w:val="both"/>
      </w:pPr>
      <w:r>
        <w:t>La Direction attribue une enveloppe globale d’augmentation de 2% sur la base des salaires de référence au 31 décembre 2021 de cette catégorie, effective à compter du 1er avril 2022, dans le cadre d’augmentations individuelles.</w:t>
      </w:r>
    </w:p>
    <w:p w14:paraId="6AFD7169" w14:textId="77777777" w:rsidP="00CB576E" w:rsidR="00CB576E" w:rsidRDefault="00CB576E">
      <w:pPr>
        <w:jc w:val="both"/>
      </w:pPr>
      <w:r>
        <w:t xml:space="preserve">Seuls les salariés ayant une ancienneté d’au moins un an à la date du versement des augmentations individuelles </w:t>
      </w:r>
      <w:proofErr w:type="gramStart"/>
      <w:r>
        <w:t>pourront</w:t>
      </w:r>
      <w:proofErr w:type="gramEnd"/>
      <w:r>
        <w:t xml:space="preserve"> en bénéficier.</w:t>
      </w:r>
    </w:p>
    <w:p w14:paraId="240B5699" w14:textId="77777777" w:rsidP="00CB576E" w:rsidR="00CB576E" w:rsidRDefault="00CB576E">
      <w:pPr>
        <w:jc w:val="both"/>
      </w:pPr>
      <w:r>
        <w:t>Les augmentations individuelles seront attribuées en tenant compte de la compétence, de la performance et de l’expérience des collaborateurs concernés.</w:t>
      </w:r>
    </w:p>
    <w:p w14:paraId="6205E679" w14:textId="5F422523" w:rsidP="00CB576E" w:rsidR="00CB576E" w:rsidRDefault="00CB576E">
      <w:pPr>
        <w:jc w:val="both"/>
      </w:pPr>
      <w:r>
        <w:t>Les augmentations individuelles tiendront compte des éventuels écarts de salaire qui pourraient exister entre les hommes et les femmes, à compétence, à expérience et à poste égal.</w:t>
      </w:r>
    </w:p>
    <w:p w14:paraId="5C37163D" w14:textId="77777777" w:rsidP="009E57D4" w:rsidR="009E57D4" w:rsidRDefault="009E57D4" w:rsidRPr="00B22756">
      <w:pPr>
        <w:pStyle w:val="Sansinterligne"/>
        <w:spacing w:line="240" w:lineRule="atLeast"/>
        <w:jc w:val="both"/>
        <w:rPr>
          <w:b/>
          <w:bCs/>
          <w:u w:val="single"/>
        </w:rPr>
      </w:pPr>
      <w:r w:rsidRPr="00B22756">
        <w:rPr>
          <w:b/>
          <w:bCs/>
          <w:u w:val="single"/>
        </w:rPr>
        <w:t xml:space="preserve">Article </w:t>
      </w:r>
      <w:r>
        <w:rPr>
          <w:b/>
          <w:bCs/>
          <w:u w:val="single"/>
        </w:rPr>
        <w:t>3</w:t>
      </w:r>
      <w:r w:rsidRPr="00B22756">
        <w:rPr>
          <w:b/>
          <w:bCs/>
          <w:u w:val="single"/>
        </w:rPr>
        <w:t xml:space="preserve"> – Anniversaire </w:t>
      </w:r>
    </w:p>
    <w:p w14:paraId="485D0896" w14:textId="77777777" w:rsidP="009E57D4" w:rsidR="009E57D4" w:rsidRDefault="009E57D4">
      <w:pPr>
        <w:pStyle w:val="Sansinterligne"/>
        <w:spacing w:line="240" w:lineRule="atLeast"/>
        <w:jc w:val="both"/>
      </w:pPr>
    </w:p>
    <w:p w14:paraId="341F47F2" w14:textId="77777777" w:rsidP="009E57D4" w:rsidR="009E57D4" w:rsidRDefault="009E57D4">
      <w:pPr>
        <w:pStyle w:val="Sansinterligne"/>
        <w:spacing w:line="240" w:lineRule="atLeast"/>
        <w:jc w:val="both"/>
      </w:pPr>
      <w:r>
        <w:t xml:space="preserve">Les Parties ont souhaité prévoir la remise au d’un panier garni de produits de la marque </w:t>
      </w:r>
      <w:proofErr w:type="spellStart"/>
      <w:r>
        <w:t>franprix</w:t>
      </w:r>
      <w:proofErr w:type="spellEnd"/>
      <w:r>
        <w:t xml:space="preserve"> d’une valeur de 12 euros au salarié à l’occasion de son anniversaire. </w:t>
      </w:r>
    </w:p>
    <w:p w14:paraId="2F17E682" w14:textId="77777777" w:rsidP="009E57D4" w:rsidR="009E57D4" w:rsidRDefault="009E57D4">
      <w:pPr>
        <w:pStyle w:val="Sansinterligne"/>
        <w:spacing w:line="240" w:lineRule="atLeast"/>
        <w:jc w:val="both"/>
      </w:pPr>
    </w:p>
    <w:p w14:paraId="13AF58C9" w14:textId="62C3572B" w:rsidP="00B92C99" w:rsidR="00B22756" w:rsidRDefault="00B22756">
      <w:pPr>
        <w:pStyle w:val="Sansinterligne"/>
        <w:spacing w:line="240" w:lineRule="atLeast"/>
        <w:jc w:val="both"/>
      </w:pPr>
    </w:p>
    <w:p w14:paraId="7FF89AD0" w14:textId="50004A09" w:rsidP="00477759" w:rsidR="00477759" w:rsidRDefault="00477759" w:rsidRPr="00477759">
      <w:pPr>
        <w:jc w:val="both"/>
        <w:rPr>
          <w:rFonts w:cstheme="minorHAnsi"/>
          <w:b/>
          <w:u w:val="single"/>
        </w:rPr>
      </w:pPr>
      <w:r w:rsidRPr="00477759">
        <w:rPr>
          <w:rFonts w:cstheme="minorHAnsi"/>
          <w:b/>
          <w:u w:val="single"/>
        </w:rPr>
        <w:lastRenderedPageBreak/>
        <w:t xml:space="preserve">Article </w:t>
      </w:r>
      <w:r w:rsidR="009E57D4">
        <w:rPr>
          <w:rFonts w:cstheme="minorHAnsi"/>
          <w:b/>
          <w:u w:val="single"/>
        </w:rPr>
        <w:t>4</w:t>
      </w:r>
      <w:r w:rsidRPr="00477759">
        <w:rPr>
          <w:rFonts w:cstheme="minorHAnsi"/>
          <w:b/>
          <w:u w:val="single"/>
        </w:rPr>
        <w:t xml:space="preserve"> – Départs à la retraite</w:t>
      </w:r>
    </w:p>
    <w:p w14:paraId="7F581764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 xml:space="preserve">Les Parties ont souhaité mettre en place un dispositif spécifique pour les collaborateurs au moment de leur départ à la retraite. </w:t>
      </w:r>
    </w:p>
    <w:p w14:paraId="71866504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4BDE36E0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A l’occasion de son départ à la retraite, tout collaborateur se verra attribué une carte de fidélité alimentée du montant ci-dessous selon son ancienneté au sein de la société :</w:t>
      </w:r>
    </w:p>
    <w:p w14:paraId="26EC02EC" w14:textId="77777777" w:rsidP="00477759" w:rsidR="00477759" w:rsidRDefault="00477759" w:rsidRPr="00477759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Moins de 10 : 100 euros ;</w:t>
      </w:r>
    </w:p>
    <w:p w14:paraId="4738DF84" w14:textId="77777777" w:rsidP="00477759" w:rsidR="00477759" w:rsidRDefault="00477759" w:rsidRPr="00477759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Entre 10 et 19 ans : 200 euros ;</w:t>
      </w:r>
    </w:p>
    <w:p w14:paraId="6BE3A53D" w14:textId="77777777" w:rsidP="00477759" w:rsidR="00477759" w:rsidRDefault="00477759" w:rsidRPr="00477759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Entre 20 et 29 ans : 300 euros ;</w:t>
      </w:r>
    </w:p>
    <w:p w14:paraId="174710A5" w14:textId="77777777" w:rsidP="00477759" w:rsidR="00477759" w:rsidRDefault="00477759" w:rsidRPr="00477759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Entre 30 et 39 ans : 400 euros ;</w:t>
      </w:r>
    </w:p>
    <w:p w14:paraId="1C564A9B" w14:textId="77777777" w:rsidP="00477759" w:rsidR="00477759" w:rsidRDefault="00477759" w:rsidRPr="00477759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 xml:space="preserve">Au-delà de 40 ans : 500 euros. </w:t>
      </w:r>
    </w:p>
    <w:p w14:paraId="3578ECC8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7B2091A4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Il sera également remis au collaborateur concerné un cadeau personnalisé d’une valeur variant selon son ancienneté au sein de la société :</w:t>
      </w:r>
    </w:p>
    <w:p w14:paraId="2B802A61" w14:textId="77777777" w:rsidP="00477759" w:rsidR="00477759" w:rsidRDefault="00477759" w:rsidRPr="00477759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Moins de 10 : 100 euros ;</w:t>
      </w:r>
    </w:p>
    <w:p w14:paraId="6EE690FE" w14:textId="77777777" w:rsidP="00477759" w:rsidR="00477759" w:rsidRDefault="00477759" w:rsidRPr="00477759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Entre 10 et 19 ans : 200 euros ;</w:t>
      </w:r>
    </w:p>
    <w:p w14:paraId="1E556499" w14:textId="77777777" w:rsidP="00477759" w:rsidR="00477759" w:rsidRDefault="00477759" w:rsidRPr="00477759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Entre 20 et 29 ans : 300 euros ;</w:t>
      </w:r>
    </w:p>
    <w:p w14:paraId="4D011307" w14:textId="77777777" w:rsidP="00477759" w:rsidR="00477759" w:rsidRDefault="00477759" w:rsidRPr="00477759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Entre 30 et 39 ans : 400 euros ;</w:t>
      </w:r>
    </w:p>
    <w:p w14:paraId="3D43DE64" w14:textId="77777777" w:rsidP="00477759" w:rsidR="00477759" w:rsidRDefault="00477759" w:rsidRPr="00477759">
      <w:pPr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 xml:space="preserve">Au-delà de 40 ans : 500 euros. </w:t>
      </w:r>
    </w:p>
    <w:p w14:paraId="6FB77CEA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6D400DFF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4D65EC8B" w14:textId="497F0FA2" w:rsidP="00477759" w:rsidR="00477759" w:rsidRDefault="00477759" w:rsidRPr="00477759">
      <w:pPr>
        <w:jc w:val="both"/>
        <w:rPr>
          <w:rFonts w:cstheme="minorHAnsi"/>
          <w:b/>
          <w:u w:val="single"/>
        </w:rPr>
      </w:pPr>
      <w:r w:rsidRPr="00477759">
        <w:rPr>
          <w:rFonts w:cstheme="minorHAnsi"/>
          <w:b/>
          <w:u w:val="single"/>
        </w:rPr>
        <w:t xml:space="preserve">Article </w:t>
      </w:r>
      <w:r w:rsidR="009E57D4">
        <w:rPr>
          <w:rFonts w:cstheme="minorHAnsi"/>
          <w:b/>
          <w:u w:val="single"/>
        </w:rPr>
        <w:t>5</w:t>
      </w:r>
      <w:r w:rsidRPr="00477759">
        <w:rPr>
          <w:rFonts w:cstheme="minorHAnsi"/>
          <w:b/>
          <w:u w:val="single"/>
        </w:rPr>
        <w:t xml:space="preserve"> – Médaille du travail</w:t>
      </w:r>
    </w:p>
    <w:p w14:paraId="5A30628B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 xml:space="preserve">Les Parties ont convenu de mettre en place une gratification pour l’obtention de la médaille du travail. </w:t>
      </w:r>
    </w:p>
    <w:p w14:paraId="0D41445E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1BE883C5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La médaille d’honneur du travail comprend 4 échelons qui dépendent des années de service du collaborateur concerné :</w:t>
      </w:r>
    </w:p>
    <w:p w14:paraId="4213EA31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tbl>
      <w:tblPr>
        <w:tblStyle w:val="Grilledutableau4"/>
        <w:tblW w:type="auto" w:w="0"/>
        <w:tblLook w:firstColumn="1" w:firstRow="1" w:lastColumn="0" w:lastRow="0" w:noHBand="0" w:noVBand="1" w:val="04A0"/>
      </w:tblPr>
      <w:tblGrid>
        <w:gridCol w:w="4530"/>
        <w:gridCol w:w="4530"/>
      </w:tblGrid>
      <w:tr w14:paraId="17333A95" w14:textId="77777777" w:rsidR="00477759" w:rsidRPr="00477759" w:rsidTr="00F7359E">
        <w:tc>
          <w:tcPr>
            <w:tcW w:type="dxa" w:w="4530"/>
          </w:tcPr>
          <w:p w14:paraId="110C3A89" w14:textId="77777777" w:rsidP="00F7359E" w:rsidR="00477759" w:rsidRDefault="00477759" w:rsidRPr="00477759">
            <w:pPr>
              <w:jc w:val="center"/>
              <w:rPr>
                <w:rFonts w:cstheme="minorHAnsi" w:eastAsiaTheme="minorHAnsi"/>
                <w:b/>
                <w:lang w:eastAsia="en-US"/>
              </w:rPr>
            </w:pPr>
            <w:r w:rsidRPr="00477759">
              <w:rPr>
                <w:rFonts w:cstheme="minorHAnsi" w:eastAsiaTheme="minorHAnsi"/>
                <w:b/>
                <w:lang w:eastAsia="en-US"/>
              </w:rPr>
              <w:t>Ancienneté</w:t>
            </w:r>
          </w:p>
        </w:tc>
        <w:tc>
          <w:tcPr>
            <w:tcW w:type="dxa" w:w="4530"/>
          </w:tcPr>
          <w:p w14:paraId="1D2E605B" w14:textId="77777777" w:rsidP="00F7359E" w:rsidR="00477759" w:rsidRDefault="00477759" w:rsidRPr="00477759">
            <w:pPr>
              <w:jc w:val="center"/>
              <w:rPr>
                <w:rFonts w:cstheme="minorHAnsi" w:eastAsiaTheme="minorHAnsi"/>
                <w:b/>
                <w:lang w:eastAsia="en-US"/>
              </w:rPr>
            </w:pPr>
            <w:r w:rsidRPr="00477759">
              <w:rPr>
                <w:rFonts w:cstheme="minorHAnsi" w:eastAsiaTheme="minorHAnsi"/>
                <w:b/>
                <w:lang w:eastAsia="en-US"/>
              </w:rPr>
              <w:t>Type de médaille</w:t>
            </w:r>
          </w:p>
        </w:tc>
      </w:tr>
      <w:tr w14:paraId="5DCC3F39" w14:textId="77777777" w:rsidR="00477759" w:rsidRPr="00477759" w:rsidTr="00F7359E">
        <w:tc>
          <w:tcPr>
            <w:tcW w:type="dxa" w:w="4530"/>
          </w:tcPr>
          <w:p w14:paraId="235B3076" w14:textId="77777777" w:rsidP="00F7359E" w:rsidR="00477759" w:rsidRDefault="00477759" w:rsidRPr="00477759">
            <w:pPr>
              <w:jc w:val="center"/>
              <w:rPr>
                <w:rFonts w:cstheme="minorHAnsi" w:eastAsiaTheme="minorHAnsi"/>
                <w:lang w:eastAsia="en-US"/>
              </w:rPr>
            </w:pPr>
            <w:r w:rsidRPr="00477759">
              <w:rPr>
                <w:rFonts w:cstheme="minorHAnsi" w:eastAsiaTheme="minorHAnsi"/>
                <w:lang w:eastAsia="en-US"/>
              </w:rPr>
              <w:t>20 ans de service</w:t>
            </w:r>
          </w:p>
        </w:tc>
        <w:tc>
          <w:tcPr>
            <w:tcW w:type="dxa" w:w="4530"/>
          </w:tcPr>
          <w:p w14:paraId="7C5ED988" w14:textId="77777777" w:rsidP="00F7359E" w:rsidR="00477759" w:rsidRDefault="00477759" w:rsidRPr="00477759">
            <w:pPr>
              <w:jc w:val="center"/>
              <w:rPr>
                <w:rFonts w:cstheme="minorHAnsi" w:eastAsiaTheme="minorHAnsi"/>
                <w:lang w:eastAsia="en-US"/>
              </w:rPr>
            </w:pPr>
            <w:r w:rsidRPr="00477759">
              <w:rPr>
                <w:rFonts w:cstheme="minorHAnsi" w:eastAsiaTheme="minorHAnsi"/>
                <w:lang w:eastAsia="en-US"/>
              </w:rPr>
              <w:t>Médaille d’argent</w:t>
            </w:r>
          </w:p>
        </w:tc>
      </w:tr>
      <w:tr w14:paraId="603D07E5" w14:textId="77777777" w:rsidR="00477759" w:rsidRPr="00477759" w:rsidTr="00F7359E">
        <w:tc>
          <w:tcPr>
            <w:tcW w:type="dxa" w:w="4530"/>
          </w:tcPr>
          <w:p w14:paraId="7FA2619E" w14:textId="77777777" w:rsidP="00F7359E" w:rsidR="00477759" w:rsidRDefault="00477759" w:rsidRPr="00477759">
            <w:pPr>
              <w:jc w:val="center"/>
              <w:rPr>
                <w:rFonts w:cstheme="minorHAnsi" w:eastAsiaTheme="minorHAnsi"/>
                <w:lang w:eastAsia="en-US"/>
              </w:rPr>
            </w:pPr>
            <w:r w:rsidRPr="00477759">
              <w:rPr>
                <w:rFonts w:cstheme="minorHAnsi" w:eastAsiaTheme="minorHAnsi"/>
                <w:lang w:eastAsia="en-US"/>
              </w:rPr>
              <w:t>30 ans de service</w:t>
            </w:r>
          </w:p>
        </w:tc>
        <w:tc>
          <w:tcPr>
            <w:tcW w:type="dxa" w:w="4530"/>
          </w:tcPr>
          <w:p w14:paraId="1387EA87" w14:textId="77777777" w:rsidP="00F7359E" w:rsidR="00477759" w:rsidRDefault="00477759" w:rsidRPr="00477759">
            <w:pPr>
              <w:jc w:val="center"/>
              <w:rPr>
                <w:rFonts w:cstheme="minorHAnsi" w:eastAsiaTheme="minorHAnsi"/>
                <w:lang w:eastAsia="en-US"/>
              </w:rPr>
            </w:pPr>
            <w:r w:rsidRPr="00477759">
              <w:rPr>
                <w:rFonts w:cstheme="minorHAnsi" w:eastAsiaTheme="minorHAnsi"/>
                <w:lang w:eastAsia="en-US"/>
              </w:rPr>
              <w:t>Médaille de vermeil</w:t>
            </w:r>
          </w:p>
        </w:tc>
      </w:tr>
      <w:tr w14:paraId="51E69576" w14:textId="77777777" w:rsidR="00477759" w:rsidRPr="00477759" w:rsidTr="00F7359E">
        <w:tc>
          <w:tcPr>
            <w:tcW w:type="dxa" w:w="4530"/>
          </w:tcPr>
          <w:p w14:paraId="2064C7A4" w14:textId="77777777" w:rsidP="00F7359E" w:rsidR="00477759" w:rsidRDefault="00477759" w:rsidRPr="00477759">
            <w:pPr>
              <w:jc w:val="center"/>
              <w:rPr>
                <w:rFonts w:cstheme="minorHAnsi" w:eastAsiaTheme="minorHAnsi"/>
                <w:lang w:eastAsia="en-US"/>
              </w:rPr>
            </w:pPr>
            <w:r w:rsidRPr="00477759">
              <w:rPr>
                <w:rFonts w:cstheme="minorHAnsi" w:eastAsiaTheme="minorHAnsi"/>
                <w:lang w:eastAsia="en-US"/>
              </w:rPr>
              <w:t>35 ans de service</w:t>
            </w:r>
          </w:p>
        </w:tc>
        <w:tc>
          <w:tcPr>
            <w:tcW w:type="dxa" w:w="4530"/>
          </w:tcPr>
          <w:p w14:paraId="554BA42F" w14:textId="77777777" w:rsidP="00F7359E" w:rsidR="00477759" w:rsidRDefault="00477759" w:rsidRPr="00477759">
            <w:pPr>
              <w:jc w:val="center"/>
              <w:rPr>
                <w:rFonts w:cstheme="minorHAnsi" w:eastAsiaTheme="minorHAnsi"/>
                <w:lang w:eastAsia="en-US"/>
              </w:rPr>
            </w:pPr>
            <w:r w:rsidRPr="00477759">
              <w:rPr>
                <w:rFonts w:cstheme="minorHAnsi" w:eastAsiaTheme="minorHAnsi"/>
                <w:lang w:eastAsia="en-US"/>
              </w:rPr>
              <w:t>Médaille d’or</w:t>
            </w:r>
          </w:p>
        </w:tc>
      </w:tr>
      <w:tr w14:paraId="0795C56E" w14:textId="77777777" w:rsidR="00477759" w:rsidRPr="00477759" w:rsidTr="00F7359E">
        <w:tc>
          <w:tcPr>
            <w:tcW w:type="dxa" w:w="4530"/>
          </w:tcPr>
          <w:p w14:paraId="1600A969" w14:textId="77777777" w:rsidP="00F7359E" w:rsidR="00477759" w:rsidRDefault="00477759" w:rsidRPr="00477759">
            <w:pPr>
              <w:jc w:val="center"/>
              <w:rPr>
                <w:rFonts w:cstheme="minorHAnsi" w:eastAsiaTheme="minorHAnsi"/>
                <w:lang w:eastAsia="en-US"/>
              </w:rPr>
            </w:pPr>
            <w:r w:rsidRPr="00477759">
              <w:rPr>
                <w:rFonts w:cstheme="minorHAnsi" w:eastAsiaTheme="minorHAnsi"/>
                <w:lang w:eastAsia="en-US"/>
              </w:rPr>
              <w:t>40 ans de service</w:t>
            </w:r>
          </w:p>
        </w:tc>
        <w:tc>
          <w:tcPr>
            <w:tcW w:type="dxa" w:w="4530"/>
          </w:tcPr>
          <w:p w14:paraId="326FD6F2" w14:textId="77777777" w:rsidP="00F7359E" w:rsidR="00477759" w:rsidRDefault="00477759" w:rsidRPr="00477759">
            <w:pPr>
              <w:jc w:val="center"/>
              <w:rPr>
                <w:rFonts w:cstheme="minorHAnsi" w:eastAsiaTheme="minorHAnsi"/>
                <w:lang w:eastAsia="en-US"/>
              </w:rPr>
            </w:pPr>
            <w:r w:rsidRPr="00477759">
              <w:rPr>
                <w:rFonts w:cstheme="minorHAnsi" w:eastAsiaTheme="minorHAnsi"/>
                <w:lang w:eastAsia="en-US"/>
              </w:rPr>
              <w:t>Grande médaille d’or</w:t>
            </w:r>
          </w:p>
        </w:tc>
      </w:tr>
    </w:tbl>
    <w:p w14:paraId="17C3B354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49C350FE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Les services pris en compte pour la détermination de l'ancienneté des candidats à la médaille peuvent avoir été effectués chez un nombre illimité d'employeurs.</w:t>
      </w:r>
    </w:p>
    <w:p w14:paraId="6506F1F1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567CAA4D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Certaines périodes d'absence sont assimilées à des périodes de travail. Il s'agit des périodes suivantes :</w:t>
      </w:r>
    </w:p>
    <w:p w14:paraId="079E4091" w14:textId="77777777" w:rsidP="00477759" w:rsidR="00477759" w:rsidRDefault="00477759" w:rsidRPr="00477759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proofErr w:type="gramStart"/>
      <w:r w:rsidRPr="00477759">
        <w:rPr>
          <w:rFonts w:cstheme="minorHAnsi"/>
        </w:rPr>
        <w:t>le</w:t>
      </w:r>
      <w:proofErr w:type="gramEnd"/>
      <w:r w:rsidRPr="00477759">
        <w:rPr>
          <w:rFonts w:cstheme="minorHAnsi"/>
        </w:rPr>
        <w:t xml:space="preserve"> temps passé au titre du service national ;</w:t>
      </w:r>
    </w:p>
    <w:p w14:paraId="5D1FA010" w14:textId="77777777" w:rsidP="00477759" w:rsidR="00477759" w:rsidRDefault="00477759" w:rsidRPr="00477759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proofErr w:type="gramStart"/>
      <w:r w:rsidRPr="00477759">
        <w:rPr>
          <w:rFonts w:cstheme="minorHAnsi"/>
        </w:rPr>
        <w:t>les</w:t>
      </w:r>
      <w:proofErr w:type="gramEnd"/>
      <w:r w:rsidRPr="00477759">
        <w:rPr>
          <w:rFonts w:cstheme="minorHAnsi"/>
        </w:rPr>
        <w:t xml:space="preserve"> congés de maternité et les congés d'adoption (au maximum 1 an) ;</w:t>
      </w:r>
    </w:p>
    <w:p w14:paraId="214C7828" w14:textId="77777777" w:rsidP="00477759" w:rsidR="00477759" w:rsidRDefault="00477759" w:rsidRPr="00477759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proofErr w:type="gramStart"/>
      <w:r w:rsidRPr="00477759">
        <w:rPr>
          <w:rFonts w:cstheme="minorHAnsi"/>
        </w:rPr>
        <w:t>les</w:t>
      </w:r>
      <w:proofErr w:type="gramEnd"/>
      <w:r w:rsidRPr="00477759">
        <w:rPr>
          <w:rFonts w:cstheme="minorHAnsi"/>
        </w:rPr>
        <w:t xml:space="preserve"> stages rémunérés de la formation professionnelle, les congés individuels de formation (CIF), les congés de conversion. </w:t>
      </w:r>
    </w:p>
    <w:p w14:paraId="0DAA510E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59F4343E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 xml:space="preserve">La médaille d'honneur du travail est décernée par arrêté du ministre du travail ou, sur délégation, du préfet à l'occasion </w:t>
      </w:r>
      <w:proofErr w:type="gramStart"/>
      <w:r w:rsidRPr="00477759">
        <w:rPr>
          <w:rFonts w:cstheme="minorHAnsi"/>
        </w:rPr>
        <w:t>des 1</w:t>
      </w:r>
      <w:r w:rsidRPr="00477759">
        <w:rPr>
          <w:rFonts w:cstheme="minorHAnsi"/>
          <w:vertAlign w:val="superscript"/>
        </w:rPr>
        <w:t>er</w:t>
      </w:r>
      <w:r w:rsidRPr="00477759">
        <w:rPr>
          <w:rFonts w:cstheme="minorHAnsi"/>
        </w:rPr>
        <w:t xml:space="preserve"> janvier</w:t>
      </w:r>
      <w:proofErr w:type="gramEnd"/>
      <w:r w:rsidRPr="00477759">
        <w:rPr>
          <w:rFonts w:cstheme="minorHAnsi"/>
        </w:rPr>
        <w:t xml:space="preserve"> et 14 juillet de chaque année.</w:t>
      </w:r>
    </w:p>
    <w:p w14:paraId="0885042C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71FDB0B2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La demande doit être établie par le salarié.</w:t>
      </w:r>
    </w:p>
    <w:p w14:paraId="2C709D05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77448222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Elle doit être déposée :</w:t>
      </w:r>
    </w:p>
    <w:p w14:paraId="1A4150D5" w14:textId="77777777" w:rsidP="00477759" w:rsidR="00477759" w:rsidRDefault="00477759" w:rsidRPr="00477759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proofErr w:type="gramStart"/>
      <w:r w:rsidRPr="00477759">
        <w:rPr>
          <w:rFonts w:cstheme="minorHAnsi"/>
        </w:rPr>
        <w:t>au</w:t>
      </w:r>
      <w:proofErr w:type="gramEnd"/>
      <w:r w:rsidRPr="00477759">
        <w:rPr>
          <w:rFonts w:cstheme="minorHAnsi"/>
        </w:rPr>
        <w:t xml:space="preserve"> plus tard le 1</w:t>
      </w:r>
      <w:r w:rsidRPr="00477759">
        <w:rPr>
          <w:rFonts w:cstheme="minorHAnsi"/>
          <w:vertAlign w:val="superscript"/>
        </w:rPr>
        <w:t>er</w:t>
      </w:r>
      <w:r w:rsidRPr="00477759">
        <w:rPr>
          <w:rFonts w:cstheme="minorHAnsi"/>
        </w:rPr>
        <w:t xml:space="preserve"> mai pour la promotion du 14 juillet ; </w:t>
      </w:r>
    </w:p>
    <w:p w14:paraId="56C6C63B" w14:textId="77777777" w:rsidP="00477759" w:rsidR="00477759" w:rsidRDefault="00477759" w:rsidRPr="00477759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proofErr w:type="gramStart"/>
      <w:r w:rsidRPr="00477759">
        <w:rPr>
          <w:rFonts w:cstheme="minorHAnsi"/>
        </w:rPr>
        <w:lastRenderedPageBreak/>
        <w:t>au</w:t>
      </w:r>
      <w:proofErr w:type="gramEnd"/>
      <w:r w:rsidRPr="00477759">
        <w:rPr>
          <w:rFonts w:cstheme="minorHAnsi"/>
        </w:rPr>
        <w:t xml:space="preserve"> plus tard le 15 octobre pour la promotion du 1</w:t>
      </w:r>
      <w:r w:rsidRPr="00477759">
        <w:rPr>
          <w:rFonts w:cstheme="minorHAnsi"/>
          <w:vertAlign w:val="superscript"/>
        </w:rPr>
        <w:t>er</w:t>
      </w:r>
      <w:r w:rsidRPr="00477759">
        <w:rPr>
          <w:rFonts w:cstheme="minorHAnsi"/>
        </w:rPr>
        <w:t xml:space="preserve"> janvier. </w:t>
      </w:r>
    </w:p>
    <w:p w14:paraId="22AFB0E2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492193B6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 xml:space="preserve">À l'occasion de la remise de la médaille dont il devra informer la Direction, le collaborateur se verra remettre une gratification destinée à récompenser ses services pour ses années au sein de la société. </w:t>
      </w:r>
    </w:p>
    <w:p w14:paraId="282C7D24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4DC9A79E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 xml:space="preserve">La gratification sera versée sur la paie du mois de février ou du mois d’août selon la date d’attribution de la médaille du travail. </w:t>
      </w:r>
    </w:p>
    <w:p w14:paraId="4C30348F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p w14:paraId="705D3BD2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  <w:r w:rsidRPr="00477759">
        <w:rPr>
          <w:rFonts w:cstheme="minorHAnsi"/>
        </w:rPr>
        <w:t>Le montant de la gratification est indiqué dans le tableau ci-dessous :</w:t>
      </w:r>
    </w:p>
    <w:p w14:paraId="43CCDA61" w14:textId="77777777" w:rsidP="00477759" w:rsidR="00477759" w:rsidRDefault="00477759" w:rsidRPr="00477759">
      <w:pPr>
        <w:spacing w:after="0" w:line="240" w:lineRule="auto"/>
        <w:jc w:val="both"/>
        <w:rPr>
          <w:rFonts w:cstheme="minorHAnsi"/>
        </w:rPr>
      </w:pPr>
    </w:p>
    <w:tbl>
      <w:tblPr>
        <w:tblW w:type="dxa" w:w="6733"/>
        <w:tblLayout w:type="fixed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3331"/>
        <w:gridCol w:w="3402"/>
      </w:tblGrid>
      <w:tr w14:paraId="31B75D94" w14:textId="77777777" w:rsidR="00477759" w:rsidRPr="00477759" w:rsidTr="00F7359E">
        <w:trPr>
          <w:trHeight w:val="1037"/>
        </w:trPr>
        <w:tc>
          <w:tcPr>
            <w:tcW w:type="dxa" w:w="33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24E29514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 xml:space="preserve">Nombre d'années d'ancienneté dans la société </w:t>
            </w:r>
          </w:p>
        </w:tc>
        <w:tc>
          <w:tcPr>
            <w:tcW w:type="dxa" w:w="340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237DF1F1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Gratification</w:t>
            </w:r>
          </w:p>
        </w:tc>
      </w:tr>
      <w:tr w14:paraId="5032A885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28DC4FD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0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3CB1006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0</w:t>
            </w:r>
          </w:p>
        </w:tc>
      </w:tr>
      <w:tr w14:paraId="6AD439C8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277D759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1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A8D53CB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60</w:t>
            </w:r>
          </w:p>
        </w:tc>
      </w:tr>
      <w:tr w14:paraId="2CAE210E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AB99FD8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2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E361AC6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70</w:t>
            </w:r>
          </w:p>
        </w:tc>
      </w:tr>
      <w:tr w14:paraId="08516DF5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F36EB22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3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8E7310B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80</w:t>
            </w:r>
          </w:p>
        </w:tc>
      </w:tr>
      <w:tr w14:paraId="11EF6568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6F40641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4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AA0B292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90</w:t>
            </w:r>
          </w:p>
        </w:tc>
      </w:tr>
      <w:tr w14:paraId="7F332D69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811FC82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5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510C3C5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100</w:t>
            </w:r>
          </w:p>
        </w:tc>
      </w:tr>
      <w:tr w14:paraId="00A6B30C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96214F8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6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2CB69CC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110</w:t>
            </w:r>
          </w:p>
        </w:tc>
      </w:tr>
      <w:tr w14:paraId="102453E4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62F7142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7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518B6A9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120</w:t>
            </w:r>
          </w:p>
        </w:tc>
      </w:tr>
      <w:tr w14:paraId="110BC33B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CB30F88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8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C67B15A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130</w:t>
            </w:r>
          </w:p>
        </w:tc>
      </w:tr>
      <w:tr w14:paraId="6C2DFB0B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B4D79BD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9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6441031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140</w:t>
            </w:r>
          </w:p>
        </w:tc>
      </w:tr>
      <w:tr w14:paraId="4C5191B3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B04CDA2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10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2518469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150</w:t>
            </w:r>
          </w:p>
        </w:tc>
      </w:tr>
      <w:tr w14:paraId="65FA1268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04F6CE5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11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2118A79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160</w:t>
            </w:r>
          </w:p>
        </w:tc>
      </w:tr>
      <w:tr w14:paraId="652B91C3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5A10070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12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C9AAEAA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170</w:t>
            </w:r>
          </w:p>
        </w:tc>
      </w:tr>
      <w:tr w14:paraId="501F99B0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383D628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13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3BBA117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180</w:t>
            </w:r>
          </w:p>
        </w:tc>
      </w:tr>
      <w:tr w14:paraId="3D329906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757E6D4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14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23F3074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190</w:t>
            </w:r>
          </w:p>
        </w:tc>
      </w:tr>
      <w:tr w14:paraId="5FFC6C33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9254E93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15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7443D9D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200</w:t>
            </w:r>
          </w:p>
        </w:tc>
      </w:tr>
      <w:tr w14:paraId="0B66DCC2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1CFDB42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16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E1B610C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210</w:t>
            </w:r>
          </w:p>
        </w:tc>
      </w:tr>
      <w:tr w14:paraId="7C159228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42FB853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17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5BF0452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220</w:t>
            </w:r>
          </w:p>
        </w:tc>
      </w:tr>
      <w:tr w14:paraId="3601FAD0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294F699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18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7C54558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230</w:t>
            </w:r>
          </w:p>
        </w:tc>
      </w:tr>
      <w:tr w14:paraId="557CB310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4FFE019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19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744CD16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240</w:t>
            </w:r>
          </w:p>
        </w:tc>
      </w:tr>
      <w:tr w14:paraId="3DBE5482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BEE4022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20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E1F3197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250</w:t>
            </w:r>
          </w:p>
        </w:tc>
      </w:tr>
      <w:tr w14:paraId="33241888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9BCD35F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21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C05BCAD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260</w:t>
            </w:r>
          </w:p>
        </w:tc>
      </w:tr>
      <w:tr w14:paraId="1B11F2BF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ACDF19A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22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9BA4C68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270</w:t>
            </w:r>
          </w:p>
        </w:tc>
      </w:tr>
      <w:tr w14:paraId="37B0AA63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A9A4F5F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23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CE3BC04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280</w:t>
            </w:r>
          </w:p>
        </w:tc>
      </w:tr>
      <w:tr w14:paraId="18B9277F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F857601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24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E0CB645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290</w:t>
            </w:r>
          </w:p>
        </w:tc>
      </w:tr>
      <w:tr w14:paraId="39DC3B7A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22CEFFB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25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0FF368A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300</w:t>
            </w:r>
          </w:p>
        </w:tc>
      </w:tr>
      <w:tr w14:paraId="1FED6BA9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0E28E03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26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E6EE900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310</w:t>
            </w:r>
          </w:p>
        </w:tc>
      </w:tr>
      <w:tr w14:paraId="53CD79F7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247F0E2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27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CF0FAAC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320</w:t>
            </w:r>
          </w:p>
        </w:tc>
      </w:tr>
      <w:tr w14:paraId="695243E7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CCCDEA3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28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A85C7E4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330</w:t>
            </w:r>
          </w:p>
        </w:tc>
      </w:tr>
      <w:tr w14:paraId="5B2A321B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403D91A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29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2AC684C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340</w:t>
            </w:r>
          </w:p>
        </w:tc>
      </w:tr>
      <w:tr w14:paraId="6FFB51BC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CD11171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30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B9721DF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350</w:t>
            </w:r>
          </w:p>
        </w:tc>
      </w:tr>
      <w:tr w14:paraId="79B1899A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77B7E87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31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7B1C3CD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360</w:t>
            </w:r>
          </w:p>
        </w:tc>
      </w:tr>
      <w:tr w14:paraId="47E58535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AF8DC25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32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8225361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370</w:t>
            </w:r>
          </w:p>
        </w:tc>
      </w:tr>
      <w:tr w14:paraId="79A430CF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B341B58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lastRenderedPageBreak/>
              <w:t>33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909D7B0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380</w:t>
            </w:r>
          </w:p>
        </w:tc>
      </w:tr>
      <w:tr w14:paraId="1D92B9E7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AF1660B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34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9E47CC1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390</w:t>
            </w:r>
          </w:p>
        </w:tc>
      </w:tr>
      <w:tr w14:paraId="777D6446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0F298D4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35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5DDC28D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400</w:t>
            </w:r>
          </w:p>
        </w:tc>
      </w:tr>
      <w:tr w14:paraId="0884973D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07CD575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36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0159F13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410</w:t>
            </w:r>
          </w:p>
        </w:tc>
      </w:tr>
      <w:tr w14:paraId="0F26D6BB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1AAB209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37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C7CE9EB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420</w:t>
            </w:r>
          </w:p>
        </w:tc>
      </w:tr>
      <w:tr w14:paraId="1C715C8C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0088F3C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38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36BDFB1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430</w:t>
            </w:r>
          </w:p>
        </w:tc>
      </w:tr>
      <w:tr w14:paraId="3E48B976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3F83921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39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4B491C3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440</w:t>
            </w:r>
          </w:p>
        </w:tc>
      </w:tr>
      <w:tr w14:paraId="7604E92A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6FFB29F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40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A742D92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450</w:t>
            </w:r>
          </w:p>
        </w:tc>
      </w:tr>
      <w:tr w14:paraId="3256D36B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571FA20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41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0957FDA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460</w:t>
            </w:r>
          </w:p>
        </w:tc>
      </w:tr>
      <w:tr w14:paraId="42B6C4F6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7F98836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42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AEB5F60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470</w:t>
            </w:r>
          </w:p>
        </w:tc>
      </w:tr>
      <w:tr w14:paraId="6838E071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8AED819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43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6A522E7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480</w:t>
            </w:r>
          </w:p>
        </w:tc>
      </w:tr>
      <w:tr w14:paraId="447C4C22" w14:textId="77777777" w:rsidR="00477759" w:rsidRPr="00477759" w:rsidTr="00F7359E">
        <w:trPr>
          <w:trHeight w:val="300"/>
        </w:trPr>
        <w:tc>
          <w:tcPr>
            <w:tcW w:type="dxa" w:w="333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90737CC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color w:val="000000"/>
                <w:lang w:eastAsia="fr-FR"/>
              </w:rPr>
              <w:t>44</w:t>
            </w:r>
          </w:p>
        </w:tc>
        <w:tc>
          <w:tcPr>
            <w:tcW w:type="dxa" w:w="340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4F48AC3" w14:textId="77777777" w:rsidP="00F7359E" w:rsidR="00477759" w:rsidRDefault="00477759" w:rsidRPr="0047775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color w:val="000000"/>
                <w:lang w:eastAsia="fr-FR"/>
              </w:rPr>
            </w:pPr>
            <w:r w:rsidRPr="00477759">
              <w:rPr>
                <w:rFonts w:cstheme="minorHAnsi" w:eastAsia="Times New Roman"/>
                <w:b/>
                <w:bCs/>
                <w:color w:val="000000"/>
                <w:lang w:eastAsia="fr-FR"/>
              </w:rPr>
              <w:t>490</w:t>
            </w:r>
          </w:p>
        </w:tc>
      </w:tr>
    </w:tbl>
    <w:p w14:paraId="6F818067" w14:textId="77777777" w:rsidP="00477759" w:rsidR="00477759" w:rsidRDefault="00477759" w:rsidRPr="00477759">
      <w:pPr>
        <w:pStyle w:val="Sansinterligne"/>
        <w:spacing w:line="240" w:lineRule="atLeast"/>
        <w:jc w:val="both"/>
        <w:rPr>
          <w:rFonts w:cstheme="minorHAnsi"/>
        </w:rPr>
      </w:pPr>
    </w:p>
    <w:p w14:paraId="5627D744" w14:textId="77777777" w:rsidP="00477759" w:rsidR="00477759" w:rsidRDefault="00477759" w:rsidRPr="00477759">
      <w:pPr>
        <w:pStyle w:val="Sansinterligne"/>
        <w:spacing w:line="240" w:lineRule="atLeast"/>
        <w:jc w:val="both"/>
        <w:rPr>
          <w:rFonts w:cstheme="minorHAnsi"/>
        </w:rPr>
      </w:pPr>
    </w:p>
    <w:p w14:paraId="5EE51F87" w14:textId="77777777" w:rsidP="00477759" w:rsidR="00477759" w:rsidRDefault="00477759" w:rsidRPr="00477759">
      <w:pPr>
        <w:pStyle w:val="Sansinterligne"/>
        <w:spacing w:line="240" w:lineRule="atLeast"/>
        <w:jc w:val="both"/>
        <w:rPr>
          <w:rFonts w:cstheme="minorHAnsi"/>
        </w:rPr>
      </w:pPr>
    </w:p>
    <w:p w14:paraId="16F76CF1" w14:textId="305BE667" w:rsidP="00477759" w:rsidR="00477759" w:rsidRDefault="00477759" w:rsidRPr="00477759">
      <w:pPr>
        <w:spacing w:line="240" w:lineRule="auto"/>
        <w:jc w:val="both"/>
        <w:rPr>
          <w:rFonts w:cstheme="minorHAnsi" w:eastAsia="Calibri"/>
        </w:rPr>
      </w:pPr>
      <w:r w:rsidRPr="00477759">
        <w:rPr>
          <w:rFonts w:cstheme="minorHAnsi" w:eastAsia="Calibri"/>
          <w:b/>
          <w:u w:val="single"/>
        </w:rPr>
        <w:t xml:space="preserve">Article </w:t>
      </w:r>
      <w:r w:rsidR="009E57D4">
        <w:rPr>
          <w:rFonts w:cstheme="minorHAnsi" w:eastAsia="Calibri"/>
          <w:b/>
          <w:u w:val="single"/>
        </w:rPr>
        <w:t>6</w:t>
      </w:r>
      <w:r w:rsidRPr="00477759">
        <w:rPr>
          <w:rFonts w:cstheme="minorHAnsi" w:eastAsia="Calibri"/>
          <w:b/>
          <w:u w:val="single"/>
        </w:rPr>
        <w:t> : Service d’assistance sociale</w:t>
      </w:r>
      <w:r w:rsidRPr="00477759">
        <w:rPr>
          <w:rFonts w:cstheme="minorHAnsi" w:eastAsia="Calibri"/>
        </w:rPr>
        <w:t xml:space="preserve">  </w:t>
      </w:r>
      <w:r w:rsidRPr="00477759">
        <w:rPr>
          <w:rFonts w:cstheme="minorHAnsi" w:eastAsia="Calibri"/>
        </w:rPr>
        <w:tab/>
      </w:r>
      <w:r w:rsidRPr="00477759">
        <w:rPr>
          <w:rFonts w:cstheme="minorHAnsi" w:eastAsia="Calibri"/>
        </w:rPr>
        <w:tab/>
      </w:r>
      <w:r w:rsidRPr="00477759">
        <w:rPr>
          <w:rFonts w:cstheme="minorHAnsi" w:eastAsia="Calibri"/>
        </w:rPr>
        <w:tab/>
      </w:r>
      <w:r w:rsidRPr="00477759">
        <w:rPr>
          <w:rFonts w:cstheme="minorHAnsi" w:eastAsia="Calibri"/>
        </w:rPr>
        <w:tab/>
      </w:r>
      <w:r w:rsidRPr="00477759">
        <w:rPr>
          <w:rFonts w:cstheme="minorHAnsi" w:eastAsia="Calibri"/>
        </w:rPr>
        <w:tab/>
      </w:r>
      <w:r w:rsidRPr="00477759">
        <w:rPr>
          <w:rFonts w:cstheme="minorHAnsi" w:eastAsia="Calibri"/>
        </w:rPr>
        <w:tab/>
      </w:r>
    </w:p>
    <w:p w14:paraId="2D1B066F" w14:textId="77777777" w:rsidP="00477759" w:rsidR="00477759" w:rsidRDefault="00477759" w:rsidRPr="00477759">
      <w:pPr>
        <w:spacing w:after="0" w:line="240" w:lineRule="auto"/>
        <w:jc w:val="both"/>
        <w:rPr>
          <w:rFonts w:cstheme="minorHAnsi" w:eastAsia="Calibri"/>
        </w:rPr>
      </w:pPr>
      <w:bookmarkStart w:id="0" w:name="_Hlk42249810"/>
      <w:r w:rsidRPr="00477759">
        <w:rPr>
          <w:rFonts w:cstheme="minorHAnsi" w:eastAsia="Calibri"/>
        </w:rPr>
        <w:t xml:space="preserve">Les Parties ont convenu de </w:t>
      </w:r>
      <w:bookmarkEnd w:id="0"/>
      <w:r w:rsidRPr="00477759">
        <w:rPr>
          <w:rFonts w:cstheme="minorHAnsi" w:eastAsia="Calibri"/>
        </w:rPr>
        <w:t xml:space="preserve">poursuivre le bénéficie pour tous les collaborateurs d’un conseil spécialisé pour les assister lors d’événements de la vie personnelle et familiale, et ce, toute l’année. </w:t>
      </w:r>
    </w:p>
    <w:p w14:paraId="00D2A29A" w14:textId="77777777" w:rsidP="00477759" w:rsidR="00477759" w:rsidRDefault="00477759" w:rsidRPr="00477759">
      <w:pPr>
        <w:spacing w:after="0" w:line="240" w:lineRule="auto"/>
        <w:jc w:val="both"/>
        <w:rPr>
          <w:rFonts w:cstheme="minorHAnsi" w:eastAsia="Calibri"/>
        </w:rPr>
      </w:pPr>
      <w:r w:rsidRPr="00477759">
        <w:rPr>
          <w:rFonts w:cstheme="minorHAnsi" w:eastAsia="Calibri"/>
        </w:rPr>
        <w:t>En effet, les collaborateurs peuvent être confrontés à des situations de vie personnelle et/ou familiale difficiles, pour lesquelles ils ont besoin d’être écoutés et aidés. Que ce soit pour des difficultés de logement, un divorce, un problème de surendettement, de succession…</w:t>
      </w:r>
    </w:p>
    <w:p w14:paraId="2BB48BFE" w14:textId="77777777" w:rsidP="00477759" w:rsidR="00477759" w:rsidRDefault="00477759" w:rsidRPr="00477759">
      <w:pPr>
        <w:spacing w:after="0" w:line="240" w:lineRule="auto"/>
        <w:jc w:val="both"/>
        <w:rPr>
          <w:rFonts w:cstheme="minorHAnsi" w:eastAsia="Calibri"/>
        </w:rPr>
      </w:pPr>
      <w:r w:rsidRPr="00477759">
        <w:rPr>
          <w:rFonts w:cstheme="minorHAnsi" w:eastAsia="Calibri"/>
        </w:rPr>
        <w:t xml:space="preserve">Ce dispositif complète mais ne se substitue pas aux autres dispositifs existants spécifiquement pour la santé et la dépendance. </w:t>
      </w:r>
    </w:p>
    <w:p w14:paraId="486B62E5" w14:textId="77777777" w:rsidP="00477759" w:rsidR="00477759" w:rsidRDefault="00477759" w:rsidRPr="00477759">
      <w:pPr>
        <w:spacing w:after="0" w:line="240" w:lineRule="auto"/>
        <w:jc w:val="both"/>
        <w:rPr>
          <w:rFonts w:cstheme="minorHAnsi" w:eastAsia="Calibri"/>
        </w:rPr>
      </w:pPr>
      <w:r w:rsidRPr="00477759">
        <w:rPr>
          <w:rFonts w:cstheme="minorHAnsi" w:eastAsia="Calibri"/>
        </w:rPr>
        <w:t>Il est :</w:t>
      </w:r>
    </w:p>
    <w:p w14:paraId="5ABDC571" w14:textId="77777777" w:rsidP="00477759" w:rsidR="00477759" w:rsidRDefault="00477759" w:rsidRPr="00477759">
      <w:pPr>
        <w:numPr>
          <w:ilvl w:val="0"/>
          <w:numId w:val="14"/>
        </w:numPr>
        <w:spacing w:after="0" w:line="240" w:lineRule="auto"/>
        <w:jc w:val="both"/>
        <w:rPr>
          <w:rFonts w:cstheme="minorHAnsi" w:eastAsia="Calibri"/>
        </w:rPr>
      </w:pPr>
      <w:r w:rsidRPr="00477759">
        <w:rPr>
          <w:rFonts w:cstheme="minorHAnsi" w:eastAsia="Calibri"/>
        </w:rPr>
        <w:t>Susceptible d’aider sur l’ensemble des problématiques liées à la vie personnelle et familiale ;</w:t>
      </w:r>
    </w:p>
    <w:p w14:paraId="3D4C64E8" w14:textId="77777777" w:rsidP="00477759" w:rsidR="00477759" w:rsidRDefault="00477759" w:rsidRPr="00477759">
      <w:pPr>
        <w:numPr>
          <w:ilvl w:val="0"/>
          <w:numId w:val="14"/>
        </w:numPr>
        <w:spacing w:after="0" w:line="240" w:lineRule="auto"/>
        <w:jc w:val="both"/>
        <w:rPr>
          <w:rFonts w:cstheme="minorHAnsi" w:eastAsia="Calibri"/>
        </w:rPr>
      </w:pPr>
      <w:r w:rsidRPr="00477759">
        <w:rPr>
          <w:rFonts w:cstheme="minorHAnsi" w:eastAsia="Calibri"/>
        </w:rPr>
        <w:t>Gratuit et anonyme ;</w:t>
      </w:r>
    </w:p>
    <w:p w14:paraId="36C7DE7D" w14:textId="77777777" w:rsidP="00477759" w:rsidR="00477759" w:rsidRDefault="00477759" w:rsidRPr="00477759">
      <w:pPr>
        <w:numPr>
          <w:ilvl w:val="0"/>
          <w:numId w:val="14"/>
        </w:numPr>
        <w:spacing w:after="0" w:line="240" w:lineRule="auto"/>
        <w:jc w:val="both"/>
        <w:rPr>
          <w:rFonts w:cstheme="minorHAnsi" w:eastAsia="Calibri"/>
        </w:rPr>
      </w:pPr>
      <w:r w:rsidRPr="00477759">
        <w:rPr>
          <w:rFonts w:cstheme="minorHAnsi" w:eastAsia="Calibri"/>
        </w:rPr>
        <w:t>Animé par des juristes experts.</w:t>
      </w:r>
    </w:p>
    <w:p w14:paraId="2CAF42D2" w14:textId="77777777" w:rsidP="00477759" w:rsidR="00477759" w:rsidRDefault="00477759" w:rsidRPr="00477759">
      <w:pPr>
        <w:spacing w:after="0" w:line="240" w:lineRule="auto"/>
        <w:jc w:val="both"/>
        <w:rPr>
          <w:rFonts w:cstheme="minorHAnsi" w:eastAsia="Calibri"/>
        </w:rPr>
      </w:pPr>
    </w:p>
    <w:p w14:paraId="5AA32ADC" w14:textId="77777777" w:rsidP="00477759" w:rsidR="00477759" w:rsidRDefault="00477759" w:rsidRPr="00477759">
      <w:pPr>
        <w:spacing w:after="0" w:line="240" w:lineRule="auto"/>
        <w:jc w:val="both"/>
        <w:rPr>
          <w:rFonts w:cstheme="minorHAnsi" w:eastAsia="Calibri"/>
        </w:rPr>
      </w:pPr>
    </w:p>
    <w:p w14:paraId="40B01915" w14:textId="0FBBEC96" w:rsidP="00477759" w:rsidR="00477759" w:rsidRDefault="00477759" w:rsidRPr="00477759">
      <w:pPr>
        <w:spacing w:after="0" w:line="240" w:lineRule="auto"/>
        <w:jc w:val="both"/>
        <w:rPr>
          <w:rFonts w:cstheme="minorHAnsi" w:eastAsia="Calibri"/>
          <w:b/>
          <w:u w:val="single"/>
        </w:rPr>
      </w:pPr>
      <w:r w:rsidRPr="00477759">
        <w:rPr>
          <w:rFonts w:cstheme="minorHAnsi" w:eastAsia="Calibri"/>
          <w:b/>
          <w:u w:val="single"/>
        </w:rPr>
        <w:t xml:space="preserve">Article </w:t>
      </w:r>
      <w:r w:rsidR="009E57D4">
        <w:rPr>
          <w:rFonts w:cstheme="minorHAnsi" w:eastAsia="Calibri"/>
          <w:b/>
          <w:u w:val="single"/>
        </w:rPr>
        <w:t>7</w:t>
      </w:r>
      <w:r w:rsidRPr="00477759">
        <w:rPr>
          <w:rFonts w:cstheme="minorHAnsi" w:eastAsia="Calibri"/>
          <w:b/>
          <w:u w:val="single"/>
        </w:rPr>
        <w:t> : Cellule d’accompagnement psychologique</w:t>
      </w:r>
    </w:p>
    <w:p w14:paraId="3EBF0854" w14:textId="77777777" w:rsidP="00477759" w:rsidR="00477759" w:rsidRDefault="00477759" w:rsidRPr="00477759">
      <w:pPr>
        <w:spacing w:after="0" w:line="240" w:lineRule="auto"/>
        <w:jc w:val="both"/>
        <w:rPr>
          <w:rFonts w:cstheme="minorHAnsi" w:eastAsia="Calibri"/>
        </w:rPr>
      </w:pPr>
      <w:r w:rsidRPr="00477759">
        <w:rPr>
          <w:rFonts w:cstheme="minorHAnsi" w:eastAsia="Calibri"/>
        </w:rPr>
        <w:tab/>
      </w:r>
      <w:r w:rsidRPr="00477759">
        <w:rPr>
          <w:rFonts w:cstheme="minorHAnsi" w:eastAsia="Calibri"/>
        </w:rPr>
        <w:tab/>
      </w:r>
      <w:r w:rsidRPr="00477759">
        <w:rPr>
          <w:rFonts w:cstheme="minorHAnsi" w:eastAsia="Calibri"/>
        </w:rPr>
        <w:tab/>
      </w:r>
      <w:r w:rsidRPr="00477759">
        <w:rPr>
          <w:rFonts w:cstheme="minorHAnsi" w:eastAsia="Calibri"/>
        </w:rPr>
        <w:tab/>
      </w:r>
      <w:r w:rsidRPr="00477759">
        <w:rPr>
          <w:rFonts w:cstheme="minorHAnsi" w:eastAsia="Calibri"/>
        </w:rPr>
        <w:tab/>
      </w:r>
      <w:r w:rsidRPr="00477759">
        <w:rPr>
          <w:rFonts w:cstheme="minorHAnsi" w:eastAsia="Calibri"/>
        </w:rPr>
        <w:tab/>
      </w:r>
    </w:p>
    <w:p w14:paraId="41AF6637" w14:textId="77777777" w:rsidP="00477759" w:rsidR="00477759" w:rsidRDefault="00477759" w:rsidRPr="00477759">
      <w:pPr>
        <w:spacing w:after="0" w:line="240" w:lineRule="auto"/>
        <w:jc w:val="both"/>
        <w:rPr>
          <w:rFonts w:cstheme="minorHAnsi" w:eastAsia="Calibri"/>
        </w:rPr>
      </w:pPr>
      <w:r w:rsidRPr="00477759">
        <w:rPr>
          <w:rFonts w:cstheme="minorHAnsi" w:eastAsia="Calibri"/>
        </w:rPr>
        <w:t>Les Parties ont convenu de poursuivre la mise à disposition d’une cellule d’accompagnement psychologique des salariés.</w:t>
      </w:r>
    </w:p>
    <w:p w14:paraId="00F134CF" w14:textId="77777777" w:rsidP="00477759" w:rsidR="00477759" w:rsidRDefault="00477759" w:rsidRPr="00477759">
      <w:pPr>
        <w:spacing w:after="0" w:line="240" w:lineRule="auto"/>
        <w:jc w:val="both"/>
        <w:rPr>
          <w:rFonts w:cstheme="minorHAnsi" w:eastAsia="Calibri"/>
        </w:rPr>
      </w:pPr>
      <w:r w:rsidRPr="00477759">
        <w:rPr>
          <w:rFonts w:cstheme="minorHAnsi" w:eastAsia="Calibri"/>
        </w:rPr>
        <w:t>Elle est déclenchée sur demande du manager, notamment en cas de catastrophe naturelle, agression, situation de violence ou de tension aigue…</w:t>
      </w:r>
    </w:p>
    <w:p w14:paraId="4083A119" w14:textId="77777777" w:rsidP="00477759" w:rsidR="00477759" w:rsidRDefault="00477759" w:rsidRPr="00477759">
      <w:pPr>
        <w:jc w:val="both"/>
        <w:rPr>
          <w:rFonts w:cstheme="minorHAnsi" w:eastAsia="Times New Roman"/>
          <w:lang w:eastAsia="fr-FR"/>
        </w:rPr>
      </w:pPr>
      <w:r w:rsidRPr="00477759">
        <w:rPr>
          <w:rFonts w:cstheme="minorHAnsi" w:eastAsia="Times New Roman"/>
          <w:lang w:eastAsia="fr-FR"/>
        </w:rPr>
        <w:t>Les collaborateurs bénéficient d’un accompagnement individuel ou collectif par un psychologue clinicien. La confidentialité des échanges est garantie.</w:t>
      </w:r>
    </w:p>
    <w:p w14:paraId="5823BCB8" w14:textId="77777777" w:rsidP="00477759" w:rsidR="00477759" w:rsidRDefault="00477759" w:rsidRPr="00477759">
      <w:pPr>
        <w:pStyle w:val="Sansinterligne"/>
        <w:spacing w:line="240" w:lineRule="atLeast"/>
        <w:jc w:val="both"/>
        <w:rPr>
          <w:rFonts w:cstheme="minorHAnsi"/>
          <w:b/>
          <w:u w:val="single"/>
        </w:rPr>
      </w:pPr>
    </w:p>
    <w:p w14:paraId="6E0BBB27" w14:textId="5C895417" w:rsidP="00477759" w:rsidR="00477759" w:rsidRDefault="00477759" w:rsidRPr="00477759">
      <w:pPr>
        <w:pStyle w:val="Sansinterligne"/>
        <w:spacing w:line="240" w:lineRule="atLeast"/>
        <w:jc w:val="both"/>
        <w:rPr>
          <w:rFonts w:cstheme="minorHAnsi"/>
          <w:b/>
          <w:u w:val="single"/>
        </w:rPr>
      </w:pPr>
      <w:r w:rsidRPr="00477759">
        <w:rPr>
          <w:rFonts w:cstheme="minorHAnsi"/>
          <w:b/>
          <w:u w:val="single"/>
        </w:rPr>
        <w:t xml:space="preserve">Article </w:t>
      </w:r>
      <w:r w:rsidR="009E57D4">
        <w:rPr>
          <w:rFonts w:cstheme="minorHAnsi"/>
          <w:b/>
          <w:u w:val="single"/>
        </w:rPr>
        <w:t>8</w:t>
      </w:r>
      <w:r w:rsidRPr="00477759">
        <w:rPr>
          <w:rFonts w:cstheme="minorHAnsi"/>
          <w:b/>
          <w:u w:val="single"/>
        </w:rPr>
        <w:t> : Accompagnement dans la scolarité des enfants</w:t>
      </w:r>
    </w:p>
    <w:p w14:paraId="5317BEFA" w14:textId="77777777" w:rsidP="00477759" w:rsidR="00477759" w:rsidRDefault="00477759" w:rsidRPr="00477759">
      <w:pPr>
        <w:pStyle w:val="Sansinterligne"/>
        <w:spacing w:line="240" w:lineRule="atLeast"/>
        <w:jc w:val="both"/>
        <w:rPr>
          <w:rFonts w:cstheme="minorHAnsi"/>
        </w:rPr>
      </w:pPr>
    </w:p>
    <w:p w14:paraId="510667BE" w14:textId="77777777" w:rsidP="00477759" w:rsidR="00477759" w:rsidRDefault="00477759" w:rsidRPr="00477759">
      <w:pPr>
        <w:pStyle w:val="Sansinterligne"/>
        <w:spacing w:line="240" w:lineRule="atLeast"/>
        <w:jc w:val="both"/>
        <w:rPr>
          <w:rFonts w:cstheme="minorHAnsi"/>
        </w:rPr>
      </w:pPr>
      <w:r w:rsidRPr="00477759">
        <w:rPr>
          <w:rFonts w:cstheme="minorHAnsi"/>
        </w:rPr>
        <w:t xml:space="preserve">Les Parties ont convenu de poursuivre le dispositif Campus Parentalité. </w:t>
      </w:r>
    </w:p>
    <w:p w14:paraId="7DC6C594" w14:textId="77777777" w:rsidP="00477759" w:rsidR="00477759" w:rsidRDefault="00477759" w:rsidRPr="00477759">
      <w:pPr>
        <w:pStyle w:val="Sansinterligne"/>
        <w:spacing w:line="240" w:lineRule="atLeast"/>
        <w:jc w:val="both"/>
        <w:rPr>
          <w:rFonts w:cstheme="minorHAnsi"/>
        </w:rPr>
      </w:pPr>
      <w:r w:rsidRPr="00477759">
        <w:rPr>
          <w:rFonts w:cstheme="minorHAnsi"/>
        </w:rPr>
        <w:t>Les salariés parents pourront bénéficier d’une aide dans la scolarité de leurs enfants, à travers la mise à disposition de contenus sur une plateforme digitale.</w:t>
      </w:r>
    </w:p>
    <w:p w14:paraId="4D96ABA3" w14:textId="77777777" w:rsidP="00477759" w:rsidR="00477759" w:rsidRDefault="00477759" w:rsidRPr="00477759">
      <w:pPr>
        <w:pStyle w:val="Sansinterligne"/>
        <w:spacing w:line="240" w:lineRule="atLeast"/>
        <w:rPr>
          <w:rFonts w:cstheme="minorHAnsi"/>
        </w:rPr>
      </w:pPr>
    </w:p>
    <w:p w14:paraId="28436335" w14:textId="77777777" w:rsidP="00477759" w:rsidR="00477759" w:rsidRDefault="00477759" w:rsidRPr="00477759">
      <w:pPr>
        <w:pStyle w:val="Sansinterligne"/>
        <w:spacing w:line="240" w:lineRule="atLeast"/>
        <w:jc w:val="both"/>
        <w:rPr>
          <w:rFonts w:cstheme="minorHAnsi"/>
        </w:rPr>
      </w:pPr>
      <w:r w:rsidRPr="00477759">
        <w:rPr>
          <w:rFonts w:cstheme="minorHAnsi"/>
        </w:rPr>
        <w:t>Cette plateforme propose des prestations variées pour les parents et leurs enfants scolarisés du CP à la terminale :</w:t>
      </w:r>
    </w:p>
    <w:p w14:paraId="3C41BDAC" w14:textId="77777777" w:rsidP="00477759" w:rsidR="00477759" w:rsidRDefault="00477759" w:rsidRPr="00477759">
      <w:pPr>
        <w:pStyle w:val="Sansinterligne"/>
        <w:numPr>
          <w:ilvl w:val="0"/>
          <w:numId w:val="18"/>
        </w:numPr>
        <w:spacing w:line="240" w:lineRule="atLeast"/>
        <w:jc w:val="both"/>
        <w:rPr>
          <w:rFonts w:cstheme="minorHAnsi"/>
        </w:rPr>
      </w:pPr>
      <w:r w:rsidRPr="00477759">
        <w:rPr>
          <w:rFonts w:cstheme="minorHAnsi"/>
        </w:rPr>
        <w:t xml:space="preserve">Des contenus interactifs reprenant le programme scolaire adaptés au niveau de chaque enfant pour progresser à son rythme ; </w:t>
      </w:r>
    </w:p>
    <w:p w14:paraId="41164C05" w14:textId="77777777" w:rsidP="00477759" w:rsidR="00477759" w:rsidRDefault="00477759" w:rsidRPr="00477759">
      <w:pPr>
        <w:pStyle w:val="Sansinterligne"/>
        <w:numPr>
          <w:ilvl w:val="0"/>
          <w:numId w:val="18"/>
        </w:numPr>
        <w:spacing w:line="240" w:lineRule="atLeast"/>
        <w:jc w:val="both"/>
        <w:rPr>
          <w:rFonts w:cstheme="minorHAnsi"/>
        </w:rPr>
      </w:pPr>
      <w:r w:rsidRPr="00477759">
        <w:rPr>
          <w:rFonts w:cstheme="minorHAnsi"/>
        </w:rPr>
        <w:lastRenderedPageBreak/>
        <w:t xml:space="preserve">Des astuces et des conseils pratiques pour accompagner et guider les parents, ainsi que des activités (bricolage, cuisine, etc.) pour inviter les enfants à exprimer leur créativité ; </w:t>
      </w:r>
    </w:p>
    <w:p w14:paraId="0F6F422C" w14:textId="77777777" w:rsidP="00477759" w:rsidR="00477759" w:rsidRDefault="00477759" w:rsidRPr="00477759">
      <w:pPr>
        <w:pStyle w:val="Sansinterligne"/>
        <w:numPr>
          <w:ilvl w:val="0"/>
          <w:numId w:val="18"/>
        </w:numPr>
        <w:spacing w:line="240" w:lineRule="atLeast"/>
        <w:jc w:val="both"/>
        <w:rPr>
          <w:rFonts w:cstheme="minorHAnsi"/>
        </w:rPr>
      </w:pPr>
      <w:r w:rsidRPr="00477759">
        <w:rPr>
          <w:rFonts w:cstheme="minorHAnsi"/>
        </w:rPr>
        <w:t xml:space="preserve">De la lecture et de la documentation pédagogique ; </w:t>
      </w:r>
    </w:p>
    <w:p w14:paraId="3A4A4A1B" w14:textId="77777777" w:rsidP="00477759" w:rsidR="00477759" w:rsidRDefault="00477759" w:rsidRPr="00477759">
      <w:pPr>
        <w:pStyle w:val="Sansinterligne"/>
        <w:numPr>
          <w:ilvl w:val="0"/>
          <w:numId w:val="18"/>
        </w:numPr>
        <w:spacing w:line="240" w:lineRule="atLeast"/>
        <w:jc w:val="both"/>
        <w:rPr>
          <w:rFonts w:cstheme="minorHAnsi"/>
        </w:rPr>
      </w:pPr>
      <w:r w:rsidRPr="00477759">
        <w:rPr>
          <w:rFonts w:cstheme="minorHAnsi"/>
        </w:rPr>
        <w:t xml:space="preserve">Des cours de langue étrangère en ligne. </w:t>
      </w:r>
    </w:p>
    <w:p w14:paraId="4F09C985" w14:textId="77777777" w:rsidP="00477759" w:rsidR="00477759" w:rsidRDefault="00477759" w:rsidRPr="00477759">
      <w:pPr>
        <w:pStyle w:val="Sansinterligne"/>
        <w:spacing w:line="240" w:lineRule="atLeast"/>
        <w:jc w:val="both"/>
        <w:rPr>
          <w:rFonts w:cstheme="minorHAnsi"/>
        </w:rPr>
      </w:pPr>
    </w:p>
    <w:p w14:paraId="4584D9BE" w14:textId="77777777" w:rsidP="00477759" w:rsidR="00477759" w:rsidRDefault="00477759" w:rsidRPr="00477759">
      <w:pPr>
        <w:pStyle w:val="Sansinterligne"/>
        <w:spacing w:line="240" w:lineRule="atLeast"/>
        <w:jc w:val="both"/>
        <w:rPr>
          <w:rFonts w:cstheme="minorHAnsi"/>
        </w:rPr>
      </w:pPr>
      <w:r w:rsidRPr="00477759">
        <w:rPr>
          <w:rFonts w:cstheme="minorHAnsi"/>
        </w:rPr>
        <w:t xml:space="preserve">L’accès à cette plateforme sera gratuit pour les collaborateurs. </w:t>
      </w:r>
    </w:p>
    <w:p w14:paraId="21E6C8D8" w14:textId="7B1D9841" w:rsidP="00417F9F" w:rsidR="00477759" w:rsidRDefault="00477759">
      <w:pPr>
        <w:pStyle w:val="Sansinterligne"/>
        <w:spacing w:line="240" w:lineRule="atLeast"/>
        <w:jc w:val="both"/>
        <w:rPr>
          <w:rFonts w:cstheme="minorHAnsi"/>
          <w:b/>
          <w:bCs/>
          <w:u w:val="single"/>
        </w:rPr>
      </w:pPr>
    </w:p>
    <w:p w14:paraId="3966F01F" w14:textId="77777777" w:rsidP="00417F9F" w:rsidR="00B079DA" w:rsidRDefault="00B079DA" w:rsidRPr="00F0243D">
      <w:pPr>
        <w:pStyle w:val="Sansinterligne"/>
        <w:spacing w:line="240" w:lineRule="atLeast"/>
        <w:jc w:val="both"/>
        <w:rPr>
          <w:rFonts w:cstheme="minorHAnsi"/>
          <w:b/>
          <w:bCs/>
          <w:u w:val="single"/>
        </w:rPr>
      </w:pPr>
    </w:p>
    <w:p w14:paraId="54931EC0" w14:textId="157F4C6F" w:rsidP="00F0243D" w:rsidR="00F0243D" w:rsidRDefault="00F0243D" w:rsidRPr="00F0243D">
      <w:pPr>
        <w:pStyle w:val="Sansinterligne"/>
        <w:spacing w:line="240" w:lineRule="atLeast"/>
        <w:jc w:val="both"/>
        <w:rPr>
          <w:b/>
          <w:bCs/>
          <w:u w:val="single"/>
        </w:rPr>
      </w:pPr>
      <w:r w:rsidRPr="00F0243D">
        <w:rPr>
          <w:b/>
          <w:bCs/>
          <w:u w:val="single"/>
        </w:rPr>
        <w:t xml:space="preserve">Article </w:t>
      </w:r>
      <w:r w:rsidR="009E57D4">
        <w:rPr>
          <w:b/>
          <w:bCs/>
          <w:u w:val="single"/>
        </w:rPr>
        <w:t>9</w:t>
      </w:r>
      <w:r w:rsidRPr="00F0243D">
        <w:rPr>
          <w:b/>
          <w:bCs/>
          <w:u w:val="single"/>
        </w:rPr>
        <w:t xml:space="preserve"> : Plateforme logement</w:t>
      </w:r>
    </w:p>
    <w:p w14:paraId="2B0F8B96" w14:textId="77777777" w:rsidP="00F0243D" w:rsidR="00F0243D" w:rsidRDefault="00F0243D">
      <w:pPr>
        <w:pStyle w:val="Sansinterligne"/>
        <w:spacing w:line="240" w:lineRule="atLeast"/>
        <w:jc w:val="both"/>
      </w:pPr>
    </w:p>
    <w:p w14:paraId="0E6AB92F" w14:textId="77777777" w:rsidP="00F0243D" w:rsidR="00F0243D" w:rsidRDefault="00F0243D">
      <w:pPr>
        <w:pStyle w:val="Sansinterligne"/>
        <w:spacing w:line="240" w:lineRule="atLeast"/>
        <w:jc w:val="both"/>
      </w:pPr>
      <w:r>
        <w:t>Le dispositif « Mieux Loger Vos Salariés » est reconduit pour un an.</w:t>
      </w:r>
    </w:p>
    <w:p w14:paraId="2F4F02B0" w14:textId="77777777" w:rsidP="00F0243D" w:rsidR="00F0243D" w:rsidRDefault="00F0243D">
      <w:pPr>
        <w:pStyle w:val="Sansinterligne"/>
        <w:spacing w:line="240" w:lineRule="atLeast"/>
        <w:jc w:val="both"/>
      </w:pPr>
    </w:p>
    <w:p w14:paraId="0526DFC6" w14:textId="77777777" w:rsidP="00F0243D" w:rsidR="00F0243D" w:rsidRDefault="00F0243D">
      <w:pPr>
        <w:pStyle w:val="Sansinterligne"/>
        <w:spacing w:line="240" w:lineRule="atLeast"/>
        <w:jc w:val="both"/>
      </w:pPr>
      <w:r>
        <w:t>Des conseillers spécialisés dans le logement sont à l’écoute des collaborateurs pour les aider et les conseiller dans leur recherche de logement.</w:t>
      </w:r>
    </w:p>
    <w:p w14:paraId="3F636D7F" w14:textId="77777777" w:rsidP="00F0243D" w:rsidR="00F0243D" w:rsidRDefault="00F0243D">
      <w:pPr>
        <w:pStyle w:val="Sansinterligne"/>
        <w:spacing w:line="240" w:lineRule="atLeast"/>
        <w:jc w:val="both"/>
      </w:pPr>
    </w:p>
    <w:p w14:paraId="646C6E50" w14:textId="77777777" w:rsidP="00F0243D" w:rsidR="00F0243D" w:rsidRDefault="00F0243D">
      <w:pPr>
        <w:pStyle w:val="Sansinterligne"/>
        <w:spacing w:line="240" w:lineRule="atLeast"/>
        <w:jc w:val="both"/>
      </w:pPr>
      <w:r>
        <w:t>Le rôle du conseiller est :</w:t>
      </w:r>
    </w:p>
    <w:p w14:paraId="2ED0D059" w14:textId="0A42080C" w:rsidP="005E6E1B" w:rsidR="00F0243D" w:rsidRDefault="00F0243D">
      <w:pPr>
        <w:pStyle w:val="Sansinterligne"/>
        <w:numPr>
          <w:ilvl w:val="0"/>
          <w:numId w:val="21"/>
        </w:numPr>
        <w:spacing w:line="240" w:lineRule="atLeast"/>
        <w:jc w:val="both"/>
      </w:pPr>
      <w:r>
        <w:t>Etudier la situation du salarié et ses besoins ;</w:t>
      </w:r>
    </w:p>
    <w:p w14:paraId="1BD5C5A5" w14:textId="6D2D3B0B" w:rsidP="005E6E1B" w:rsidR="00F0243D" w:rsidRDefault="00F0243D">
      <w:pPr>
        <w:pStyle w:val="Sansinterligne"/>
        <w:numPr>
          <w:ilvl w:val="0"/>
          <w:numId w:val="21"/>
        </w:numPr>
        <w:spacing w:line="240" w:lineRule="atLeast"/>
        <w:jc w:val="both"/>
      </w:pPr>
      <w:r>
        <w:t>Lancer une recherche de logement et accompagner le salarié ;</w:t>
      </w:r>
    </w:p>
    <w:p w14:paraId="730C0036" w14:textId="7B3F1412" w:rsidP="005E6E1B" w:rsidR="00F0243D" w:rsidRDefault="00F0243D">
      <w:pPr>
        <w:pStyle w:val="Sansinterligne"/>
        <w:numPr>
          <w:ilvl w:val="0"/>
          <w:numId w:val="21"/>
        </w:numPr>
        <w:spacing w:line="240" w:lineRule="atLeast"/>
        <w:jc w:val="both"/>
      </w:pPr>
      <w:r>
        <w:t>Être un interlocuteur dédié pour le salarié.</w:t>
      </w:r>
    </w:p>
    <w:p w14:paraId="2E711D71" w14:textId="77777777" w:rsidP="00F0243D" w:rsidR="00F0243D" w:rsidRDefault="00F0243D">
      <w:pPr>
        <w:pStyle w:val="Sansinterligne"/>
        <w:spacing w:line="240" w:lineRule="atLeast"/>
        <w:jc w:val="both"/>
      </w:pPr>
    </w:p>
    <w:p w14:paraId="44833B69" w14:textId="77777777" w:rsidP="00F0243D" w:rsidR="00F0243D" w:rsidRDefault="00F0243D">
      <w:pPr>
        <w:pStyle w:val="Sansinterligne"/>
        <w:spacing w:line="240" w:lineRule="atLeast"/>
        <w:jc w:val="both"/>
      </w:pPr>
      <w:r>
        <w:t>Ce dispositif vient en complément du service « Action Logement ».</w:t>
      </w:r>
    </w:p>
    <w:p w14:paraId="798B104B" w14:textId="77777777" w:rsidP="00F0243D" w:rsidR="00F0243D" w:rsidRDefault="00F0243D">
      <w:pPr>
        <w:pStyle w:val="Sansinterligne"/>
        <w:spacing w:line="240" w:lineRule="atLeast"/>
        <w:jc w:val="both"/>
      </w:pPr>
    </w:p>
    <w:p w14:paraId="66FD15B0" w14:textId="77777777" w:rsidP="00F0243D" w:rsidR="00F0243D" w:rsidRDefault="00F0243D">
      <w:pPr>
        <w:pStyle w:val="Sansinterligne"/>
        <w:spacing w:line="240" w:lineRule="atLeast"/>
        <w:jc w:val="both"/>
      </w:pPr>
      <w:r>
        <w:t>Le salarié peut être aidé dans sa recherche de :</w:t>
      </w:r>
    </w:p>
    <w:p w14:paraId="1635F84D" w14:textId="43FB4AA2" w:rsidP="008E27F4" w:rsidR="00F0243D" w:rsidRDefault="00F0243D">
      <w:pPr>
        <w:pStyle w:val="Sansinterligne"/>
        <w:numPr>
          <w:ilvl w:val="0"/>
          <w:numId w:val="25"/>
        </w:numPr>
        <w:spacing w:line="240" w:lineRule="atLeast"/>
        <w:jc w:val="both"/>
      </w:pPr>
      <w:r>
        <w:t>Logement dans le parc privé ;</w:t>
      </w:r>
    </w:p>
    <w:p w14:paraId="2F836303" w14:textId="2BF36C6C" w:rsidP="008E27F4" w:rsidR="00F0243D" w:rsidRDefault="00F0243D">
      <w:pPr>
        <w:pStyle w:val="Sansinterligne"/>
        <w:numPr>
          <w:ilvl w:val="0"/>
          <w:numId w:val="25"/>
        </w:numPr>
        <w:spacing w:line="240" w:lineRule="atLeast"/>
        <w:jc w:val="both"/>
      </w:pPr>
      <w:r>
        <w:t>Mise en vente ou en location d’un logement ;</w:t>
      </w:r>
    </w:p>
    <w:p w14:paraId="1CA33439" w14:textId="34933830" w:rsidP="008E27F4" w:rsidR="00183A36" w:rsidRDefault="00F0243D">
      <w:pPr>
        <w:pStyle w:val="Sansinterligne"/>
        <w:numPr>
          <w:ilvl w:val="0"/>
          <w:numId w:val="25"/>
        </w:numPr>
        <w:spacing w:line="240" w:lineRule="atLeast"/>
        <w:jc w:val="both"/>
      </w:pPr>
      <w:r>
        <w:t>Location, sans frais d’agence.</w:t>
      </w:r>
    </w:p>
    <w:p w14:paraId="615B9627" w14:textId="15501B6E" w:rsidP="00367F7E" w:rsidR="00183A36" w:rsidRDefault="00183A36">
      <w:pPr>
        <w:pStyle w:val="Sansinterligne"/>
        <w:spacing w:line="240" w:lineRule="atLeast"/>
        <w:jc w:val="both"/>
      </w:pPr>
    </w:p>
    <w:p w14:paraId="3D38F7D8" w14:textId="77777777" w:rsidP="00367F7E" w:rsidR="008E27F4" w:rsidRDefault="008E27F4">
      <w:pPr>
        <w:pStyle w:val="Sansinterligne"/>
        <w:spacing w:line="240" w:lineRule="atLeast"/>
        <w:jc w:val="both"/>
      </w:pPr>
    </w:p>
    <w:p w14:paraId="62DBC0FC" w14:textId="0988BC29" w:rsidP="00BB0DE1" w:rsidR="00BB0DE1" w:rsidRDefault="00BB0DE1">
      <w:pPr>
        <w:keepNext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Article </w:t>
      </w:r>
      <w:r w:rsidR="009E57D4">
        <w:rPr>
          <w:rFonts w:cs="Arial"/>
          <w:b/>
          <w:u w:val="single"/>
        </w:rPr>
        <w:t xml:space="preserve">10 </w:t>
      </w:r>
      <w:r>
        <w:rPr>
          <w:rFonts w:cs="Arial"/>
          <w:b/>
          <w:u w:val="single"/>
        </w:rPr>
        <w:t>-   Date d’application et durée de l’accord</w:t>
      </w:r>
    </w:p>
    <w:p w14:paraId="4F6EC76D" w14:textId="28A4DBE6" w:rsidP="00BA15ED" w:rsidR="00BA15ED" w:rsidRDefault="00BA15ED" w:rsidRPr="00BA15ED">
      <w:pPr>
        <w:jc w:val="both"/>
        <w:rPr>
          <w:rFonts w:cs="Arial"/>
        </w:rPr>
      </w:pPr>
      <w:r w:rsidRPr="00BA15ED">
        <w:rPr>
          <w:rFonts w:cs="Arial"/>
        </w:rPr>
        <w:t>Le présent accord est conclu pour une durée déterminée d’un (1) an, dans le cadre de la négociation annuelle obligatoire pour 202</w:t>
      </w:r>
      <w:r>
        <w:rPr>
          <w:rFonts w:cs="Arial"/>
        </w:rPr>
        <w:t>2</w:t>
      </w:r>
      <w:r w:rsidRPr="00BA15ED">
        <w:rPr>
          <w:rFonts w:cs="Arial"/>
        </w:rPr>
        <w:t>. Il prend effet à compter du 1</w:t>
      </w:r>
      <w:r w:rsidRPr="00BA15ED">
        <w:rPr>
          <w:rFonts w:cs="Arial"/>
          <w:vertAlign w:val="superscript"/>
        </w:rPr>
        <w:t>er</w:t>
      </w:r>
      <w:r>
        <w:rPr>
          <w:rFonts w:cs="Arial"/>
        </w:rPr>
        <w:t xml:space="preserve"> avril</w:t>
      </w:r>
      <w:r w:rsidRPr="00BA15ED">
        <w:rPr>
          <w:rFonts w:cs="Arial"/>
        </w:rPr>
        <w:t xml:space="preserve"> 202</w:t>
      </w:r>
      <w:r>
        <w:rPr>
          <w:rFonts w:cs="Arial"/>
        </w:rPr>
        <w:t xml:space="preserve">2 </w:t>
      </w:r>
      <w:r w:rsidRPr="00BA15ED">
        <w:rPr>
          <w:rFonts w:cs="Arial"/>
        </w:rPr>
        <w:t>et jusqu’au 3</w:t>
      </w:r>
      <w:r>
        <w:rPr>
          <w:rFonts w:cs="Arial"/>
        </w:rPr>
        <w:t>1 mars</w:t>
      </w:r>
      <w:r w:rsidRPr="00BA15ED">
        <w:rPr>
          <w:rFonts w:cs="Arial"/>
        </w:rPr>
        <w:t xml:space="preserve"> 202</w:t>
      </w:r>
      <w:r>
        <w:rPr>
          <w:rFonts w:cs="Arial"/>
        </w:rPr>
        <w:t>3</w:t>
      </w:r>
      <w:r w:rsidRPr="00BA15ED">
        <w:rPr>
          <w:rFonts w:cs="Arial"/>
        </w:rPr>
        <w:t xml:space="preserve">, sauf dates et durées spécifiques d’application de certaines mesures, expressément indiquées dans les articles concernés. </w:t>
      </w:r>
    </w:p>
    <w:p w14:paraId="2E188E11" w14:textId="2A314B27" w:rsidP="00B079DA" w:rsidR="007C37F0" w:rsidRDefault="00BA15ED">
      <w:pPr>
        <w:spacing w:after="0" w:line="240" w:lineRule="auto"/>
        <w:jc w:val="both"/>
        <w:rPr>
          <w:rFonts w:cs="Arial"/>
        </w:rPr>
      </w:pPr>
      <w:r w:rsidRPr="00BA15ED">
        <w:rPr>
          <w:rFonts w:cs="Arial"/>
        </w:rPr>
        <w:t>Au terme de cette durée d’un an, il prendra fin automatiquement.</w:t>
      </w:r>
    </w:p>
    <w:p w14:paraId="401CEB2A" w14:textId="7F3DEED2" w:rsidP="00B079DA" w:rsidR="00B079DA" w:rsidRDefault="00B079DA">
      <w:pPr>
        <w:spacing w:after="0" w:line="240" w:lineRule="auto"/>
        <w:jc w:val="both"/>
        <w:rPr>
          <w:rFonts w:cs="Arial"/>
        </w:rPr>
      </w:pPr>
    </w:p>
    <w:p w14:paraId="05FFFBD5" w14:textId="77777777" w:rsidP="00B079DA" w:rsidR="00B079DA" w:rsidRDefault="00B079DA" w:rsidRPr="00B079DA">
      <w:pPr>
        <w:spacing w:after="0" w:line="240" w:lineRule="auto"/>
        <w:jc w:val="both"/>
        <w:rPr>
          <w:rFonts w:cs="Arial"/>
        </w:rPr>
      </w:pPr>
    </w:p>
    <w:p w14:paraId="436E9B46" w14:textId="718132CB" w:rsidP="00BB0DE1" w:rsidR="00BB0DE1" w:rsidRDefault="00BB0DE1">
      <w:pPr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Article </w:t>
      </w:r>
      <w:r w:rsidR="00BA15ED">
        <w:rPr>
          <w:rFonts w:cs="Arial"/>
          <w:b/>
          <w:u w:val="single"/>
        </w:rPr>
        <w:t>1</w:t>
      </w:r>
      <w:r w:rsidR="009E57D4">
        <w:rPr>
          <w:rFonts w:cs="Arial"/>
          <w:b/>
          <w:u w:val="single"/>
        </w:rPr>
        <w:t>1</w:t>
      </w:r>
      <w:r>
        <w:rPr>
          <w:rFonts w:cs="Arial"/>
          <w:b/>
          <w:u w:val="single"/>
        </w:rPr>
        <w:t xml:space="preserve"> - </w:t>
      </w:r>
      <w:r w:rsidR="00957584">
        <w:rPr>
          <w:rFonts w:cs="Arial"/>
          <w:b/>
          <w:u w:val="single"/>
        </w:rPr>
        <w:t>Publicité et formalités de</w:t>
      </w:r>
      <w:r w:rsidR="006A6AE0">
        <w:rPr>
          <w:rFonts w:cs="Arial"/>
          <w:b/>
          <w:u w:val="single"/>
        </w:rPr>
        <w:t xml:space="preserve"> d</w:t>
      </w:r>
      <w:r>
        <w:rPr>
          <w:rFonts w:cs="Arial"/>
          <w:b/>
          <w:u w:val="single"/>
        </w:rPr>
        <w:t>épôt de l’accord</w:t>
      </w:r>
    </w:p>
    <w:p w14:paraId="4F36C156" w14:textId="77777777" w:rsidP="00D0585D" w:rsidR="00D0585D" w:rsidRDefault="00D0585D" w:rsidRPr="00D0585D">
      <w:pPr>
        <w:jc w:val="both"/>
        <w:rPr>
          <w:rFonts w:cs="Arial"/>
        </w:rPr>
      </w:pPr>
      <w:r w:rsidRPr="00D0585D">
        <w:rPr>
          <w:rFonts w:cs="Arial"/>
        </w:rPr>
        <w:t xml:space="preserve">La validité du présent accord est </w:t>
      </w:r>
      <w:proofErr w:type="gramStart"/>
      <w:r w:rsidRPr="00D0585D">
        <w:rPr>
          <w:rFonts w:cs="Arial"/>
        </w:rPr>
        <w:t>subordonnée</w:t>
      </w:r>
      <w:proofErr w:type="gramEnd"/>
      <w:r w:rsidRPr="00D0585D">
        <w:rPr>
          <w:rFonts w:cs="Arial"/>
        </w:rPr>
        <w:t xml:space="preserve"> aux conditions précisées par l’article L.2232-12 du Code du travail. Dès lors que ces conditions seront remplies, il sera déposé à la DRIEETS, ainsi qu'au greffe du Conseil de prud'hommes compétent.</w:t>
      </w:r>
    </w:p>
    <w:p w14:paraId="65F1A6C5" w14:textId="77777777" w:rsidP="00D0585D" w:rsidR="00D0585D" w:rsidRDefault="00D0585D" w:rsidRPr="00D0585D">
      <w:pPr>
        <w:jc w:val="both"/>
        <w:rPr>
          <w:rFonts w:cs="Arial"/>
        </w:rPr>
      </w:pPr>
      <w:r w:rsidRPr="00D0585D">
        <w:rPr>
          <w:rFonts w:cs="Arial"/>
        </w:rPr>
        <w:t xml:space="preserve">Il fera également l’objet d’un dépôt sur la plateforme de téléprocédure « </w:t>
      </w:r>
      <w:proofErr w:type="spellStart"/>
      <w:r w:rsidRPr="00D0585D">
        <w:rPr>
          <w:rFonts w:cs="Arial"/>
        </w:rPr>
        <w:t>TéléAccord</w:t>
      </w:r>
      <w:proofErr w:type="spellEnd"/>
      <w:r w:rsidRPr="00D0585D">
        <w:rPr>
          <w:rFonts w:cs="Arial"/>
        </w:rPr>
        <w:t xml:space="preserve"> » à l’adresse suivante www.teleaccords.travail-emploi.gouv.fr, conformément aux dispositions légales applicables. </w:t>
      </w:r>
    </w:p>
    <w:p w14:paraId="11A7A328" w14:textId="77777777" w:rsidP="00D0585D" w:rsidR="00D0585D" w:rsidRDefault="00D0585D" w:rsidRPr="00D0585D">
      <w:pPr>
        <w:jc w:val="both"/>
        <w:rPr>
          <w:rFonts w:cs="Arial"/>
        </w:rPr>
      </w:pPr>
      <w:r w:rsidRPr="00D0585D">
        <w:rPr>
          <w:rFonts w:cs="Arial"/>
        </w:rPr>
        <w:t xml:space="preserve">Il entrera en vigueur dès le lendemain de l’accomplissement des formalités de dépôt. </w:t>
      </w:r>
    </w:p>
    <w:p w14:paraId="0D9A2E45" w14:textId="739321E6" w:rsidP="00D0585D" w:rsidR="00CE59A3" w:rsidRDefault="00D0585D" w:rsidRPr="00A678F5">
      <w:pPr>
        <w:jc w:val="both"/>
      </w:pPr>
      <w:r w:rsidRPr="00D0585D">
        <w:rPr>
          <w:rFonts w:cs="Arial"/>
        </w:rPr>
        <w:t>Il sera versé dans la base de données prévue à l'article L. 2231-5-1 du Code du travail, après anonymisation, dans sa version destinée à la publication.</w:t>
      </w:r>
    </w:p>
    <w:p w14:paraId="39E5B21A" w14:textId="77777777" w:rsidP="00A678F5" w:rsidR="00D0585D" w:rsidRDefault="00D0585D">
      <w:pPr>
        <w:jc w:val="both"/>
      </w:pPr>
    </w:p>
    <w:p w14:paraId="6EEDBE24" w14:textId="54651685" w:rsidP="00A678F5" w:rsidR="00CF722A" w:rsidRDefault="00D0585D">
      <w:pPr>
        <w:jc w:val="both"/>
      </w:pPr>
      <w:r>
        <w:t>F</w:t>
      </w:r>
      <w:r w:rsidR="00CF722A" w:rsidRPr="00A678F5">
        <w:t xml:space="preserve">ait à Paris, </w:t>
      </w:r>
      <w:r w:rsidR="00CF722A" w:rsidRPr="00201BF8">
        <w:t xml:space="preserve">le </w:t>
      </w:r>
      <w:r w:rsidR="00201BF8" w:rsidRPr="00201BF8">
        <w:t>4</w:t>
      </w:r>
      <w:r>
        <w:t xml:space="preserve"> avril 2022</w:t>
      </w:r>
      <w:r w:rsidR="00CF722A" w:rsidRPr="00A678F5">
        <w:t xml:space="preserve">, en </w:t>
      </w:r>
      <w:r w:rsidR="00B32436" w:rsidRPr="00A678F5">
        <w:t>quatre</w:t>
      </w:r>
      <w:r w:rsidR="00CF722A" w:rsidRPr="00A678F5">
        <w:t xml:space="preserve"> (</w:t>
      </w:r>
      <w:r w:rsidR="00B32436" w:rsidRPr="00A678F5">
        <w:t>4</w:t>
      </w:r>
      <w:r w:rsidR="00CF722A" w:rsidRPr="00A678F5">
        <w:t>) exemplaires originaux.</w:t>
      </w:r>
    </w:p>
    <w:p w14:paraId="31A46A4F" w14:textId="77777777" w:rsidP="00A678F5" w:rsidR="006C1590" w:rsidRDefault="006C1590">
      <w:pPr>
        <w:jc w:val="both"/>
      </w:pPr>
    </w:p>
    <w:p w14:paraId="0B8F1CAA" w14:textId="77777777" w:rsidP="00A678F5" w:rsidR="006C1590" w:rsidRDefault="006C1590">
      <w:pPr>
        <w:jc w:val="both"/>
      </w:pPr>
    </w:p>
    <w:p w14:paraId="0C4B4F92" w14:textId="77777777" w:rsidP="00A678F5" w:rsidR="006C1590" w:rsidRDefault="006C1590">
      <w:pPr>
        <w:jc w:val="both"/>
      </w:pPr>
    </w:p>
    <w:p w14:paraId="40385527" w14:textId="22F63F2A" w:rsidP="006C1590" w:rsidR="006C1590" w:rsidRDefault="006C1590" w:rsidRPr="002679D1">
      <w:pPr>
        <w:keepNext/>
        <w:jc w:val="both"/>
        <w:rPr>
          <w:rFonts w:cstheme="minorHAnsi"/>
        </w:rPr>
      </w:pPr>
      <w:r w:rsidRPr="002679D1">
        <w:rPr>
          <w:rFonts w:cstheme="minorHAnsi"/>
        </w:rPr>
        <w:t xml:space="preserve">Pour la société </w:t>
      </w:r>
      <w:r w:rsidR="003120B5">
        <w:rPr>
          <w:rFonts w:cstheme="minorHAnsi"/>
        </w:rPr>
        <w:t>KING GOBELINS</w:t>
      </w:r>
      <w:r w:rsidRPr="002679D1">
        <w:rPr>
          <w:rFonts w:cstheme="minorHAnsi"/>
        </w:rPr>
        <w:t>, représentée pa</w:t>
      </w:r>
      <w:r w:rsidRPr="00D0585D">
        <w:rPr>
          <w:rFonts w:cstheme="minorHAnsi"/>
        </w:rPr>
        <w:t xml:space="preserve">r </w:t>
      </w:r>
      <w:r w:rsidR="000C2ECA">
        <w:t>M_____________</w:t>
      </w:r>
      <w:r w:rsidR="000C2ECA">
        <w:t xml:space="preserve"> </w:t>
      </w:r>
      <w:r w:rsidR="00FE181B" w:rsidRPr="009E57D4">
        <w:rPr>
          <w:rFonts w:cstheme="minorHAnsi"/>
        </w:rPr>
        <w:t>:</w:t>
      </w:r>
    </w:p>
    <w:p w14:paraId="4C278D16" w14:textId="77777777" w:rsidP="006C1590" w:rsidR="006C1590" w:rsidRDefault="006C1590" w:rsidRPr="002679D1">
      <w:pPr>
        <w:keepNext/>
        <w:jc w:val="both"/>
        <w:rPr>
          <w:rFonts w:cstheme="minorHAnsi"/>
        </w:rPr>
      </w:pPr>
    </w:p>
    <w:p w14:paraId="245C6F9E" w14:textId="77777777" w:rsidP="006C1590" w:rsidR="006C1590" w:rsidRDefault="006C1590">
      <w:pPr>
        <w:keepNext/>
        <w:jc w:val="both"/>
        <w:rPr>
          <w:rFonts w:cstheme="minorHAnsi"/>
        </w:rPr>
      </w:pPr>
    </w:p>
    <w:p w14:paraId="0932C616" w14:textId="77777777" w:rsidP="006C1590" w:rsidR="006C1590" w:rsidRDefault="006C1590">
      <w:pPr>
        <w:keepNext/>
        <w:jc w:val="both"/>
        <w:rPr>
          <w:rFonts w:cstheme="minorHAnsi"/>
        </w:rPr>
      </w:pPr>
    </w:p>
    <w:p w14:paraId="7BE5EA9E" w14:textId="77777777" w:rsidP="006C1590" w:rsidR="006C1590" w:rsidRDefault="006C1590">
      <w:pPr>
        <w:keepNext/>
        <w:jc w:val="both"/>
        <w:rPr>
          <w:rFonts w:cstheme="minorHAnsi"/>
        </w:rPr>
      </w:pPr>
    </w:p>
    <w:p w14:paraId="3E66AB2E" w14:textId="77777777" w:rsidP="006C1590" w:rsidR="006C1590" w:rsidRDefault="006C1590" w:rsidRPr="002679D1">
      <w:pPr>
        <w:keepNext/>
        <w:jc w:val="both"/>
        <w:rPr>
          <w:rFonts w:cstheme="minorHAnsi"/>
        </w:rPr>
      </w:pPr>
    </w:p>
    <w:p w14:paraId="03C1E040" w14:textId="71C10F8C" w:rsidP="006C1590" w:rsidR="006C1590" w:rsidRDefault="006C1590" w:rsidRPr="002679D1">
      <w:pPr>
        <w:shd w:color="auto" w:fill="FFFFFF" w:val="clear"/>
        <w:rPr>
          <w:rFonts w:cstheme="minorHAnsi"/>
        </w:rPr>
      </w:pPr>
      <w:r w:rsidRPr="002679D1">
        <w:rPr>
          <w:rFonts w:cstheme="minorHAnsi"/>
        </w:rPr>
        <w:t xml:space="preserve">Pour la </w:t>
      </w:r>
      <w:r w:rsidR="00FE181B" w:rsidRPr="00FE181B">
        <w:rPr>
          <w:rFonts w:cstheme="minorHAnsi"/>
        </w:rPr>
        <w:t>CGT</w:t>
      </w:r>
      <w:r w:rsidRPr="00FE181B">
        <w:rPr>
          <w:rFonts w:cstheme="minorHAnsi"/>
        </w:rPr>
        <w:t>, représentée</w:t>
      </w:r>
      <w:r w:rsidRPr="002679D1">
        <w:rPr>
          <w:rFonts w:cstheme="minorHAnsi"/>
        </w:rPr>
        <w:t xml:space="preserve"> par</w:t>
      </w:r>
      <w:r w:rsidRPr="00273C60">
        <w:t xml:space="preserve"> </w:t>
      </w:r>
      <w:r w:rsidR="000C2ECA">
        <w:t>M_____________</w:t>
      </w:r>
      <w:r w:rsidR="00FE181B">
        <w:t>, en</w:t>
      </w:r>
      <w:r w:rsidRPr="002679D1">
        <w:rPr>
          <w:rFonts w:cstheme="minorHAnsi"/>
        </w:rPr>
        <w:t xml:space="preserve"> sa qualité de délégué syndical</w:t>
      </w:r>
      <w:r>
        <w:rPr>
          <w:rFonts w:cstheme="minorHAnsi"/>
        </w:rPr>
        <w:t> :</w:t>
      </w:r>
    </w:p>
    <w:sectPr w:rsidR="006C1590" w:rsidRPr="002679D1" w:rsidSect="00FE657B">
      <w:headerReference r:id="rId8" w:type="default"/>
      <w:footerReference r:id="rId9" w:type="default"/>
      <w:pgSz w:h="16838" w:w="11906"/>
      <w:pgMar w:bottom="1417" w:footer="708" w:gutter="0" w:header="708" w:left="1417" w:right="1417" w:top="12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99CF8" w14:textId="77777777" w:rsidR="008507ED" w:rsidRDefault="008507ED">
      <w:pPr>
        <w:spacing w:after="0" w:line="240" w:lineRule="auto"/>
      </w:pPr>
      <w:r>
        <w:separator/>
      </w:r>
    </w:p>
  </w:endnote>
  <w:endnote w:type="continuationSeparator" w:id="0">
    <w:p w14:paraId="1EBEC7B8" w14:textId="77777777" w:rsidR="008507ED" w:rsidRDefault="0085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id w:val="4422005"/>
      <w:docPartObj>
        <w:docPartGallery w:val="Page Numbers (Bottom of Page)"/>
        <w:docPartUnique/>
      </w:docPartObj>
    </w:sdtPr>
    <w:sdtEndPr/>
    <w:sdtContent>
      <w:p w14:paraId="040B3066" w14:textId="77777777" w:rsidP="00C13E7A" w:rsidR="00C13E7A" w:rsidRDefault="00B461DB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0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3A17CE2E" w14:textId="77777777" w:rsidR="008507ED" w:rsidRDefault="008507ED">
      <w:pPr>
        <w:spacing w:after="0" w:line="240" w:lineRule="auto"/>
      </w:pPr>
      <w:r>
        <w:separator/>
      </w:r>
    </w:p>
  </w:footnote>
  <w:footnote w:id="0" w:type="continuationSeparator">
    <w:p w14:paraId="408AFF6E" w14:textId="77777777" w:rsidR="008507ED" w:rsidRDefault="00850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ACC122C" w14:textId="77777777" w:rsidR="008F0707" w:rsidRDefault="008F0707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33" o:bullet="t" style="width:100.5pt;height:411pt" type="#_x0000_t75">
        <v:imagedata o:title="art7D9B" r:id="rId1"/>
      </v:shape>
    </w:pict>
  </w:numPicBullet>
  <w:abstractNum w15:restartNumberingAfterBreak="0" w:abstractNumId="0">
    <w:nsid w:val="00474337"/>
    <w:multiLevelType w:val="hybridMultilevel"/>
    <w:tmpl w:val="CAACE10E"/>
    <w:lvl w:ilvl="0" w:tplc="DB6C5972">
      <w:start w:val="2"/>
      <w:numFmt w:val="bullet"/>
      <w:lvlText w:val="-"/>
      <w:lvlJc w:val="left"/>
      <w:pPr>
        <w:ind w:hanging="360" w:left="720"/>
      </w:pPr>
      <w:rPr>
        <w:rFonts w:ascii="Arial Narrow" w:cstheme="minorBidi" w:eastAsiaTheme="minorHAns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20112D2"/>
    <w:multiLevelType w:val="hybridMultilevel"/>
    <w:tmpl w:val="504E537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2E36D36"/>
    <w:multiLevelType w:val="hybridMultilevel"/>
    <w:tmpl w:val="B6C098D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A6A13D7"/>
    <w:multiLevelType w:val="hybridMultilevel"/>
    <w:tmpl w:val="C700DF04"/>
    <w:lvl w:ilvl="0" w:tplc="9B185ADA">
      <w:numFmt w:val="bullet"/>
      <w:lvlText w:val="•"/>
      <w:lvlJc w:val="left"/>
      <w:pPr>
        <w:ind w:hanging="710" w:left="107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DCD740A"/>
    <w:multiLevelType w:val="hybridMultilevel"/>
    <w:tmpl w:val="F396415E"/>
    <w:lvl w:ilvl="0" w:tplc="B9C07976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E4570B4"/>
    <w:multiLevelType w:val="hybridMultilevel"/>
    <w:tmpl w:val="31AE589C"/>
    <w:lvl w:ilvl="0" w:tplc="B9C07976">
      <w:numFmt w:val="bullet"/>
      <w:lvlText w:val="-"/>
      <w:lvlJc w:val="left"/>
      <w:pPr>
        <w:ind w:hanging="360" w:left="36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6">
    <w:nsid w:val="1F676CD3"/>
    <w:multiLevelType w:val="hybridMultilevel"/>
    <w:tmpl w:val="39C499C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23B5CB9"/>
    <w:multiLevelType w:val="hybridMultilevel"/>
    <w:tmpl w:val="08C829C6"/>
    <w:lvl w:ilvl="0" w:tplc="075CB0E0">
      <w:numFmt w:val="bullet"/>
      <w:lvlText w:val="–"/>
      <w:lvlJc w:val="left"/>
      <w:pPr>
        <w:ind w:hanging="760" w:left="11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8BE4D92"/>
    <w:multiLevelType w:val="hybridMultilevel"/>
    <w:tmpl w:val="B6C098D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2B6172B1"/>
    <w:multiLevelType w:val="hybridMultilevel"/>
    <w:tmpl w:val="A0406572"/>
    <w:lvl w:ilvl="0" w:tplc="755E0DF0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07C4313"/>
    <w:multiLevelType w:val="hybridMultilevel"/>
    <w:tmpl w:val="D056EB6A"/>
    <w:lvl w:ilvl="0" w:tplc="B9C07976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3156B4B"/>
    <w:multiLevelType w:val="hybridMultilevel"/>
    <w:tmpl w:val="DC3A2944"/>
    <w:lvl w:ilvl="0" w:tplc="075CB0E0">
      <w:numFmt w:val="bullet"/>
      <w:lvlText w:val="–"/>
      <w:lvlJc w:val="left"/>
      <w:pPr>
        <w:ind w:hanging="760" w:left="11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4153F21"/>
    <w:multiLevelType w:val="hybridMultilevel"/>
    <w:tmpl w:val="FA40F3AA"/>
    <w:lvl w:ilvl="0" w:tplc="B9326C5E">
      <w:numFmt w:val="bullet"/>
      <w:lvlText w:val="-"/>
      <w:lvlJc w:val="left"/>
      <w:pPr>
        <w:ind w:hanging="360" w:left="1353"/>
      </w:pPr>
      <w:rPr>
        <w:rFonts w:ascii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73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9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1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233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95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7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93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13"/>
      </w:pPr>
      <w:rPr>
        <w:rFonts w:ascii="Wingdings" w:hAnsi="Wingdings" w:hint="default"/>
      </w:rPr>
    </w:lvl>
  </w:abstractNum>
  <w:abstractNum w15:restartNumberingAfterBreak="0" w:abstractNumId="13">
    <w:nsid w:val="35802AE6"/>
    <w:multiLevelType w:val="hybridMultilevel"/>
    <w:tmpl w:val="C5F8775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C38762E"/>
    <w:multiLevelType w:val="hybridMultilevel"/>
    <w:tmpl w:val="39A6FB90"/>
    <w:lvl w:ilvl="0" w:tplc="59B29010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2742B00"/>
    <w:multiLevelType w:val="hybridMultilevel"/>
    <w:tmpl w:val="5792FCFC"/>
    <w:lvl w:ilvl="0" w:tplc="CC1E44D0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7EC65DB"/>
    <w:multiLevelType w:val="hybridMultilevel"/>
    <w:tmpl w:val="124E92D4"/>
    <w:lvl w:ilvl="0" w:tplc="983E2CC0">
      <w:start w:val="3"/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3AE72C9"/>
    <w:multiLevelType w:val="hybridMultilevel"/>
    <w:tmpl w:val="92F68F2A"/>
    <w:lvl w:ilvl="0" w:tplc="B9C07976">
      <w:numFmt w:val="bullet"/>
      <w:lvlText w:val="-"/>
      <w:lvlJc w:val="left"/>
      <w:pPr>
        <w:ind w:hanging="710" w:left="107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D4B4550"/>
    <w:multiLevelType w:val="hybridMultilevel"/>
    <w:tmpl w:val="E0F6F2C2"/>
    <w:lvl w:ilvl="0" w:tplc="7626FD60">
      <w:start w:val="6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6841005"/>
    <w:multiLevelType w:val="hybridMultilevel"/>
    <w:tmpl w:val="98A68B5C"/>
    <w:lvl w:ilvl="0" w:tplc="DB6C5972">
      <w:start w:val="2"/>
      <w:numFmt w:val="bullet"/>
      <w:lvlText w:val="-"/>
      <w:lvlJc w:val="left"/>
      <w:pPr>
        <w:ind w:hanging="360" w:left="720"/>
      </w:pPr>
      <w:rPr>
        <w:rFonts w:ascii="Arial Narrow" w:cstheme="minorBidi" w:eastAsiaTheme="minorHAns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7E33C05"/>
    <w:multiLevelType w:val="multilevel"/>
    <w:tmpl w:val="9B6AC3C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21">
    <w:nsid w:val="6A260315"/>
    <w:multiLevelType w:val="hybridMultilevel"/>
    <w:tmpl w:val="B296ACE2"/>
    <w:lvl w:ilvl="0" w:tplc="B9C07976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74C162D9"/>
    <w:multiLevelType w:val="hybridMultilevel"/>
    <w:tmpl w:val="185CDD82"/>
    <w:lvl w:ilvl="0" w:tplc="755E0DF0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7F55227C"/>
    <w:multiLevelType w:val="hybridMultilevel"/>
    <w:tmpl w:val="714E50AA"/>
    <w:lvl w:ilvl="0" w:tplc="B9C07976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7F857021"/>
    <w:multiLevelType w:val="hybridMultilevel"/>
    <w:tmpl w:val="F29A9EBA"/>
    <w:lvl w:ilvl="0" w:tplc="81C4AA0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2"/>
  </w:num>
  <w:num w:numId="5">
    <w:abstractNumId w:val="8"/>
  </w:num>
  <w:num w:numId="6">
    <w:abstractNumId w:val="16"/>
  </w:num>
  <w:num w:numId="7">
    <w:abstractNumId w:val="14"/>
  </w:num>
  <w:num w:numId="8">
    <w:abstractNumId w:val="12"/>
  </w:num>
  <w:num w:numId="9">
    <w:abstractNumId w:val="24"/>
  </w:num>
  <w:num w:numId="10">
    <w:abstractNumId w:val="1"/>
  </w:num>
  <w:num w:numId="11">
    <w:abstractNumId w:val="20"/>
  </w:num>
  <w:num w:numId="12">
    <w:abstractNumId w:val="10"/>
  </w:num>
  <w:num w:numId="13">
    <w:abstractNumId w:val="9"/>
  </w:num>
  <w:num w:numId="14">
    <w:abstractNumId w:val="19"/>
  </w:num>
  <w:num w:numId="15">
    <w:abstractNumId w:val="6"/>
  </w:num>
  <w:num w:numId="16">
    <w:abstractNumId w:val="13"/>
  </w:num>
  <w:num w:numId="17">
    <w:abstractNumId w:val="18"/>
  </w:num>
  <w:num w:numId="18">
    <w:abstractNumId w:val="0"/>
  </w:num>
  <w:num w:numId="19">
    <w:abstractNumId w:val="4"/>
  </w:num>
  <w:num w:numId="20">
    <w:abstractNumId w:val="21"/>
  </w:num>
  <w:num w:numId="21">
    <w:abstractNumId w:val="23"/>
  </w:num>
  <w:num w:numId="22">
    <w:abstractNumId w:val="7"/>
  </w:num>
  <w:num w:numId="23">
    <w:abstractNumId w:val="11"/>
  </w:num>
  <w:num w:numId="24">
    <w:abstractNumId w:val="3"/>
  </w:num>
  <w:num w:numId="25">
    <w:abstractNumId w:val="1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2A"/>
    <w:rsid w:val="0000105D"/>
    <w:rsid w:val="00041B40"/>
    <w:rsid w:val="000A6AC8"/>
    <w:rsid w:val="000C2ECA"/>
    <w:rsid w:val="000C52A3"/>
    <w:rsid w:val="000D4144"/>
    <w:rsid w:val="000E534A"/>
    <w:rsid w:val="000E6B00"/>
    <w:rsid w:val="000F017B"/>
    <w:rsid w:val="000F742D"/>
    <w:rsid w:val="0011023D"/>
    <w:rsid w:val="0013576C"/>
    <w:rsid w:val="00153DA4"/>
    <w:rsid w:val="00183A36"/>
    <w:rsid w:val="00184466"/>
    <w:rsid w:val="001856E0"/>
    <w:rsid w:val="001867B8"/>
    <w:rsid w:val="001A6AE4"/>
    <w:rsid w:val="001B6D00"/>
    <w:rsid w:val="001D770F"/>
    <w:rsid w:val="001F4A69"/>
    <w:rsid w:val="00201BF8"/>
    <w:rsid w:val="00222E6A"/>
    <w:rsid w:val="002410A5"/>
    <w:rsid w:val="002734A7"/>
    <w:rsid w:val="0029562F"/>
    <w:rsid w:val="002B701C"/>
    <w:rsid w:val="002C7178"/>
    <w:rsid w:val="002F193C"/>
    <w:rsid w:val="003120B5"/>
    <w:rsid w:val="00331C81"/>
    <w:rsid w:val="00334A94"/>
    <w:rsid w:val="003520D1"/>
    <w:rsid w:val="0035449B"/>
    <w:rsid w:val="00367F7E"/>
    <w:rsid w:val="00373507"/>
    <w:rsid w:val="003A2AE0"/>
    <w:rsid w:val="003B5E9D"/>
    <w:rsid w:val="003C3F74"/>
    <w:rsid w:val="003D41A7"/>
    <w:rsid w:val="00410151"/>
    <w:rsid w:val="00417E02"/>
    <w:rsid w:val="00417F9F"/>
    <w:rsid w:val="00433D36"/>
    <w:rsid w:val="00436469"/>
    <w:rsid w:val="00451DEE"/>
    <w:rsid w:val="00477759"/>
    <w:rsid w:val="00484370"/>
    <w:rsid w:val="00497F12"/>
    <w:rsid w:val="004A35C9"/>
    <w:rsid w:val="004C79BB"/>
    <w:rsid w:val="004E0C46"/>
    <w:rsid w:val="004F04C5"/>
    <w:rsid w:val="005238E6"/>
    <w:rsid w:val="00535D3B"/>
    <w:rsid w:val="0057122D"/>
    <w:rsid w:val="0059716E"/>
    <w:rsid w:val="005A4F83"/>
    <w:rsid w:val="005E6E1B"/>
    <w:rsid w:val="006108D4"/>
    <w:rsid w:val="00657064"/>
    <w:rsid w:val="0066023B"/>
    <w:rsid w:val="00686570"/>
    <w:rsid w:val="006A6AE0"/>
    <w:rsid w:val="006A713C"/>
    <w:rsid w:val="006C1590"/>
    <w:rsid w:val="007012FF"/>
    <w:rsid w:val="00710F97"/>
    <w:rsid w:val="00716C3B"/>
    <w:rsid w:val="00725DDD"/>
    <w:rsid w:val="00732F1D"/>
    <w:rsid w:val="00734201"/>
    <w:rsid w:val="007349D3"/>
    <w:rsid w:val="007510CD"/>
    <w:rsid w:val="0075187B"/>
    <w:rsid w:val="007551C1"/>
    <w:rsid w:val="00774DAA"/>
    <w:rsid w:val="007900AF"/>
    <w:rsid w:val="007920E8"/>
    <w:rsid w:val="007C37F0"/>
    <w:rsid w:val="007E3D4F"/>
    <w:rsid w:val="007E76C2"/>
    <w:rsid w:val="007F00F1"/>
    <w:rsid w:val="0081282B"/>
    <w:rsid w:val="00814209"/>
    <w:rsid w:val="00816E9C"/>
    <w:rsid w:val="008247D5"/>
    <w:rsid w:val="00846AE1"/>
    <w:rsid w:val="00847AF4"/>
    <w:rsid w:val="008507ED"/>
    <w:rsid w:val="00853FC1"/>
    <w:rsid w:val="00862D7A"/>
    <w:rsid w:val="008B2834"/>
    <w:rsid w:val="008C1496"/>
    <w:rsid w:val="008D158F"/>
    <w:rsid w:val="008D48AB"/>
    <w:rsid w:val="008D523E"/>
    <w:rsid w:val="008E27F4"/>
    <w:rsid w:val="008E31D8"/>
    <w:rsid w:val="008F0707"/>
    <w:rsid w:val="008F63B2"/>
    <w:rsid w:val="009306AB"/>
    <w:rsid w:val="00935DF2"/>
    <w:rsid w:val="009365AC"/>
    <w:rsid w:val="00940BA5"/>
    <w:rsid w:val="00957584"/>
    <w:rsid w:val="00961FF5"/>
    <w:rsid w:val="0096520A"/>
    <w:rsid w:val="00970281"/>
    <w:rsid w:val="009745CC"/>
    <w:rsid w:val="009816C9"/>
    <w:rsid w:val="0098475D"/>
    <w:rsid w:val="00991BF7"/>
    <w:rsid w:val="009952E0"/>
    <w:rsid w:val="009B3297"/>
    <w:rsid w:val="009D47FF"/>
    <w:rsid w:val="009E57D4"/>
    <w:rsid w:val="00A03DA4"/>
    <w:rsid w:val="00A37B8D"/>
    <w:rsid w:val="00A6434B"/>
    <w:rsid w:val="00A6680D"/>
    <w:rsid w:val="00A678F5"/>
    <w:rsid w:val="00A832C6"/>
    <w:rsid w:val="00AC7F66"/>
    <w:rsid w:val="00AE23B5"/>
    <w:rsid w:val="00AF2DB3"/>
    <w:rsid w:val="00B03782"/>
    <w:rsid w:val="00B079DA"/>
    <w:rsid w:val="00B142F0"/>
    <w:rsid w:val="00B22756"/>
    <w:rsid w:val="00B2464A"/>
    <w:rsid w:val="00B257EC"/>
    <w:rsid w:val="00B32436"/>
    <w:rsid w:val="00B4404D"/>
    <w:rsid w:val="00B461DB"/>
    <w:rsid w:val="00B5730E"/>
    <w:rsid w:val="00B80B30"/>
    <w:rsid w:val="00B86063"/>
    <w:rsid w:val="00B92C99"/>
    <w:rsid w:val="00BA11BC"/>
    <w:rsid w:val="00BA15ED"/>
    <w:rsid w:val="00BB0DE1"/>
    <w:rsid w:val="00BB1238"/>
    <w:rsid w:val="00BD1DE5"/>
    <w:rsid w:val="00C04BA5"/>
    <w:rsid w:val="00C30C69"/>
    <w:rsid w:val="00C52BEC"/>
    <w:rsid w:val="00C53CB0"/>
    <w:rsid w:val="00C5601E"/>
    <w:rsid w:val="00C71F32"/>
    <w:rsid w:val="00C747BF"/>
    <w:rsid w:val="00C75708"/>
    <w:rsid w:val="00C772B8"/>
    <w:rsid w:val="00C84578"/>
    <w:rsid w:val="00CB576E"/>
    <w:rsid w:val="00CC0575"/>
    <w:rsid w:val="00CE59A3"/>
    <w:rsid w:val="00CE7267"/>
    <w:rsid w:val="00CF0F4C"/>
    <w:rsid w:val="00CF722A"/>
    <w:rsid w:val="00D0585D"/>
    <w:rsid w:val="00D21275"/>
    <w:rsid w:val="00D214A6"/>
    <w:rsid w:val="00D40AFB"/>
    <w:rsid w:val="00D66AAB"/>
    <w:rsid w:val="00DC7E7C"/>
    <w:rsid w:val="00DD752A"/>
    <w:rsid w:val="00E000C2"/>
    <w:rsid w:val="00E16C70"/>
    <w:rsid w:val="00E17B21"/>
    <w:rsid w:val="00E60C5C"/>
    <w:rsid w:val="00EB6F79"/>
    <w:rsid w:val="00EB7031"/>
    <w:rsid w:val="00ED0E61"/>
    <w:rsid w:val="00F0243D"/>
    <w:rsid w:val="00F272DB"/>
    <w:rsid w:val="00F2775E"/>
    <w:rsid w:val="00F4449D"/>
    <w:rsid w:val="00F473CE"/>
    <w:rsid w:val="00F52F45"/>
    <w:rsid w:val="00F65FB7"/>
    <w:rsid w:val="00F7279A"/>
    <w:rsid w:val="00F72FA4"/>
    <w:rsid w:val="00F934EC"/>
    <w:rsid w:val="00FA24C5"/>
    <w:rsid w:val="00FB3E57"/>
    <w:rsid w:val="00FE148C"/>
    <w:rsid w:val="00FE181B"/>
    <w:rsid w:val="00FE657B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2EC92C1A"/>
  <w15:docId w15:val="{1B5609CC-2C2B-4641-8E2C-CD4E3CE9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CF722A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CF722A"/>
    <w:pPr>
      <w:ind w:left="720"/>
      <w:contextualSpacing/>
    </w:pPr>
  </w:style>
  <w:style w:styleId="Grilledutableau" w:type="table">
    <w:name w:val="Table Grid"/>
    <w:basedOn w:val="TableauNormal"/>
    <w:uiPriority w:val="59"/>
    <w:rsid w:val="00CF72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F722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F722A"/>
  </w:style>
  <w:style w:styleId="Pieddepage" w:type="paragraph">
    <w:name w:val="footer"/>
    <w:basedOn w:val="Normal"/>
    <w:link w:val="PieddepageCar"/>
    <w:uiPriority w:val="99"/>
    <w:unhideWhenUsed/>
    <w:rsid w:val="00CF722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F722A"/>
  </w:style>
  <w:style w:customStyle="1" w:styleId="Default" w:type="paragraph">
    <w:name w:val="Default"/>
    <w:rsid w:val="00D66AAB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A6AC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A6AC8"/>
    <w:rPr>
      <w:rFonts w:ascii="Tahoma" w:cs="Tahoma" w:hAnsi="Tahoma"/>
      <w:sz w:val="16"/>
      <w:szCs w:val="16"/>
    </w:rPr>
  </w:style>
  <w:style w:styleId="Sansinterligne" w:type="paragraph">
    <w:name w:val="No Spacing"/>
    <w:uiPriority w:val="1"/>
    <w:qFormat/>
    <w:rsid w:val="008E31D8"/>
    <w:pPr>
      <w:spacing w:after="0" w:line="240" w:lineRule="auto"/>
    </w:pPr>
  </w:style>
  <w:style w:styleId="Commentaire" w:type="paragraph">
    <w:name w:val="annotation text"/>
    <w:basedOn w:val="Normal"/>
    <w:link w:val="CommentaireCar"/>
    <w:uiPriority w:val="99"/>
    <w:semiHidden/>
    <w:unhideWhenUsed/>
    <w:rsid w:val="00A678F5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A678F5"/>
    <w:rPr>
      <w:sz w:val="20"/>
      <w:szCs w:val="20"/>
    </w:rPr>
  </w:style>
  <w:style w:styleId="Marquedecommentaire" w:type="character">
    <w:name w:val="annotation reference"/>
    <w:basedOn w:val="Policepardfaut"/>
    <w:uiPriority w:val="99"/>
    <w:semiHidden/>
    <w:unhideWhenUsed/>
    <w:rsid w:val="00A37B8D"/>
    <w:rPr>
      <w:sz w:val="16"/>
      <w:szCs w:val="16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A37B8D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A37B8D"/>
    <w:rPr>
      <w:b/>
      <w:bCs/>
      <w:sz w:val="20"/>
      <w:szCs w:val="20"/>
    </w:rPr>
  </w:style>
  <w:style w:styleId="Lienhypertexte" w:type="character">
    <w:name w:val="Hyperlink"/>
    <w:basedOn w:val="Policepardfaut"/>
    <w:uiPriority w:val="99"/>
    <w:unhideWhenUsed/>
    <w:rsid w:val="000E6B00"/>
    <w:rPr>
      <w:color w:themeColor="hyperlink" w:val="0000FF"/>
      <w:u w:val="single"/>
    </w:rPr>
  </w:style>
  <w:style w:customStyle="1" w:styleId="Mentionnonrsolue1" w:type="character">
    <w:name w:val="Mention non résolue1"/>
    <w:basedOn w:val="Policepardfaut"/>
    <w:uiPriority w:val="99"/>
    <w:semiHidden/>
    <w:unhideWhenUsed/>
    <w:rsid w:val="000E6B00"/>
    <w:rPr>
      <w:color w:val="605E5C"/>
      <w:shd w:color="auto" w:fill="E1DFDD" w:val="clear"/>
    </w:rPr>
  </w:style>
  <w:style w:styleId="NormalWeb" w:type="paragraph">
    <w:name w:val="Normal (Web)"/>
    <w:basedOn w:val="Normal"/>
    <w:uiPriority w:val="99"/>
    <w:semiHidden/>
    <w:unhideWhenUsed/>
    <w:rsid w:val="00B2275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Grilledutableau4" w:type="table">
    <w:name w:val="Grille du tableau4"/>
    <w:basedOn w:val="TableauNormal"/>
    <w:next w:val="Grilledutableau"/>
    <w:uiPriority w:val="59"/>
    <w:rsid w:val="00477759"/>
    <w:pPr>
      <w:spacing w:after="0" w:line="240" w:lineRule="auto"/>
    </w:pPr>
    <w:rPr>
      <w:rFonts w:eastAsiaTheme="minorEastAsia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80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numbering.xml.rels><?xml version="1.0" encoding="UTF-8" standalone="no"?><Relationships xmlns="http://schemas.openxmlformats.org/package/2006/relationships"><Relationship Id="rId1" Target="media/image1.w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E27DE-29B3-4F9A-8161-E34EFCD3C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1683</Words>
  <Characters>9261</Characters>
  <Application>Microsoft Office Word</Application>
  <DocSecurity>0</DocSecurity>
  <Lines>77</Lines>
  <Paragraphs>21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FP-LP</Company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2022-04-05T08:34:00Z</dcterms:created>
  <cp:lastPrinted>2019-03-18T15:38:00Z</cp:lastPrinted>
  <dcterms:modified xsi:type="dcterms:W3CDTF">2022-04-25T12:08:00Z</dcterms:modified>
  <cp:revision>3</cp:revision>
</cp:coreProperties>
</file>