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5286E27" w14:textId="77777777" w:rsidR="00A33E3D" w:rsidRDefault="00E0675A">
      <w:pPr>
        <w:spacing w:after="0" w:line="259" w:lineRule="auto"/>
        <w:ind w:hanging="10" w:left="144" w:right="10"/>
        <w:jc w:val="center"/>
      </w:pPr>
      <w:r>
        <w:rPr>
          <w:sz w:val="30"/>
        </w:rPr>
        <w:t>PROTCCOLE D'ACCORD</w:t>
      </w:r>
    </w:p>
    <w:p w14:paraId="3B16A336" w14:textId="77777777" w:rsidR="00A33E3D" w:rsidRDefault="00E0675A">
      <w:pPr>
        <w:spacing w:after="0" w:line="259" w:lineRule="auto"/>
        <w:ind w:hanging="10" w:left="144"/>
        <w:jc w:val="center"/>
      </w:pPr>
      <w:r>
        <w:rPr>
          <w:sz w:val="30"/>
        </w:rPr>
        <w:t>RELATIF AUX AUGMENTATIONS</w:t>
      </w:r>
    </w:p>
    <w:p w14:paraId="6E802EAC" w14:textId="77777777" w:rsidR="00A33E3D" w:rsidRDefault="00E0675A">
      <w:pPr>
        <w:spacing w:after="0" w:line="259" w:lineRule="auto"/>
        <w:ind w:firstLine="0" w:left="120"/>
        <w:jc w:val="center"/>
      </w:pPr>
      <w:r>
        <w:rPr>
          <w:sz w:val="28"/>
        </w:rPr>
        <w:t>COLLECTIVES DE SALAIRES 2022</w:t>
      </w:r>
    </w:p>
    <w:p w14:paraId="468B7771" w14:textId="77777777" w:rsidR="00A33E3D" w:rsidRDefault="00E0675A">
      <w:pPr>
        <w:spacing w:after="653" w:line="259" w:lineRule="auto"/>
        <w:ind w:firstLine="0" w:left="-53" w:right="-139"/>
        <w:jc w:val="left"/>
      </w:pPr>
      <w:r>
        <w:rPr>
          <w:noProof/>
          <w:sz w:val="22"/>
        </w:rPr>
        <mc:AlternateContent>
          <mc:Choice Requires="wpg">
            <w:drawing>
              <wp:inline distB="0" distL="0" distR="0" distT="0" wp14:anchorId="1CFA55EA" wp14:editId="4ABEA5DC">
                <wp:extent cx="6167348" cy="27440"/>
                <wp:effectExtent b="0" l="0" r="0" t="0"/>
                <wp:docPr id="13970" name="Group 13970"/>
                <wp:cNvGraphicFramePr/>
                <a:graphic xmlns:a="http://schemas.openxmlformats.org/drawingml/2006/main">
                  <a:graphicData uri="http://schemas.microsoft.com/office/word/2010/wordprocessingGroup">
                    <wpg:wgp>
                      <wpg:cNvGrpSpPr/>
                      <wpg:grpSpPr>
                        <a:xfrm>
                          <a:off x="0" y="0"/>
                          <a:ext cx="6167348" cy="27440"/>
                          <a:chOff x="0" y="0"/>
                          <a:chExt cx="6167348" cy="27440"/>
                        </a:xfrm>
                      </wpg:grpSpPr>
                      <wps:wsp>
                        <wps:cNvPr id="13969" name="Shape 13969"/>
                        <wps:cNvSpPr/>
                        <wps:spPr>
                          <a:xfrm>
                            <a:off x="0" y="0"/>
                            <a:ext cx="6167348" cy="27440"/>
                          </a:xfrm>
                          <a:custGeom>
                            <a:avLst/>
                            <a:gdLst/>
                            <a:ahLst/>
                            <a:cxnLst/>
                            <a:rect b="0" l="0" r="0" t="0"/>
                            <a:pathLst>
                              <a:path h="27440" w="6167348">
                                <a:moveTo>
                                  <a:pt x="0" y="13720"/>
                                </a:moveTo>
                                <a:lnTo>
                                  <a:pt x="6167348" y="13720"/>
                                </a:lnTo>
                              </a:path>
                            </a:pathLst>
                          </a:custGeom>
                          <a:ln cap="flat" w="27440">
                            <a:miter lim="100000"/>
                          </a:ln>
                        </wps:spPr>
                        <wps:style>
                          <a:lnRef idx="1">
                            <a:srgbClr val="000000"/>
                          </a:lnRef>
                          <a:fillRef idx="0">
                            <a:srgbClr val="000000"/>
                          </a:fillRef>
                          <a:effectRef idx="0">
                            <a:scrgbClr b="0" g="0" r="0"/>
                          </a:effectRef>
                          <a:fontRef idx="none"/>
                        </wps:style>
                        <wps:bodyPr/>
                      </wps:wsp>
                    </wpg:wgp>
                  </a:graphicData>
                </a:graphic>
              </wp:inline>
            </w:drawing>
          </mc:Choice>
          <mc:Fallback xmlns:a="http://schemas.openxmlformats.org/drawingml/2006/main">
            <w:pict>
              <v:group coordsize="61673,274" id="Group 13970" style="width:485.618pt;height:2.16061pt;mso-position-horizontal-relative:char;mso-position-vertical-relative:line">
                <v:shape coordsize="6167348,27440" id="Shape 13969" path="m0,13720l6167348,13720" style="position:absolute;width:61673;height:274;left:0;top:0;">
                  <v:stroke color="#000000" endcap="flat" joinstyle="miter" miterlimit="1" on="true" weight="2.16061pt"/>
                  <v:fill color="#000000" on="false"/>
                </v:shape>
              </v:group>
            </w:pict>
          </mc:Fallback>
        </mc:AlternateContent>
      </w:r>
    </w:p>
    <w:p w14:paraId="6F7206BC" w14:textId="77777777" w:rsidR="00A33E3D" w:rsidRDefault="00E0675A">
      <w:pPr>
        <w:spacing w:after="148" w:line="259" w:lineRule="auto"/>
        <w:ind w:firstLine="0"/>
        <w:jc w:val="left"/>
      </w:pPr>
      <w:r>
        <w:rPr>
          <w:rFonts w:ascii="Times New Roman" w:cs="Times New Roman" w:eastAsia="Times New Roman" w:hAnsi="Times New Roman"/>
          <w:sz w:val="20"/>
        </w:rPr>
        <w:t>ENTRE:</w:t>
      </w:r>
    </w:p>
    <w:p w14:paraId="04794E97" w14:textId="77777777" w:rsidR="00A33E3D" w:rsidRDefault="00E0675A">
      <w:pPr>
        <w:spacing w:after="84" w:line="259" w:lineRule="auto"/>
        <w:ind w:firstLine="0" w:left="-1008" w:right="-1243"/>
        <w:jc w:val="left"/>
      </w:pPr>
      <w:r>
        <w:rPr>
          <w:noProof/>
        </w:rPr>
        <w:drawing>
          <wp:inline distB="0" distL="0" distR="0" distT="0" wp14:anchorId="0EEDB713" wp14:editId="509518B0">
            <wp:extent cx="7475204" cy="137199"/>
            <wp:effectExtent b="0" l="0" r="0" t="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7"/>
                    <a:stretch>
                      <a:fillRect/>
                    </a:stretch>
                  </pic:blipFill>
                  <pic:spPr>
                    <a:xfrm>
                      <a:off x="0" y="0"/>
                      <a:ext cx="7475204" cy="137199"/>
                    </a:xfrm>
                    <a:prstGeom prst="rect">
                      <a:avLst/>
                    </a:prstGeom>
                  </pic:spPr>
                </pic:pic>
              </a:graphicData>
            </a:graphic>
          </wp:inline>
        </w:drawing>
      </w:r>
    </w:p>
    <w:p w14:paraId="3CC8A6BC" w14:textId="49356FF7" w:rsidR="00A33E3D" w:rsidRDefault="00E0675A">
      <w:pPr>
        <w:spacing w:after="305"/>
        <w:ind w:left="23" w:right="14"/>
      </w:pPr>
      <w:r>
        <w:rPr>
          <w:noProof/>
        </w:rPr>
        <w:drawing>
          <wp:anchor allowOverlap="0" behindDoc="0" distB="0" distL="114300" distR="114300" distT="0" layoutInCell="1" locked="0" relativeHeight="251658240" simplePos="0" wp14:anchorId="02E0E80A" wp14:editId="093281C8">
            <wp:simplePos x="0" y="0"/>
            <wp:positionH relativeFrom="page">
              <wp:posOffset>210354</wp:posOffset>
            </wp:positionH>
            <wp:positionV relativeFrom="page">
              <wp:posOffset>6305062</wp:posOffset>
            </wp:positionV>
            <wp:extent cx="265229" cy="76222"/>
            <wp:effectExtent b="0" l="0" r="0" t="0"/>
            <wp:wrapTopAndBottom/>
            <wp:docPr id="13965" name="Picture 13965"/>
            <wp:cNvGraphicFramePr/>
            <a:graphic xmlns:a="http://schemas.openxmlformats.org/drawingml/2006/main">
              <a:graphicData uri="http://schemas.openxmlformats.org/drawingml/2006/picture">
                <pic:pic xmlns:pic="http://schemas.openxmlformats.org/drawingml/2006/picture">
                  <pic:nvPicPr>
                    <pic:cNvPr id="13965" name="Picture 13965"/>
                    <pic:cNvPicPr/>
                  </pic:nvPicPr>
                  <pic:blipFill>
                    <a:blip r:embed="rId8"/>
                    <a:stretch>
                      <a:fillRect/>
                    </a:stretch>
                  </pic:blipFill>
                  <pic:spPr>
                    <a:xfrm>
                      <a:off x="0" y="0"/>
                      <a:ext cx="265229" cy="76222"/>
                    </a:xfrm>
                    <a:prstGeom prst="rect">
                      <a:avLst/>
                    </a:prstGeom>
                  </pic:spPr>
                </pic:pic>
              </a:graphicData>
            </a:graphic>
          </wp:anchor>
        </w:drawing>
      </w:r>
      <w:r>
        <w:t xml:space="preserve">rue Fructidor— 75 017 PARIS, immatriculée au Registre du Commerce et des Sociétés de Paris sous le n </w:t>
      </w:r>
      <w:r>
        <w:rPr>
          <w:vertAlign w:val="superscript"/>
        </w:rPr>
        <w:t xml:space="preserve">o </w:t>
      </w:r>
      <w:r>
        <w:t>542 016 951, représentée par</w:t>
      </w:r>
      <w:r w:rsidR="00660DCC">
        <w:t xml:space="preserve"> XXXXXXX</w:t>
      </w:r>
      <w:r>
        <w:t xml:space="preserve">, en sa qualité de </w:t>
      </w:r>
      <w:r w:rsidR="00660DCC">
        <w:t>XXXXXXXX</w:t>
      </w:r>
      <w:r>
        <w:t>,</w:t>
      </w:r>
    </w:p>
    <w:p w14:paraId="78B156C1" w14:textId="77777777" w:rsidR="00A33E3D" w:rsidRDefault="00E0675A">
      <w:pPr>
        <w:spacing w:after="304"/>
        <w:ind w:left="23" w:right="14"/>
      </w:pPr>
      <w:r>
        <w:t>Ci-après dénommée « ISS FACILITY SERVICES» ou</w:t>
      </w:r>
      <w:r>
        <w:t xml:space="preserve"> « La Société »</w:t>
      </w:r>
    </w:p>
    <w:p w14:paraId="465A2FDC" w14:textId="77777777" w:rsidR="00A33E3D" w:rsidRDefault="00E0675A">
      <w:pPr>
        <w:spacing w:after="837" w:line="259" w:lineRule="auto"/>
        <w:ind w:firstLine="0" w:left="10"/>
        <w:jc w:val="left"/>
      </w:pPr>
      <w:r>
        <w:rPr>
          <w:sz w:val="26"/>
        </w:rPr>
        <w:t>D'UNE PART,</w:t>
      </w:r>
    </w:p>
    <w:p w14:paraId="0CEAED9B" w14:textId="77777777" w:rsidR="00A33E3D" w:rsidRDefault="00E0675A">
      <w:pPr>
        <w:ind w:left="23" w:right="14"/>
      </w:pPr>
      <w:r>
        <w:t>Les Organisations Syndicales de salariés :</w:t>
      </w:r>
    </w:p>
    <w:p w14:paraId="2BAA0F41" w14:textId="77777777" w:rsidR="00A33E3D" w:rsidRDefault="00A33E3D">
      <w:pPr>
        <w:sectPr w:rsidR="00A33E3D">
          <w:footerReference r:id="rId9" w:type="even"/>
          <w:footerReference r:id="rId10" w:type="default"/>
          <w:footerReference r:id="rId11" w:type="first"/>
          <w:pgSz w:h="16838" w:w="11906"/>
          <w:pgMar w:bottom="727" w:footer="744" w:gutter="0" w:header="720" w:left="1071" w:right="1315" w:top="2108"/>
          <w:cols w:space="720"/>
        </w:sectPr>
      </w:pPr>
    </w:p>
    <w:tbl>
      <w:tblPr>
        <w:tblStyle w:val="TableGrid"/>
        <w:tblW w:type="dxa" w:w="7230"/>
        <w:tblInd w:type="dxa" w:w="-5"/>
        <w:tblCellMar>
          <w:top w:type="dxa" w:w="0"/>
          <w:left w:type="dxa" w:w="0"/>
          <w:bottom w:type="dxa" w:w="10"/>
          <w:right w:type="dxa" w:w="0"/>
        </w:tblCellMar>
        <w:tblLook w:firstColumn="1" w:firstRow="1" w:lastColumn="0" w:lastRow="0" w:noHBand="0" w:noVBand="1" w:val="04A0"/>
      </w:tblPr>
      <w:tblGrid>
        <w:gridCol w:w="4249"/>
        <w:gridCol w:w="2981"/>
      </w:tblGrid>
      <w:tr w14:paraId="7E26CC6F" w14:textId="77777777" w:rsidR="00A33E3D">
        <w:trPr>
          <w:trHeight w:val="665"/>
        </w:trPr>
        <w:tc>
          <w:tcPr>
            <w:tcW w:type="dxa" w:w="4249"/>
            <w:tcBorders>
              <w:top w:val="nil"/>
              <w:left w:val="nil"/>
              <w:bottom w:val="nil"/>
              <w:right w:val="nil"/>
            </w:tcBorders>
          </w:tcPr>
          <w:p w14:paraId="3617F014" w14:textId="77777777" w:rsidR="00A33E3D" w:rsidRDefault="00E0675A">
            <w:pPr>
              <w:spacing w:after="0" w:line="259" w:lineRule="auto"/>
              <w:ind w:firstLine="0"/>
              <w:jc w:val="left"/>
            </w:pPr>
            <w:r>
              <w:t>Pour l'organisation syndicale CGT :</w:t>
            </w:r>
          </w:p>
        </w:tc>
        <w:tc>
          <w:tcPr>
            <w:tcW w:type="dxa" w:w="2981"/>
            <w:tcBorders>
              <w:top w:val="nil"/>
              <w:left w:val="nil"/>
              <w:bottom w:val="nil"/>
              <w:right w:val="nil"/>
            </w:tcBorders>
          </w:tcPr>
          <w:p w14:paraId="4F620356" w14:textId="13338F74" w:rsidR="00A33E3D" w:rsidRDefault="00A33E3D">
            <w:pPr>
              <w:spacing w:after="0" w:line="259" w:lineRule="auto"/>
              <w:ind w:firstLine="0"/>
            </w:pPr>
          </w:p>
        </w:tc>
      </w:tr>
      <w:tr w14:paraId="1E661735" w14:textId="77777777" w:rsidR="00A33E3D">
        <w:trPr>
          <w:trHeight w:val="884"/>
        </w:trPr>
        <w:tc>
          <w:tcPr>
            <w:tcW w:type="dxa" w:w="4249"/>
            <w:tcBorders>
              <w:top w:val="nil"/>
              <w:left w:val="nil"/>
              <w:bottom w:val="nil"/>
              <w:right w:val="nil"/>
            </w:tcBorders>
          </w:tcPr>
          <w:p w14:paraId="317DC87E" w14:textId="77777777" w:rsidR="00A33E3D" w:rsidRDefault="00E0675A">
            <w:pPr>
              <w:spacing w:after="0" w:line="259" w:lineRule="auto"/>
              <w:ind w:firstLine="0" w:left="5"/>
              <w:jc w:val="left"/>
            </w:pPr>
            <w:r>
              <w:t>Pour l'organisation syndicale FO :</w:t>
            </w:r>
          </w:p>
        </w:tc>
        <w:tc>
          <w:tcPr>
            <w:tcW w:type="dxa" w:w="2981"/>
            <w:tcBorders>
              <w:top w:val="nil"/>
              <w:left w:val="nil"/>
              <w:bottom w:val="nil"/>
              <w:right w:val="nil"/>
            </w:tcBorders>
            <w:vAlign w:val="center"/>
          </w:tcPr>
          <w:p w14:paraId="1B86D355" w14:textId="28B94909" w:rsidR="00A33E3D" w:rsidRDefault="00A33E3D">
            <w:pPr>
              <w:spacing w:after="0" w:line="259" w:lineRule="auto"/>
              <w:ind w:firstLine="0"/>
              <w:jc w:val="left"/>
            </w:pPr>
          </w:p>
        </w:tc>
      </w:tr>
      <w:tr w14:paraId="2DD327F9" w14:textId="77777777" w:rsidR="00A33E3D">
        <w:trPr>
          <w:trHeight w:val="612"/>
        </w:trPr>
        <w:tc>
          <w:tcPr>
            <w:tcW w:type="dxa" w:w="4249"/>
            <w:tcBorders>
              <w:top w:val="nil"/>
              <w:left w:val="nil"/>
              <w:bottom w:val="nil"/>
              <w:right w:val="nil"/>
            </w:tcBorders>
            <w:vAlign w:val="center"/>
          </w:tcPr>
          <w:p w14:paraId="4D950FFD" w14:textId="77777777" w:rsidR="00A33E3D" w:rsidRDefault="00E0675A">
            <w:pPr>
              <w:spacing w:after="0" w:line="259" w:lineRule="auto"/>
              <w:ind w:firstLine="0" w:left="10"/>
              <w:jc w:val="left"/>
            </w:pPr>
            <w:r>
              <w:t>Pour l'organisation syndicale CFE-CGC :</w:t>
            </w:r>
          </w:p>
        </w:tc>
        <w:tc>
          <w:tcPr>
            <w:tcW w:type="dxa" w:w="2981"/>
            <w:tcBorders>
              <w:top w:val="nil"/>
              <w:left w:val="nil"/>
              <w:bottom w:val="nil"/>
              <w:right w:val="nil"/>
            </w:tcBorders>
            <w:vAlign w:val="center"/>
          </w:tcPr>
          <w:p w14:paraId="6A933E8A" w14:textId="673397E3" w:rsidR="00A33E3D" w:rsidRDefault="00A33E3D">
            <w:pPr>
              <w:spacing w:after="0" w:line="259" w:lineRule="auto"/>
              <w:ind w:firstLine="0"/>
            </w:pPr>
          </w:p>
        </w:tc>
      </w:tr>
      <w:tr w14:paraId="46E2BFD3" w14:textId="77777777" w:rsidR="00A33E3D">
        <w:trPr>
          <w:trHeight w:val="418"/>
        </w:trPr>
        <w:tc>
          <w:tcPr>
            <w:tcW w:type="dxa" w:w="4249"/>
            <w:tcBorders>
              <w:top w:val="nil"/>
              <w:left w:val="nil"/>
              <w:bottom w:val="nil"/>
              <w:right w:val="nil"/>
            </w:tcBorders>
            <w:vAlign w:val="bottom"/>
          </w:tcPr>
          <w:p w14:paraId="18B14E41" w14:textId="77777777" w:rsidR="00A33E3D" w:rsidRDefault="00E0675A">
            <w:pPr>
              <w:spacing w:after="0" w:line="259" w:lineRule="auto"/>
              <w:ind w:firstLine="0" w:left="10"/>
              <w:jc w:val="left"/>
            </w:pPr>
            <w:r>
              <w:t>Pour l'organisation syndicale CFDT :</w:t>
            </w:r>
          </w:p>
        </w:tc>
        <w:tc>
          <w:tcPr>
            <w:tcW w:type="dxa" w:w="2981"/>
            <w:tcBorders>
              <w:top w:val="nil"/>
              <w:left w:val="nil"/>
              <w:bottom w:val="nil"/>
              <w:right w:val="nil"/>
            </w:tcBorders>
            <w:vAlign w:val="bottom"/>
          </w:tcPr>
          <w:p w14:paraId="6513E270" w14:textId="4156D374" w:rsidR="00A33E3D" w:rsidRDefault="00A33E3D">
            <w:pPr>
              <w:spacing w:after="0" w:line="259" w:lineRule="auto"/>
              <w:ind w:firstLine="0" w:left="5"/>
              <w:jc w:val="left"/>
            </w:pPr>
          </w:p>
        </w:tc>
      </w:tr>
    </w:tbl>
    <w:p w14:paraId="06B59529" w14:textId="77777777" w:rsidR="00660DCC" w:rsidRDefault="00660DCC">
      <w:pPr>
        <w:spacing w:after="0" w:line="259" w:lineRule="auto"/>
        <w:ind w:firstLine="0" w:left="-1032" w:right="-1051"/>
        <w:jc w:val="left"/>
        <w:rPr>
          <w:noProof/>
        </w:rPr>
      </w:pPr>
    </w:p>
    <w:p w14:paraId="5404BB2F" w14:textId="77777777" w:rsidR="006A220A" w:rsidRDefault="006A220A">
      <w:pPr>
        <w:spacing w:after="0" w:line="259" w:lineRule="auto"/>
        <w:ind w:firstLine="0" w:left="-1032" w:right="-1051"/>
        <w:jc w:val="left"/>
        <w:rPr>
          <w:noProof/>
        </w:rPr>
      </w:pPr>
    </w:p>
    <w:p w14:paraId="22DD7110" w14:textId="0A60FE63" w:rsidP="006A220A" w:rsidR="00A33E3D" w:rsidRDefault="00A33E3D">
      <w:pPr>
        <w:spacing w:after="0" w:line="259" w:lineRule="auto"/>
        <w:ind w:firstLine="0" w:right="-1051"/>
        <w:jc w:val="left"/>
      </w:pPr>
    </w:p>
    <w:p w14:paraId="24472B29" w14:textId="77777777" w:rsidR="00A33E3D" w:rsidRDefault="00E0675A">
      <w:pPr>
        <w:pStyle w:val="Titre1"/>
        <w:spacing w:after="543"/>
        <w:ind w:left="5"/>
      </w:pPr>
      <w:r>
        <w:t>PREAMBULE</w:t>
      </w:r>
    </w:p>
    <w:p w14:paraId="594F8E26" w14:textId="77777777" w:rsidR="00A33E3D" w:rsidRDefault="00E0675A">
      <w:pPr>
        <w:spacing w:after="271"/>
        <w:ind w:left="23" w:right="14"/>
      </w:pPr>
      <w:r>
        <w:t xml:space="preserve">Dans le cadre des négociations annuelles obligatoires, les Organisations Syndicales signataires et </w:t>
      </w:r>
      <w:proofErr w:type="spellStart"/>
      <w:r>
        <w:t>ia</w:t>
      </w:r>
      <w:proofErr w:type="spellEnd"/>
      <w:r>
        <w:t xml:space="preserve"> Direction se sont rencontrées les 10 mars, 15 mars et 30 mars 2022.</w:t>
      </w:r>
    </w:p>
    <w:p w14:paraId="5C0D21DE" w14:textId="77777777" w:rsidR="00A33E3D" w:rsidRDefault="00E0675A">
      <w:pPr>
        <w:spacing w:after="295"/>
        <w:ind w:left="23" w:right="14"/>
      </w:pPr>
      <w:r>
        <w:t xml:space="preserve">Conformément aux dispositions du Code du Travail en vigueur, les différents thèmes de </w:t>
      </w:r>
      <w:r>
        <w:t>négociation ont été passés en revue et les informations nécessaires à cette négociation ont été communiquées aux organisations syndicales.</w:t>
      </w:r>
    </w:p>
    <w:p w14:paraId="7ED92839" w14:textId="77777777" w:rsidR="00A33E3D" w:rsidRDefault="00E0675A">
      <w:pPr>
        <w:ind w:left="23" w:right="14"/>
      </w:pPr>
      <w:r>
        <w:t>Après discussions et échanges sur les propositions faites par la Direction et les organisations</w:t>
      </w:r>
    </w:p>
    <w:p w14:paraId="6BE90618" w14:textId="77777777" w:rsidR="00A33E3D" w:rsidRDefault="00E0675A">
      <w:pPr>
        <w:spacing w:after="63" w:line="259" w:lineRule="auto"/>
        <w:ind w:firstLine="0" w:left="-1032" w:right="-1051"/>
        <w:jc w:val="left"/>
      </w:pPr>
      <w:r>
        <w:rPr>
          <w:noProof/>
        </w:rPr>
        <w:drawing>
          <wp:inline distB="0" distL="0" distR="0" distT="0" wp14:anchorId="6565818D" wp14:editId="0227EF85">
            <wp:extent cx="7475204" cy="140248"/>
            <wp:effectExtent b="0" l="0" r="0" t="0"/>
            <wp:docPr id="3049" name="Picture 3049"/>
            <wp:cNvGraphicFramePr/>
            <a:graphic xmlns:a="http://schemas.openxmlformats.org/drawingml/2006/main">
              <a:graphicData uri="http://schemas.openxmlformats.org/drawingml/2006/picture">
                <pic:pic xmlns:pic="http://schemas.openxmlformats.org/drawingml/2006/picture">
                  <pic:nvPicPr>
                    <pic:cNvPr id="3049" name="Picture 3049"/>
                    <pic:cNvPicPr/>
                  </pic:nvPicPr>
                  <pic:blipFill>
                    <a:blip r:embed="rId12"/>
                    <a:stretch>
                      <a:fillRect/>
                    </a:stretch>
                  </pic:blipFill>
                  <pic:spPr>
                    <a:xfrm>
                      <a:off x="0" y="0"/>
                      <a:ext cx="7475204" cy="140248"/>
                    </a:xfrm>
                    <a:prstGeom prst="rect">
                      <a:avLst/>
                    </a:prstGeom>
                  </pic:spPr>
                </pic:pic>
              </a:graphicData>
            </a:graphic>
          </wp:inline>
        </w:drawing>
      </w:r>
    </w:p>
    <w:p w14:paraId="659BBC6E" w14:textId="77777777" w:rsidR="00A33E3D" w:rsidRDefault="00E0675A">
      <w:pPr>
        <w:spacing w:after="450"/>
        <w:ind w:left="23" w:right="14"/>
      </w:pPr>
      <w:r>
        <w:t>dessous :</w:t>
      </w:r>
    </w:p>
    <w:p w14:paraId="2298AF97" w14:textId="77777777" w:rsidR="00A33E3D" w:rsidRDefault="00E0675A">
      <w:pPr>
        <w:spacing w:after="248" w:line="259" w:lineRule="auto"/>
        <w:ind w:hanging="10" w:left="34"/>
        <w:jc w:val="left"/>
      </w:pPr>
      <w:r>
        <w:rPr>
          <w:u w:color="000000" w:val="single"/>
        </w:rPr>
        <w:lastRenderedPageBreak/>
        <w:t>ARTICLE 1. LES SALAIRES EFFECTIFS</w:t>
      </w:r>
    </w:p>
    <w:p w14:paraId="5694EF59" w14:textId="77777777" w:rsidR="00A33E3D" w:rsidRDefault="00E0675A">
      <w:pPr>
        <w:numPr>
          <w:ilvl w:val="0"/>
          <w:numId w:val="1"/>
        </w:numPr>
        <w:spacing w:after="158" w:line="259" w:lineRule="auto"/>
        <w:ind w:hanging="370"/>
        <w:jc w:val="left"/>
      </w:pPr>
      <w:r>
        <w:rPr>
          <w:u w:color="000000" w:val="single"/>
        </w:rPr>
        <w:t>Agents de Service niveau IA</w:t>
      </w:r>
    </w:p>
    <w:p w14:paraId="2AAF0BB7" w14:textId="77777777" w:rsidR="00A33E3D" w:rsidRDefault="00E0675A">
      <w:pPr>
        <w:spacing w:after="271"/>
        <w:ind w:left="23" w:right="14"/>
      </w:pPr>
      <w:r>
        <w:t>Conscients de la nécessité de tenir compte de l'évolution des compétences des collaborateurs acquises via l'expérience, la Direction d'ISS FACILITY SERVICES souhaite s'inscrire dans une démarche</w:t>
      </w:r>
      <w:r>
        <w:t xml:space="preserve"> volontaire d'évolution des niveaux/échelons de ses salariés et accordera une évolution de classification des agents de service IA vers le niveau 2A sous condition d'une ancienneté conventionnelle supérieure ou égale à 15 ans à la date du 01 </w:t>
      </w:r>
      <w:r>
        <w:rPr>
          <w:vertAlign w:val="superscript"/>
        </w:rPr>
        <w:t xml:space="preserve">er </w:t>
      </w:r>
      <w:r>
        <w:t>avril 2022.</w:t>
      </w:r>
    </w:p>
    <w:p w14:paraId="186131EA" w14:textId="77777777" w:rsidR="00A33E3D" w:rsidRDefault="00E0675A">
      <w:pPr>
        <w:spacing w:after="267"/>
        <w:ind w:left="23" w:right="14"/>
      </w:pPr>
      <w:r>
        <w:t xml:space="preserve">Le mise en </w:t>
      </w:r>
      <w:proofErr w:type="spellStart"/>
      <w:r>
        <w:t>oeuvre</w:t>
      </w:r>
      <w:proofErr w:type="spellEnd"/>
      <w:r>
        <w:t xml:space="preserve"> de cette mesure sera effective au 01 </w:t>
      </w:r>
      <w:r>
        <w:rPr>
          <w:vertAlign w:val="superscript"/>
        </w:rPr>
        <w:t xml:space="preserve">er </w:t>
      </w:r>
      <w:r>
        <w:t>avril 2022.</w:t>
      </w:r>
    </w:p>
    <w:p w14:paraId="63C4ADF4" w14:textId="77777777" w:rsidR="00A33E3D" w:rsidRDefault="00E0675A">
      <w:pPr>
        <w:numPr>
          <w:ilvl w:val="0"/>
          <w:numId w:val="1"/>
        </w:numPr>
        <w:spacing w:after="248" w:line="259" w:lineRule="auto"/>
        <w:ind w:hanging="370"/>
        <w:jc w:val="left"/>
      </w:pPr>
      <w:r>
        <w:rPr>
          <w:u w:color="000000" w:val="single"/>
        </w:rPr>
        <w:t>Chefs de Site Multisites</w:t>
      </w:r>
    </w:p>
    <w:p w14:paraId="0B526294" w14:textId="77777777" w:rsidR="00A33E3D" w:rsidRDefault="00E0675A">
      <w:pPr>
        <w:spacing w:after="280"/>
        <w:ind w:left="23" w:right="14"/>
      </w:pPr>
      <w:r>
        <w:t>La Direction a réalisé un travail de recensement des collaborateurs exerçant cette mission au sein d'ISS FACILITY SERVICES.</w:t>
      </w:r>
    </w:p>
    <w:p w14:paraId="729C81AF" w14:textId="77777777" w:rsidR="00A33E3D" w:rsidRDefault="00E0675A">
      <w:pPr>
        <w:spacing w:after="268"/>
        <w:ind w:left="23" w:right="14"/>
      </w:pPr>
      <w:r>
        <w:t>Elle a par ailleurs travaillé avec des opérationnels afin de clarifier le rôle de cette population dans la sphère managériale de pro</w:t>
      </w:r>
      <w:r>
        <w:t>ximité de l'entreprise.</w:t>
      </w:r>
    </w:p>
    <w:p w14:paraId="79280012" w14:textId="77777777" w:rsidR="00A33E3D" w:rsidRDefault="00E0675A">
      <w:pPr>
        <w:spacing w:after="306" w:line="223" w:lineRule="auto"/>
        <w:ind w:firstLine="0"/>
        <w:jc w:val="center"/>
      </w:pPr>
      <w:r>
        <w:t>La Direction procèdera à la réévaluation de la classification des salariés exerçant cette fonction afin d'aboutir à l'homogénéisation progressive des positionnements en lien avec les missions exercées.</w:t>
      </w:r>
    </w:p>
    <w:p w14:paraId="0E97A927" w14:textId="77777777" w:rsidR="00A33E3D" w:rsidRDefault="00E0675A">
      <w:pPr>
        <w:spacing w:after="295"/>
        <w:ind w:left="23" w:right="14"/>
      </w:pPr>
      <w:r>
        <w:t>Dans le cadre des NAO 2022, la</w:t>
      </w:r>
      <w:r>
        <w:t xml:space="preserve"> direction détermine un niveau/échelon plancher en qualité de MPI.</w:t>
      </w:r>
    </w:p>
    <w:p w14:paraId="6B410552" w14:textId="2A37ED02" w:rsidR="00A33E3D" w:rsidRDefault="00E0675A">
      <w:pPr>
        <w:spacing w:after="263"/>
        <w:ind w:left="23" w:right="14"/>
      </w:pPr>
      <w:r>
        <w:t xml:space="preserve">La mise en </w:t>
      </w:r>
      <w:proofErr w:type="spellStart"/>
      <w:r>
        <w:t>oeuvre</w:t>
      </w:r>
      <w:proofErr w:type="spellEnd"/>
      <w:r>
        <w:t xml:space="preserve"> de cette mesure sera effective à compter du </w:t>
      </w:r>
      <w:r>
        <w:t xml:space="preserve">l </w:t>
      </w:r>
      <w:proofErr w:type="spellStart"/>
      <w:r>
        <w:rPr>
          <w:vertAlign w:val="superscript"/>
        </w:rPr>
        <w:t>er</w:t>
      </w:r>
      <w:r>
        <w:t>avril</w:t>
      </w:r>
      <w:proofErr w:type="spellEnd"/>
      <w:r>
        <w:t xml:space="preserve"> 2022.</w:t>
      </w:r>
    </w:p>
    <w:p w14:paraId="387617EC" w14:textId="77777777" w:rsidR="00A33E3D" w:rsidRDefault="00E0675A">
      <w:pPr>
        <w:numPr>
          <w:ilvl w:val="0"/>
          <w:numId w:val="1"/>
        </w:numPr>
        <w:spacing w:after="248" w:line="259" w:lineRule="auto"/>
        <w:ind w:hanging="370"/>
        <w:jc w:val="left"/>
      </w:pPr>
      <w:r>
        <w:rPr>
          <w:u w:color="000000" w:val="single"/>
        </w:rPr>
        <w:t>Evolution des échelons des Responsables Client</w:t>
      </w:r>
    </w:p>
    <w:p w14:paraId="25807966" w14:textId="77777777" w:rsidR="00A33E3D" w:rsidRDefault="00E0675A">
      <w:pPr>
        <w:ind w:left="23" w:right="14"/>
      </w:pPr>
      <w:r>
        <w:t>Convaincus de la nécessité de construire des parcours d'évoluti</w:t>
      </w:r>
      <w:r>
        <w:t>on sur les fonctions opérationnelles clés, la direction ISS s'engage à réévaluer les échelons des responsales clients MP de 3 à 4 sous conditions.</w:t>
      </w:r>
    </w:p>
    <w:p w14:paraId="4CBE0E87" w14:textId="69B23C76" w:rsidR="00A33E3D" w:rsidRDefault="00A33E3D">
      <w:pPr>
        <w:spacing w:after="0" w:line="259" w:lineRule="auto"/>
        <w:ind w:firstLine="0" w:left="-1032" w:right="-485"/>
        <w:jc w:val="left"/>
      </w:pPr>
    </w:p>
    <w:p w14:paraId="32402E08" w14:textId="77777777" w:rsidR="00A33E3D" w:rsidRDefault="00E0675A">
      <w:pPr>
        <w:ind w:left="23" w:right="14"/>
      </w:pPr>
      <w:r>
        <w:t xml:space="preserve">La première des conditions est de disposer d'une ancienneté dans </w:t>
      </w:r>
      <w:proofErr w:type="spellStart"/>
      <w:r>
        <w:t>ia</w:t>
      </w:r>
      <w:proofErr w:type="spellEnd"/>
      <w:r>
        <w:t xml:space="preserve"> fonction au moins équivalente à sept an</w:t>
      </w:r>
      <w:r>
        <w:t>nées.</w:t>
      </w:r>
    </w:p>
    <w:p w14:paraId="6332AC57" w14:textId="70D1585D" w:rsidR="00A33E3D" w:rsidRDefault="00E0675A">
      <w:pPr>
        <w:spacing w:after="286"/>
        <w:ind w:left="23" w:right="14"/>
      </w:pPr>
      <w:r>
        <w:t xml:space="preserve">La seconde condition est de satisfaire aux conditions d'autonomie de technicité et de responsabilité définies par la Convention </w:t>
      </w:r>
      <w:r w:rsidR="008C2BA1">
        <w:t>Collective</w:t>
      </w:r>
      <w:r>
        <w:t xml:space="preserve"> sur l'échelon.</w:t>
      </w:r>
    </w:p>
    <w:p w14:paraId="2A0A71BB" w14:textId="77777777" w:rsidR="00A33E3D" w:rsidRDefault="00E0675A">
      <w:pPr>
        <w:spacing w:after="276"/>
        <w:ind w:left="23" w:right="14"/>
      </w:pPr>
      <w:r>
        <w:t>Chaque Direction Régionale évaluera entre le mois d'avril et la fin du mois de mai, à la lumière des conditions posées ci-dessus, la capacité des collaborateurs éligibles de son périmètre à évoluer.</w:t>
      </w:r>
    </w:p>
    <w:p w14:paraId="6DB9CA87" w14:textId="77777777" w:rsidR="00A33E3D" w:rsidRDefault="00E0675A">
      <w:pPr>
        <w:spacing w:after="263"/>
        <w:ind w:left="23" w:right="14"/>
      </w:pPr>
      <w:r>
        <w:t>Les modifications contractuelles seront applicables à com</w:t>
      </w:r>
      <w:r>
        <w:t xml:space="preserve">pter du </w:t>
      </w:r>
      <w:proofErr w:type="spellStart"/>
      <w:r>
        <w:t>Ol</w:t>
      </w:r>
      <w:proofErr w:type="spellEnd"/>
      <w:r>
        <w:t xml:space="preserve"> </w:t>
      </w:r>
      <w:r>
        <w:rPr>
          <w:vertAlign w:val="superscript"/>
        </w:rPr>
        <w:t xml:space="preserve">er </w:t>
      </w:r>
      <w:r>
        <w:t>avril 2022.</w:t>
      </w:r>
    </w:p>
    <w:p w14:paraId="0B9B94B5" w14:textId="77777777" w:rsidR="00A33E3D" w:rsidRDefault="00E0675A">
      <w:pPr>
        <w:numPr>
          <w:ilvl w:val="0"/>
          <w:numId w:val="1"/>
        </w:numPr>
        <w:spacing w:after="108" w:line="259" w:lineRule="auto"/>
        <w:ind w:hanging="370"/>
        <w:jc w:val="left"/>
      </w:pPr>
      <w:r>
        <w:rPr>
          <w:u w:color="000000" w:val="single"/>
        </w:rPr>
        <w:t>Médailles du travail</w:t>
      </w:r>
    </w:p>
    <w:p w14:paraId="6AA49A60" w14:textId="77777777" w:rsidR="00A33E3D" w:rsidRDefault="00E0675A">
      <w:pPr>
        <w:spacing w:after="314" w:before="244"/>
        <w:ind w:left="23" w:right="14"/>
      </w:pPr>
      <w:r>
        <w:t xml:space="preserve">La Direction et les Organisations Syndicales souhaitent amorcer une démarche d'accompagnement de la reconnaissance du travail </w:t>
      </w:r>
      <w:proofErr w:type="spellStart"/>
      <w:r>
        <w:t>accomplit</w:t>
      </w:r>
      <w:proofErr w:type="spellEnd"/>
      <w:r>
        <w:t xml:space="preserve"> par ses collaborateurs tout au long de leur carrière professionnelle.</w:t>
      </w:r>
    </w:p>
    <w:p w14:paraId="47C33EAC" w14:textId="77777777" w:rsidR="00A33E3D" w:rsidRDefault="00E0675A">
      <w:pPr>
        <w:spacing w:after="295"/>
        <w:ind w:left="23" w:right="14"/>
      </w:pPr>
      <w:r>
        <w:lastRenderedPageBreak/>
        <w:t>A c</w:t>
      </w:r>
      <w:r>
        <w:t>e titre, une gratification sera versée à tout collaborateur portant à la connaissance de son employeur (Direction des Ressources Humaines Régionale) son éligibilité à la médaille du travail ainsi que son diplôme.</w:t>
      </w:r>
    </w:p>
    <w:p w14:paraId="2848389C" w14:textId="77777777" w:rsidR="00A33E3D" w:rsidRDefault="00E0675A">
      <w:pPr>
        <w:spacing w:after="167"/>
        <w:ind w:left="23" w:right="14"/>
      </w:pPr>
      <w:r>
        <w:t>Les montant des gratifications sont les sui</w:t>
      </w:r>
      <w:r>
        <w:t>vants :</w:t>
      </w:r>
    </w:p>
    <w:p w14:paraId="75B07044" w14:textId="77777777" w:rsidR="00A33E3D" w:rsidRDefault="00E0675A">
      <w:pPr>
        <w:ind w:left="23" w:right="14"/>
      </w:pPr>
      <w:r>
        <w:t>La médaille du travail de vermeil remise après 30 ans de services : 130€</w:t>
      </w:r>
    </w:p>
    <w:p w14:paraId="0CCFD85E" w14:textId="77777777" w:rsidR="00A33E3D" w:rsidRDefault="00E0675A">
      <w:pPr>
        <w:ind w:left="23" w:right="14"/>
      </w:pPr>
      <w:r>
        <w:rPr>
          <w:noProof/>
          <w:sz w:val="22"/>
        </w:rPr>
        <mc:AlternateContent>
          <mc:Choice Requires="wpg">
            <w:drawing>
              <wp:anchor allowOverlap="1" behindDoc="0" distB="0" distL="114300" distR="114300" distT="0" layoutInCell="1" locked="0" relativeHeight="251659264" simplePos="0" wp14:anchorId="5F3F1A61" wp14:editId="12E3EE8E">
                <wp:simplePos x="0" y="0"/>
                <wp:positionH relativeFrom="page">
                  <wp:posOffset>39632</wp:posOffset>
                </wp:positionH>
                <wp:positionV relativeFrom="page">
                  <wp:posOffset>3000087</wp:posOffset>
                </wp:positionV>
                <wp:extent cx="7484349" cy="9147"/>
                <wp:effectExtent b="0" l="0" r="0" t="0"/>
                <wp:wrapTopAndBottom/>
                <wp:docPr id="13976" name="Group 13976"/>
                <wp:cNvGraphicFramePr/>
                <a:graphic xmlns:a="http://schemas.openxmlformats.org/drawingml/2006/main">
                  <a:graphicData uri="http://schemas.microsoft.com/office/word/2010/wordprocessingGroup">
                    <wpg:wgp>
                      <wpg:cNvGrpSpPr/>
                      <wpg:grpSpPr>
                        <a:xfrm>
                          <a:off x="0" y="0"/>
                          <a:ext cx="7484349" cy="9147"/>
                          <a:chOff x="0" y="0"/>
                          <a:chExt cx="7484349" cy="9147"/>
                        </a:xfrm>
                      </wpg:grpSpPr>
                      <wps:wsp>
                        <wps:cNvPr id="13975" name="Shape 13975"/>
                        <wps:cNvSpPr/>
                        <wps:spPr>
                          <a:xfrm>
                            <a:off x="0" y="0"/>
                            <a:ext cx="7484349" cy="9147"/>
                          </a:xfrm>
                          <a:custGeom>
                            <a:avLst/>
                            <a:gdLst/>
                            <a:ahLst/>
                            <a:cxnLst/>
                            <a:rect b="0" l="0" r="0" t="0"/>
                            <a:pathLst>
                              <a:path h="9147" w="7484349">
                                <a:moveTo>
                                  <a:pt x="0" y="4573"/>
                                </a:moveTo>
                                <a:lnTo>
                                  <a:pt x="7484349" y="4573"/>
                                </a:lnTo>
                              </a:path>
                            </a:pathLst>
                          </a:custGeom>
                          <a:ln cap="flat" w="9147">
                            <a:miter lim="100000"/>
                          </a:ln>
                        </wps:spPr>
                        <wps:style>
                          <a:lnRef idx="1">
                            <a:srgbClr val="000000"/>
                          </a:lnRef>
                          <a:fillRef idx="0">
                            <a:srgbClr val="000000"/>
                          </a:fillRef>
                          <a:effectRef idx="0">
                            <a:scrgbClr b="0" g="0" r="0"/>
                          </a:effectRef>
                          <a:fontRef idx="none"/>
                        </wps:style>
                        <wps:bodyPr/>
                      </wps:wsp>
                    </wpg:wgp>
                  </a:graphicData>
                </a:graphic>
              </wp:anchor>
            </w:drawing>
          </mc:Choice>
          <mc:Fallback xmlns:a="http://schemas.openxmlformats.org/drawingml/2006/main">
            <w:pict>
              <v:group coordsize="74843,91" id="Group 13976" style="width:589.319pt;height:0.7202pt;position:absolute;mso-position-horizontal-relative:page;mso-position-horizontal:absolute;margin-left:3.12063pt;mso-position-vertical-relative:page;margin-top:236.227pt;">
                <v:shape coordsize="7484349,9147" id="Shape 13975" path="m0,4573l7484349,4573" style="position:absolute;width:74843;height:91;left:0;top:0;">
                  <v:stroke color="#000000" endcap="flat" joinstyle="miter" miterlimit="1" on="true" weight="0.7202pt"/>
                  <v:fill color="#000000" on="false"/>
                </v:shape>
                <w10:wrap type="topAndBottom"/>
              </v:group>
            </w:pict>
          </mc:Fallback>
        </mc:AlternateContent>
      </w:r>
      <w:r>
        <w:t>La médaille du travail d'or remise après 35 ans de services : 150€</w:t>
      </w:r>
    </w:p>
    <w:p w14:paraId="1CAC44C6" w14:textId="77777777" w:rsidR="00A33E3D" w:rsidRDefault="00E0675A">
      <w:pPr>
        <w:spacing w:after="176"/>
        <w:ind w:left="23" w:right="14"/>
      </w:pPr>
      <w:r>
        <w:t>La grande médaille du travail d'or remise après 40 ans de services : 170€</w:t>
      </w:r>
    </w:p>
    <w:p w14:paraId="17D7235E" w14:textId="77777777" w:rsidR="00A33E3D" w:rsidRDefault="00E0675A">
      <w:pPr>
        <w:spacing w:after="578"/>
        <w:ind w:left="23" w:right="14"/>
      </w:pPr>
      <w:r>
        <w:t>Les gratifications sont versées p</w:t>
      </w:r>
      <w:r>
        <w:t>our la dernière médaille à laquelle le salarié est éligible.</w:t>
      </w:r>
    </w:p>
    <w:p w14:paraId="337492E8" w14:textId="77777777" w:rsidR="00A33E3D" w:rsidRDefault="00E0675A">
      <w:pPr>
        <w:pStyle w:val="Titre1"/>
        <w:ind w:left="5"/>
      </w:pPr>
      <w:r>
        <w:t>ARTICLE 2. LA DUREE ET L'ORGANISATION DU TEMPS DE TRAVAIL</w:t>
      </w:r>
    </w:p>
    <w:p w14:paraId="1A34AC3E" w14:textId="77777777" w:rsidR="00A33E3D" w:rsidRDefault="00E0675A">
      <w:pPr>
        <w:spacing w:after="282"/>
        <w:ind w:left="23" w:right="14"/>
      </w:pPr>
      <w:r>
        <w:t>La Direction d'ISS PROPRETE reconduit l'accompagnement des salariés parents d'enfants d'âge scolaire et leur propose le bénéfice du souti</w:t>
      </w:r>
      <w:r>
        <w:t>en scolaire en ligne.</w:t>
      </w:r>
    </w:p>
    <w:p w14:paraId="71C097D1" w14:textId="77777777" w:rsidR="00A33E3D" w:rsidRDefault="00E0675A">
      <w:pPr>
        <w:pStyle w:val="Titre1"/>
        <w:spacing w:after="236"/>
        <w:ind w:left="5"/>
      </w:pPr>
      <w:r>
        <w:t>ARTICLE 3. MESURES VISANT A LA SUPPRESSION DES ECARTS femmes/hommes</w:t>
      </w:r>
    </w:p>
    <w:p w14:paraId="048D3034" w14:textId="77777777" w:rsidR="00A33E3D" w:rsidRDefault="00E0675A">
      <w:pPr>
        <w:spacing w:after="288"/>
        <w:ind w:left="23" w:right="14"/>
      </w:pPr>
      <w:r>
        <w:t>Les Parties conviennent à ce que la Direction s'engage à veiller à l'égalité de rémunération entre tous les salariés des deux sexes au sein de l'entreprise,</w:t>
      </w:r>
    </w:p>
    <w:p w14:paraId="377EF75C" w14:textId="31FDCF78" w:rsidR="00A33E3D" w:rsidRDefault="00E0675A">
      <w:pPr>
        <w:spacing w:after="312"/>
        <w:ind w:left="23" w:right="14"/>
      </w:pPr>
      <w:r>
        <w:t>La Société s'engage donc à appliquer les mêmes calculs de rémunération aux salariés des deux sexes,</w:t>
      </w:r>
      <w:r>
        <w:t xml:space="preserve"> à compétence, expérience, et profil équivalent et pour autant que les salariés concernés soient placés dans une situation identique sur un même poste.</w:t>
      </w:r>
      <w:r w:rsidR="00754D1D">
        <w:t xml:space="preserve"> </w:t>
      </w:r>
    </w:p>
    <w:p w14:paraId="1CE44E4E" w14:textId="77777777" w:rsidR="00A33E3D" w:rsidRDefault="00E0675A">
      <w:pPr>
        <w:spacing w:after="313"/>
        <w:ind w:left="23" w:right="14"/>
      </w:pPr>
      <w:r>
        <w:t>Ainsi, la Société s'engage à réajuster tout écart éventuel de rémunération non justifiés entre la rémuné</w:t>
      </w:r>
      <w:r>
        <w:t>ration des femmes et des hommes en cas de situation.</w:t>
      </w:r>
    </w:p>
    <w:p w14:paraId="7D9CBD8E" w14:textId="2D1F1F53" w:rsidR="00A33E3D" w:rsidRDefault="00E0675A">
      <w:pPr>
        <w:ind w:left="23" w:right="14"/>
      </w:pPr>
      <w:r>
        <w:t>Par ailleurs, afin de favoriser l'évolution des salariés de retour de congé parental, ceux-ci seront</w:t>
      </w:r>
      <w:r w:rsidR="00754D1D" w:rsidRPr="00754D1D">
        <w:t xml:space="preserve"> </w:t>
      </w:r>
      <w:r w:rsidR="00754D1D">
        <w:t>p</w:t>
      </w:r>
      <w:r w:rsidR="00754D1D">
        <w:t>rioritaires pour accéder aux actions de formation.</w:t>
      </w:r>
    </w:p>
    <w:p w14:paraId="0120EBC6" w14:textId="710D025C" w:rsidR="00A33E3D" w:rsidRDefault="00A33E3D">
      <w:pPr>
        <w:spacing w:after="0" w:line="259" w:lineRule="auto"/>
        <w:ind w:firstLine="0" w:left="-1032" w:right="-1061"/>
        <w:jc w:val="left"/>
      </w:pPr>
    </w:p>
    <w:p w14:paraId="6701AFB8" w14:textId="77777777" w:rsidR="00A33E3D" w:rsidRDefault="00E0675A">
      <w:pPr>
        <w:pStyle w:val="Titre1"/>
        <w:ind w:left="5"/>
      </w:pPr>
      <w:r>
        <w:t>ARTICLE 4. DEPOT ET PUBLICITE</w:t>
      </w:r>
    </w:p>
    <w:p w14:paraId="46BF06CD" w14:textId="77777777" w:rsidR="00A33E3D" w:rsidRDefault="00E0675A">
      <w:pPr>
        <w:spacing w:after="383"/>
        <w:ind w:left="23" w:right="14"/>
      </w:pPr>
      <w:r>
        <w:t xml:space="preserve">Le présent accord sera notifié, par la Société ISS FACILITY SERVICES, </w:t>
      </w:r>
      <w:r>
        <w:t>par tous moyens, à l'ensemble des Organisations Syndicales.</w:t>
      </w:r>
    </w:p>
    <w:p w14:paraId="2974CD6D" w14:textId="77777777" w:rsidR="00A33E3D" w:rsidRDefault="00E0675A">
      <w:pPr>
        <w:spacing w:after="201"/>
        <w:ind w:left="23" w:right="14"/>
      </w:pPr>
      <w:r>
        <w:t xml:space="preserve">Il sera déposé dans l'intranet : </w:t>
      </w:r>
      <w:r>
        <w:rPr>
          <w:noProof/>
        </w:rPr>
        <w:drawing>
          <wp:inline distB="0" distL="0" distR="0" distT="0" wp14:anchorId="23EE89EF" wp14:editId="112E597D">
            <wp:extent cx="1929773" cy="146346"/>
            <wp:effectExtent b="0" l="0" r="0" t="0"/>
            <wp:docPr id="7673" name="Picture 7673"/>
            <wp:cNvGraphicFramePr/>
            <a:graphic xmlns:a="http://schemas.openxmlformats.org/drawingml/2006/main">
              <a:graphicData uri="http://schemas.openxmlformats.org/drawingml/2006/picture">
                <pic:pic xmlns:pic="http://schemas.openxmlformats.org/drawingml/2006/picture">
                  <pic:nvPicPr>
                    <pic:cNvPr id="7673" name="Picture 7673"/>
                    <pic:cNvPicPr/>
                  </pic:nvPicPr>
                  <pic:blipFill>
                    <a:blip r:embed="rId13"/>
                    <a:stretch>
                      <a:fillRect/>
                    </a:stretch>
                  </pic:blipFill>
                  <pic:spPr>
                    <a:xfrm>
                      <a:off x="0" y="0"/>
                      <a:ext cx="1929773" cy="146346"/>
                    </a:xfrm>
                    <a:prstGeom prst="rect">
                      <a:avLst/>
                    </a:prstGeom>
                  </pic:spPr>
                </pic:pic>
              </a:graphicData>
            </a:graphic>
          </wp:inline>
        </w:drawing>
      </w:r>
    </w:p>
    <w:p w14:paraId="00F9981B" w14:textId="77777777" w:rsidR="00A33E3D" w:rsidRDefault="00E0675A">
      <w:pPr>
        <w:ind w:left="23" w:right="14"/>
      </w:pPr>
      <w:r>
        <w:t>Il sera déposé en deux exemplaires (un exemplaire original transmis par courrier en lettre recommandée avec accusé réception, une version transmise sur support é</w:t>
      </w:r>
      <w:r>
        <w:t>lectronique) auprès de la</w:t>
      </w:r>
    </w:p>
    <w:p w14:paraId="024CFE8E" w14:textId="77777777" w:rsidR="00A33E3D" w:rsidRDefault="00E0675A">
      <w:pPr>
        <w:spacing w:after="422" w:line="259" w:lineRule="auto"/>
        <w:ind w:firstLine="0" w:left="-1032" w:right="-1051"/>
        <w:jc w:val="left"/>
      </w:pPr>
      <w:r>
        <w:rPr>
          <w:noProof/>
        </w:rPr>
        <w:drawing>
          <wp:inline distB="0" distL="0" distR="0" distT="0" wp14:anchorId="3A2BC4B6" wp14:editId="3C264BB7">
            <wp:extent cx="7475203" cy="106710"/>
            <wp:effectExtent b="0" l="0" r="0" t="0"/>
            <wp:docPr id="7674" name="Picture 7674"/>
            <wp:cNvGraphicFramePr/>
            <a:graphic xmlns:a="http://schemas.openxmlformats.org/drawingml/2006/main">
              <a:graphicData uri="http://schemas.openxmlformats.org/drawingml/2006/picture">
                <pic:pic xmlns:pic="http://schemas.openxmlformats.org/drawingml/2006/picture">
                  <pic:nvPicPr>
                    <pic:cNvPr id="7674" name="Picture 7674"/>
                    <pic:cNvPicPr/>
                  </pic:nvPicPr>
                  <pic:blipFill>
                    <a:blip r:embed="rId14"/>
                    <a:stretch>
                      <a:fillRect/>
                    </a:stretch>
                  </pic:blipFill>
                  <pic:spPr>
                    <a:xfrm>
                      <a:off x="0" y="0"/>
                      <a:ext cx="7475203" cy="106710"/>
                    </a:xfrm>
                    <a:prstGeom prst="rect">
                      <a:avLst/>
                    </a:prstGeom>
                  </pic:spPr>
                </pic:pic>
              </a:graphicData>
            </a:graphic>
          </wp:inline>
        </w:drawing>
      </w:r>
    </w:p>
    <w:p w14:paraId="5ECE50A5" w14:textId="77777777" w:rsidR="00A33E3D" w:rsidRDefault="00E0675A">
      <w:pPr>
        <w:spacing w:after="314"/>
        <w:ind w:left="23" w:right="14"/>
      </w:pPr>
      <w:r>
        <w:t>Un exemplaire original sera également adressé au Greffe du Conseil des Prud'hommes de Paris. Il sera diffusé dans la Société selon les modalités habituelles de communication et pourra être transmis sur demande à tout collaborateur.</w:t>
      </w:r>
    </w:p>
    <w:p w14:paraId="2BF8C516" w14:textId="77777777" w:rsidR="00A33E3D" w:rsidRDefault="00E0675A">
      <w:pPr>
        <w:spacing w:after="597"/>
        <w:ind w:left="23" w:right="14"/>
      </w:pPr>
      <w:r>
        <w:lastRenderedPageBreak/>
        <w:t>Le présent accord sera é</w:t>
      </w:r>
      <w:r>
        <w:t xml:space="preserve">galement rendu public et versé dans une base de données nationale, dont le contenu est publié en ligne, comme le prévoit le Décret n </w:t>
      </w:r>
      <w:r>
        <w:rPr>
          <w:vertAlign w:val="superscript"/>
        </w:rPr>
        <w:t xml:space="preserve">ô </w:t>
      </w:r>
      <w:r>
        <w:t>2017-752 du 3 mai 2017 relatif à la publicité des accords collectifs.</w:t>
      </w:r>
    </w:p>
    <w:p w14:paraId="01ADA0E2" w14:textId="77777777" w:rsidR="00A33E3D" w:rsidRDefault="00E0675A">
      <w:pPr>
        <w:spacing w:after="269"/>
        <w:ind w:left="23" w:right="14"/>
      </w:pPr>
      <w:r>
        <w:t>Fait à Courbevoie, le 04 avril 2022 en 7 exemplaires originaux.</w:t>
      </w:r>
    </w:p>
    <w:p w14:paraId="7D01A0F1" w14:textId="77777777" w:rsidR="00A33E3D" w:rsidRDefault="00E0675A">
      <w:pPr>
        <w:spacing w:after="274"/>
        <w:ind w:left="23" w:right="14"/>
      </w:pPr>
      <w:r>
        <w:t>Pour la Société ISS FACILITY SERVICES</w:t>
      </w:r>
    </w:p>
    <w:p w14:paraId="42882926" w14:textId="77777777" w:rsidR="00A33E3D" w:rsidRDefault="00E0675A">
      <w:pPr>
        <w:spacing w:after="246"/>
        <w:ind w:left="23" w:right="14"/>
      </w:pPr>
      <w:r>
        <w:t>Pour les Organisations Syndicales représentatives :</w:t>
      </w:r>
    </w:p>
    <w:p w14:paraId="7C9F816D" w14:textId="1B6E7B9A" w:rsidR="00A33E3D" w:rsidRDefault="00E0675A">
      <w:pPr>
        <w:ind w:left="23" w:right="2780"/>
      </w:pPr>
      <w:r>
        <w:t>Pour l'organisation syndicale CGT :</w:t>
      </w:r>
    </w:p>
    <w:p w14:paraId="4C1643FC" w14:textId="77777777" w:rsidR="00A33E3D" w:rsidRDefault="00E0675A">
      <w:pPr>
        <w:ind w:left="23" w:right="14"/>
      </w:pPr>
      <w:r>
        <w:t>Pour l'orga</w:t>
      </w:r>
      <w:r>
        <w:t>nisation syndicale FO :</w:t>
      </w:r>
    </w:p>
    <w:p w14:paraId="240DE9B2" w14:textId="7888730C" w:rsidR="00A33E3D" w:rsidRDefault="00E0675A">
      <w:pPr>
        <w:ind w:left="23" w:right="14"/>
      </w:pPr>
      <w:r>
        <w:t>Pour l'organisation syndicale CFE-CGC :</w:t>
      </w:r>
    </w:p>
    <w:p w14:paraId="4CF96A7B" w14:textId="77777777" w:rsidR="008C2BA1" w:rsidRDefault="008C2BA1">
      <w:pPr>
        <w:ind w:left="23" w:right="14"/>
      </w:pPr>
    </w:p>
    <w:p w14:paraId="412B6737" w14:textId="5D20C383" w:rsidR="00A33E3D" w:rsidRDefault="00E0675A">
      <w:pPr>
        <w:ind w:left="23" w:right="14"/>
      </w:pPr>
      <w:r>
        <w:t>Pour l'organisation syndicale CFDT :</w:t>
      </w:r>
    </w:p>
    <w:p w14:paraId="7B28CA37" w14:textId="10350317" w:rsidR="00A33E3D" w:rsidRDefault="00A33E3D">
      <w:pPr>
        <w:spacing w:after="0" w:line="259" w:lineRule="auto"/>
        <w:ind w:firstLine="0" w:left="-1032" w:right="-1051"/>
        <w:jc w:val="left"/>
      </w:pPr>
    </w:p>
    <w:p w14:paraId="66E291A5" w14:textId="77777777" w:rsidR="00A33E3D" w:rsidRDefault="00E0675A">
      <w:pPr>
        <w:pStyle w:val="Titre1"/>
        <w:tabs>
          <w:tab w:pos="4270" w:val="center"/>
          <w:tab w:pos="8791" w:val="center"/>
        </w:tabs>
        <w:spacing w:after="0" w:line="259" w:lineRule="auto"/>
        <w:ind w:firstLine="0" w:left="0"/>
      </w:pPr>
      <w:r>
        <w:rPr>
          <w:sz w:val="20"/>
          <w:u w:val="none"/>
        </w:rPr>
        <w:t xml:space="preserve">ISS FACILITY SERVCES - </w:t>
      </w:r>
      <w:r>
        <w:rPr>
          <w:sz w:val="20"/>
          <w:u w:val="none"/>
        </w:rPr>
        <w:tab/>
        <w:t xml:space="preserve">ANNUELLE OBLIGATOIRE </w:t>
      </w:r>
      <w:r>
        <w:rPr>
          <w:sz w:val="20"/>
          <w:u w:val="none"/>
        </w:rPr>
        <w:tab/>
        <w:t>4 sur 3</w:t>
      </w:r>
    </w:p>
    <w:sectPr w:rsidR="00A33E3D">
      <w:type w:val="continuous"/>
      <w:pgSz w:h="16838" w:w="11906"/>
      <w:pgMar w:bottom="595" w:footer="720" w:gutter="0" w:header="720" w:left="1095" w:right="1123" w:top="14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544D" w14:textId="77777777" w:rsidR="00E0675A" w:rsidRDefault="00E0675A">
      <w:pPr>
        <w:spacing w:after="0" w:line="240" w:lineRule="auto"/>
      </w:pPr>
      <w:r>
        <w:separator/>
      </w:r>
    </w:p>
  </w:endnote>
  <w:endnote w:type="continuationSeparator" w:id="0">
    <w:p w14:paraId="1F2214D6" w14:textId="77777777" w:rsidR="00E0675A" w:rsidRDefault="00E0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38F12FD" w14:textId="77777777" w:rsidR="00A33E3D" w:rsidRDefault="00E0675A">
    <w:pPr>
      <w:tabs>
        <w:tab w:pos="2698" w:val="center"/>
        <w:tab w:pos="5567" w:val="center"/>
      </w:tabs>
      <w:spacing w:after="0" w:line="259" w:lineRule="auto"/>
      <w:ind w:firstLine="0"/>
      <w:jc w:val="left"/>
    </w:pPr>
    <w:r>
      <w:rPr>
        <w:sz w:val="22"/>
      </w:rPr>
      <w:tab/>
    </w:r>
    <w:r>
      <w:rPr>
        <w:sz w:val="20"/>
      </w:rPr>
      <w:t xml:space="preserve">NEGOCIAT'ON </w:t>
    </w:r>
    <w:r>
      <w:rPr>
        <w:sz w:val="20"/>
      </w:rPr>
      <w:tab/>
    </w:r>
    <w:r>
      <w:rPr>
        <w:sz w:val="18"/>
      </w:rPr>
      <w:t>2022</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C4BB187" w14:textId="77777777" w:rsidR="00A33E3D" w:rsidRDefault="00E0675A">
    <w:pPr>
      <w:tabs>
        <w:tab w:pos="2698" w:val="center"/>
        <w:tab w:pos="5567" w:val="center"/>
      </w:tabs>
      <w:spacing w:after="0" w:line="259" w:lineRule="auto"/>
      <w:ind w:firstLine="0"/>
      <w:jc w:val="left"/>
    </w:pPr>
    <w:r>
      <w:rPr>
        <w:sz w:val="22"/>
      </w:rPr>
      <w:tab/>
    </w:r>
    <w:r>
      <w:rPr>
        <w:sz w:val="20"/>
      </w:rPr>
      <w:t xml:space="preserve">NEGOCIAT'ON </w:t>
    </w:r>
    <w:r>
      <w:rPr>
        <w:sz w:val="20"/>
      </w:rPr>
      <w:tab/>
    </w:r>
    <w:r>
      <w:rPr>
        <w:sz w:val="18"/>
      </w:rPr>
      <w:t>2022</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A1A4C42" w14:textId="77777777" w:rsidR="00A33E3D" w:rsidRDefault="00E0675A">
    <w:pPr>
      <w:tabs>
        <w:tab w:pos="2698" w:val="center"/>
        <w:tab w:pos="5567" w:val="center"/>
      </w:tabs>
      <w:spacing w:after="0" w:line="259" w:lineRule="auto"/>
      <w:ind w:firstLine="0"/>
      <w:jc w:val="left"/>
    </w:pPr>
    <w:r>
      <w:rPr>
        <w:sz w:val="22"/>
      </w:rPr>
      <w:tab/>
    </w:r>
    <w:r>
      <w:rPr>
        <w:sz w:val="20"/>
      </w:rPr>
      <w:t xml:space="preserve">NEGOCIAT'ON </w:t>
    </w:r>
    <w:r>
      <w:rPr>
        <w:sz w:val="20"/>
      </w:rPr>
      <w:tab/>
    </w:r>
    <w:r>
      <w:rPr>
        <w:sz w:val="18"/>
      </w:rPr>
      <w:t>2022</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794F671" w14:textId="77777777" w:rsidR="00E0675A" w:rsidRDefault="00E0675A">
      <w:pPr>
        <w:spacing w:after="0" w:line="240" w:lineRule="auto"/>
      </w:pPr>
      <w:r>
        <w:separator/>
      </w:r>
    </w:p>
  </w:footnote>
  <w:footnote w:id="0" w:type="continuationSeparator">
    <w:p w14:paraId="06D6BAEE" w14:textId="77777777" w:rsidR="00E0675A" w:rsidRDefault="00E0675A">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6F600C98"/>
    <w:multiLevelType w:val="hybridMultilevel"/>
    <w:tmpl w:val="A094FE80"/>
    <w:lvl w:ilvl="0" w:tplc="113A390E">
      <w:start w:val="1"/>
      <w:numFmt w:val="decimal"/>
      <w:lvlText w:val="%1)"/>
      <w:lvlJc w:val="left"/>
      <w:pPr>
        <w:ind w:left="758"/>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1" w:tplc="1FBA712C">
      <w:start w:val="1"/>
      <w:numFmt w:val="lowerLetter"/>
      <w:lvlText w:val="%2"/>
      <w:lvlJc w:val="left"/>
      <w:pPr>
        <w:ind w:left="1457"/>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2" w:tplc="3F0E89D8">
      <w:start w:val="1"/>
      <w:numFmt w:val="lowerRoman"/>
      <w:lvlText w:val="%3"/>
      <w:lvlJc w:val="left"/>
      <w:pPr>
        <w:ind w:left="2177"/>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3" w:tplc="A0E647B2">
      <w:start w:val="1"/>
      <w:numFmt w:val="decimal"/>
      <w:lvlText w:val="%4"/>
      <w:lvlJc w:val="left"/>
      <w:pPr>
        <w:ind w:left="2897"/>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4" w:tplc="CCDA54CE">
      <w:start w:val="1"/>
      <w:numFmt w:val="lowerLetter"/>
      <w:lvlText w:val="%5"/>
      <w:lvlJc w:val="left"/>
      <w:pPr>
        <w:ind w:left="3617"/>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5" w:tplc="C1E4F636">
      <w:start w:val="1"/>
      <w:numFmt w:val="lowerRoman"/>
      <w:lvlText w:val="%6"/>
      <w:lvlJc w:val="left"/>
      <w:pPr>
        <w:ind w:left="4337"/>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6" w:tplc="2794D41C">
      <w:start w:val="1"/>
      <w:numFmt w:val="decimal"/>
      <w:lvlText w:val="%7"/>
      <w:lvlJc w:val="left"/>
      <w:pPr>
        <w:ind w:left="5057"/>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7" w:tplc="CC3EE612">
      <w:start w:val="1"/>
      <w:numFmt w:val="lowerLetter"/>
      <w:lvlText w:val="%8"/>
      <w:lvlJc w:val="left"/>
      <w:pPr>
        <w:ind w:left="5777"/>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8" w:tplc="E6922C62">
      <w:start w:val="1"/>
      <w:numFmt w:val="lowerRoman"/>
      <w:lvlText w:val="%9"/>
      <w:lvlJc w:val="left"/>
      <w:pPr>
        <w:ind w:left="6497"/>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abstractNum>
  <w:num w16cid:durableId="767583854"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E3D"/>
    <w:rsid w:val="0011157E"/>
    <w:rsid w:val="00660DCC"/>
    <w:rsid w:val="006A220A"/>
    <w:rsid w:val="00754D1D"/>
    <w:rsid w:val="008C2BA1"/>
    <w:rsid w:val="00A33E3D"/>
    <w:rsid w:val="00E0675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D6D3F06"/>
  <w15:docId w15:val="{B1DE87A7-193D-4C60-A119-D475AB3C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after="14" w:line="248" w:lineRule="auto"/>
      <w:ind w:firstLine="4"/>
      <w:jc w:val="both"/>
    </w:pPr>
    <w:rPr>
      <w:rFonts w:ascii="Calibri" w:cs="Calibri" w:eastAsia="Calibri" w:hAnsi="Calibri"/>
      <w:color w:val="000000"/>
      <w:sz w:val="24"/>
    </w:rPr>
  </w:style>
  <w:style w:styleId="Titre1" w:type="paragraph">
    <w:name w:val="heading 1"/>
    <w:next w:val="Normal"/>
    <w:link w:val="Titre1Car"/>
    <w:uiPriority w:val="9"/>
    <w:qFormat/>
    <w:pPr>
      <w:keepNext/>
      <w:keepLines/>
      <w:spacing w:after="272" w:line="265" w:lineRule="auto"/>
      <w:ind w:hanging="10" w:left="48"/>
      <w:outlineLvl w:val="0"/>
    </w:pPr>
    <w:rPr>
      <w:rFonts w:ascii="Calibri" w:cs="Calibri" w:eastAsia="Calibri" w:hAnsi="Calibri"/>
      <w:color w:val="000000"/>
      <w:sz w:val="26"/>
      <w:u w:color="000000"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link w:val="Titre1"/>
    <w:rPr>
      <w:rFonts w:ascii="Calibri" w:cs="Calibri" w:eastAsia="Calibri" w:hAnsi="Calibri"/>
      <w:color w:val="000000"/>
      <w:sz w:val="26"/>
      <w:u w:color="000000" w:val="single"/>
    </w:rPr>
  </w:style>
  <w:style w:customStyle="1" w:styleId="TableGrid" w:type="table">
    <w:name w:val="TableGrid"/>
    <w:pPr>
      <w:spacing w:after="0" w:line="240" w:lineRule="auto"/>
    </w:pPr>
    <w:tblPr>
      <w:tblCellMar>
        <w:top w:type="dxa" w:w="0"/>
        <w:left w:type="dxa" w:w="0"/>
        <w:bottom w:type="dxa" w:w="0"/>
        <w:right w:type="dxa" w:w="0"/>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oter3.xml" Type="http://schemas.openxmlformats.org/officeDocument/2006/relationships/footer"/><Relationship Id="rId12" Target="media/image3.jpg" Type="http://schemas.openxmlformats.org/officeDocument/2006/relationships/image"/><Relationship Id="rId13" Target="media/image4.jpg" Type="http://schemas.openxmlformats.org/officeDocument/2006/relationships/image"/><Relationship Id="rId14" Target="media/image5.jpg" Type="http://schemas.openxmlformats.org/officeDocument/2006/relationships/image"/><Relationship Id="rId15" Target="fontTable.xml" Type="http://schemas.openxmlformats.org/officeDocument/2006/relationships/fontTable"/><Relationship Id="rId16"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g" Type="http://schemas.openxmlformats.org/officeDocument/2006/relationships/image"/><Relationship Id="rId8" Target="media/image2.jpg"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942</Words>
  <Characters>5184</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2022-05-16T07:59:00Z</dcterms:created>
  <dcterms:modified xsi:type="dcterms:W3CDTF">2022-05-16T08:03:00Z</dcterms:modified>
  <cp:revision>6</cp:revision>
</cp:coreProperties>
</file>