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C210F5A" w14:textId="77777777" w:rsidP="00E254BA" w:rsidR="008D0CD9" w:rsidRDefault="00465FE0">
      <w:pPr>
        <w:widowControl/>
        <w:jc w:val="both"/>
        <w:rPr>
          <w:rFonts w:ascii="Verdana" w:cs="Helvetica" w:hAnsi="Verdana"/>
          <w:sz w:val="22"/>
          <w:szCs w:val="22"/>
        </w:rPr>
      </w:pPr>
      <w:r>
        <w:rPr>
          <w:rFonts w:ascii="Verdana" w:cs="Helvetica" w:hAnsi="Verdana"/>
          <w:sz w:val="22"/>
          <w:szCs w:val="22"/>
        </w:rPr>
        <w:t xml:space="preserve"> </w:t>
      </w:r>
    </w:p>
    <w:p w14:paraId="5B56D17A" w14:textId="77777777" w:rsidP="00E254BA" w:rsidR="008D0CD9" w:rsidRDefault="008D0CD9">
      <w:pPr>
        <w:widowControl/>
        <w:jc w:val="both"/>
        <w:rPr>
          <w:rFonts w:ascii="Verdana" w:cs="Helvetica" w:hAnsi="Verdana"/>
          <w:sz w:val="22"/>
          <w:szCs w:val="22"/>
        </w:rPr>
      </w:pPr>
    </w:p>
    <w:p w14:paraId="2CAF10BC" w14:textId="77777777" w:rsidP="00E254BA" w:rsidR="008D0CD9" w:rsidRDefault="008D0CD9">
      <w:pPr>
        <w:widowControl/>
        <w:jc w:val="both"/>
        <w:rPr>
          <w:rFonts w:ascii="Verdana" w:cs="Helvetica" w:hAnsi="Verdana"/>
          <w:sz w:val="22"/>
          <w:szCs w:val="22"/>
        </w:rPr>
      </w:pPr>
    </w:p>
    <w:p w14:paraId="21E236AB" w14:textId="303EE0AC" w:rsidP="00E254BA" w:rsidR="00567AC0" w:rsidRDefault="00567AC0">
      <w:pPr>
        <w:widowControl/>
        <w:jc w:val="both"/>
        <w:rPr>
          <w:rFonts w:ascii="Verdana" w:cs="Helvetica" w:hAnsi="Verdana"/>
          <w:sz w:val="22"/>
          <w:szCs w:val="22"/>
        </w:rPr>
      </w:pPr>
    </w:p>
    <w:p w14:paraId="773DF694" w14:textId="77777777" w:rsidP="00E254BA" w:rsidR="00F2268A" w:rsidRDefault="00F2268A">
      <w:pPr>
        <w:widowControl/>
        <w:jc w:val="both"/>
        <w:rPr>
          <w:rFonts w:ascii="Verdana" w:cs="Helvetica" w:hAnsi="Verdana"/>
          <w:sz w:val="22"/>
          <w:szCs w:val="22"/>
        </w:rPr>
      </w:pPr>
    </w:p>
    <w:p w14:paraId="5321C6DA" w14:textId="4BDABF1A" w:rsidP="00E254BA" w:rsidR="00A86E8C" w:rsidRDefault="00C127CA">
      <w:pPr>
        <w:widowControl/>
        <w:jc w:val="both"/>
        <w:rPr>
          <w:rFonts w:ascii="Verdana" w:cs="Helvetica" w:hAnsi="Verdana"/>
          <w:sz w:val="22"/>
          <w:szCs w:val="22"/>
        </w:rPr>
      </w:pPr>
      <w:r>
        <w:rPr>
          <w:rFonts w:ascii="Verdana" w:cs="Helvetica" w:hAnsi="Verdana"/>
          <w:noProof/>
          <w:sz w:val="22"/>
          <w:szCs w:val="22"/>
        </w:rPr>
        <w:drawing>
          <wp:anchor allowOverlap="1" behindDoc="0" distB="0" distL="114300" distR="180340" distT="0" layoutInCell="1" locked="0" relativeHeight="251658240" simplePos="0" wp14:anchorId="64F8F7A2" wp14:editId="3E40E86E">
            <wp:simplePos x="447675" y="542925"/>
            <wp:positionH relativeFrom="margin">
              <wp:align>left</wp:align>
            </wp:positionH>
            <wp:positionV relativeFrom="margin">
              <wp:align>top</wp:align>
            </wp:positionV>
            <wp:extent cx="1598400" cy="723600"/>
            <wp:effectExtent b="635" l="0" r="1905" t="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rres_Inovia_baseline.jpg"/>
                    <pic:cNvPicPr/>
                  </pic:nvPicPr>
                  <pic:blipFill>
                    <a:blip r:embed="rId8">
                      <a:extLst>
                        <a:ext uri="{28A0092B-C50C-407E-A947-70E740481C1C}">
                          <a14:useLocalDpi xmlns:a14="http://schemas.microsoft.com/office/drawing/2010/main" val="0"/>
                        </a:ext>
                      </a:extLst>
                    </a:blip>
                    <a:stretch>
                      <a:fillRect/>
                    </a:stretch>
                  </pic:blipFill>
                  <pic:spPr>
                    <a:xfrm>
                      <a:off x="0" y="0"/>
                      <a:ext cx="1598400" cy="723600"/>
                    </a:xfrm>
                    <a:prstGeom prst="rect">
                      <a:avLst/>
                    </a:prstGeom>
                  </pic:spPr>
                </pic:pic>
              </a:graphicData>
            </a:graphic>
            <wp14:sizeRelH relativeFrom="margin">
              <wp14:pctWidth>0</wp14:pctWidth>
            </wp14:sizeRelH>
            <wp14:sizeRelV relativeFrom="margin">
              <wp14:pctHeight>0</wp14:pctHeight>
            </wp14:sizeRelV>
          </wp:anchor>
        </w:drawing>
      </w:r>
    </w:p>
    <w:p w14:paraId="3DBA5264" w14:textId="527BB161" w:rsidP="00BB61D1" w:rsidR="00BB61D1" w:rsidRDefault="00FE508A" w:rsidRPr="007765C1">
      <w:pPr>
        <w:widowControl/>
        <w:jc w:val="center"/>
        <w:rPr>
          <w:rFonts w:ascii="Verdana" w:cs="Helvetica" w:hAnsi="Verdana"/>
          <w:b/>
          <w:bCs/>
          <w:sz w:val="22"/>
          <w:szCs w:val="22"/>
        </w:rPr>
      </w:pPr>
      <w:r w:rsidRPr="007765C1">
        <w:rPr>
          <w:rFonts w:ascii="Verdana" w:cs="Helvetica" w:hAnsi="Verdana"/>
          <w:b/>
          <w:bCs/>
          <w:sz w:val="22"/>
          <w:szCs w:val="22"/>
        </w:rPr>
        <w:t xml:space="preserve">NEGOCIATION ANNUELLE OBLIGATOIRE </w:t>
      </w:r>
      <w:r w:rsidR="00342876" w:rsidRPr="007765C1">
        <w:rPr>
          <w:rFonts w:ascii="Verdana" w:cs="Helvetica" w:hAnsi="Verdana"/>
          <w:b/>
          <w:bCs/>
          <w:sz w:val="22"/>
          <w:szCs w:val="22"/>
        </w:rPr>
        <w:t>20</w:t>
      </w:r>
      <w:r w:rsidR="00342876">
        <w:rPr>
          <w:rFonts w:ascii="Verdana" w:cs="Helvetica" w:hAnsi="Verdana"/>
          <w:b/>
          <w:bCs/>
          <w:sz w:val="22"/>
          <w:szCs w:val="22"/>
        </w:rPr>
        <w:t>2</w:t>
      </w:r>
      <w:r w:rsidR="003A5890">
        <w:rPr>
          <w:rFonts w:ascii="Verdana" w:cs="Helvetica" w:hAnsi="Verdana"/>
          <w:b/>
          <w:bCs/>
          <w:sz w:val="22"/>
          <w:szCs w:val="22"/>
        </w:rPr>
        <w:t>3</w:t>
      </w:r>
    </w:p>
    <w:p w14:paraId="2FF79AB3" w14:textId="77777777" w:rsidP="00BB61D1" w:rsidR="00FE508A" w:rsidRDefault="00FE508A" w:rsidRPr="007765C1">
      <w:pPr>
        <w:widowControl/>
        <w:jc w:val="center"/>
        <w:rPr>
          <w:rFonts w:ascii="Verdana" w:cs="Helvetica" w:hAnsi="Verdana"/>
          <w:b/>
          <w:bCs/>
          <w:sz w:val="22"/>
          <w:szCs w:val="22"/>
        </w:rPr>
      </w:pPr>
    </w:p>
    <w:p w14:paraId="48F68CBC" w14:textId="77777777" w:rsidP="00FE508A" w:rsidR="00FE508A" w:rsidRDefault="00FE508A" w:rsidRPr="007765C1">
      <w:pPr>
        <w:jc w:val="both"/>
        <w:rPr>
          <w:rFonts w:ascii="Times New Roman" w:cs="Times New Roman" w:hAnsi="Times New Roman"/>
          <w:sz w:val="22"/>
          <w:szCs w:val="22"/>
        </w:rPr>
      </w:pPr>
    </w:p>
    <w:p w14:paraId="3581DB9E" w14:textId="7E36A2D9" w:rsidP="00FE508A" w:rsidR="00FE508A" w:rsidRDefault="00FE508A" w:rsidRPr="007765C1">
      <w:pPr>
        <w:jc w:val="both"/>
        <w:rPr>
          <w:rFonts w:ascii="Times New Roman" w:cs="Times New Roman" w:hAnsi="Times New Roman"/>
          <w:sz w:val="22"/>
          <w:szCs w:val="22"/>
        </w:rPr>
      </w:pPr>
      <w:r w:rsidRPr="007765C1">
        <w:rPr>
          <w:rFonts w:ascii="Times New Roman" w:cs="Times New Roman" w:hAnsi="Times New Roman"/>
          <w:sz w:val="22"/>
          <w:szCs w:val="22"/>
        </w:rPr>
        <w:t>Dans le cadre de la négociation annuelle obligatoire, les deux parties se sont rencontrées les</w:t>
      </w:r>
      <w:r w:rsidR="00E2658E">
        <w:rPr>
          <w:rFonts w:ascii="Times New Roman" w:cs="Times New Roman" w:hAnsi="Times New Roman"/>
          <w:sz w:val="22"/>
          <w:szCs w:val="22"/>
        </w:rPr>
        <w:t xml:space="preserve"> 20 janvier 2023, </w:t>
      </w:r>
      <w:r w:rsidR="00FF2FA1">
        <w:rPr>
          <w:rFonts w:ascii="Times New Roman" w:cs="Times New Roman" w:hAnsi="Times New Roman"/>
          <w:sz w:val="22"/>
          <w:szCs w:val="22"/>
        </w:rPr>
        <w:t xml:space="preserve">9 </w:t>
      </w:r>
      <w:r w:rsidR="00412B9D">
        <w:rPr>
          <w:rFonts w:ascii="Times New Roman" w:cs="Times New Roman" w:hAnsi="Times New Roman"/>
          <w:sz w:val="22"/>
          <w:szCs w:val="22"/>
        </w:rPr>
        <w:t xml:space="preserve">février 2023, </w:t>
      </w:r>
      <w:r w:rsidR="00A60E92">
        <w:rPr>
          <w:rFonts w:ascii="Times New Roman" w:cs="Times New Roman" w:hAnsi="Times New Roman"/>
          <w:sz w:val="22"/>
          <w:szCs w:val="22"/>
        </w:rPr>
        <w:t>8 mars 2023 et 14 mars 2023</w:t>
      </w:r>
      <w:r w:rsidR="00E6163F">
        <w:rPr>
          <w:rFonts w:ascii="Times New Roman" w:cs="Times New Roman" w:hAnsi="Times New Roman"/>
          <w:sz w:val="22"/>
          <w:szCs w:val="22"/>
        </w:rPr>
        <w:t>.</w:t>
      </w:r>
    </w:p>
    <w:p w14:paraId="51D315A3" w14:textId="77777777" w:rsidP="00FE508A" w:rsidR="00FE508A" w:rsidRDefault="00FE508A" w:rsidRPr="007765C1">
      <w:pPr>
        <w:jc w:val="both"/>
        <w:rPr>
          <w:rFonts w:ascii="Times New Roman" w:cs="Times New Roman" w:hAnsi="Times New Roman"/>
          <w:sz w:val="22"/>
          <w:szCs w:val="22"/>
        </w:rPr>
      </w:pPr>
    </w:p>
    <w:p w14:paraId="29F1F4DE" w14:textId="77777777" w:rsidP="00FE508A" w:rsidR="00FE508A" w:rsidRDefault="00FE508A" w:rsidRPr="007765C1">
      <w:pPr>
        <w:jc w:val="both"/>
        <w:rPr>
          <w:rFonts w:ascii="Times New Roman" w:cs="Times New Roman" w:hAnsi="Times New Roman"/>
          <w:sz w:val="22"/>
          <w:szCs w:val="22"/>
        </w:rPr>
      </w:pPr>
      <w:r w:rsidRPr="007765C1">
        <w:rPr>
          <w:rFonts w:ascii="Times New Roman" w:cs="Times New Roman" w:hAnsi="Times New Roman"/>
          <w:sz w:val="22"/>
          <w:szCs w:val="22"/>
        </w:rPr>
        <w:t xml:space="preserve">Dans ce cadre, les échanges ont porté sur : </w:t>
      </w:r>
    </w:p>
    <w:p w14:paraId="424BBCA5" w14:textId="062F63AE" w:rsidP="00FE508A" w:rsidR="00FE508A" w:rsidRDefault="00FE508A" w:rsidRPr="007765C1">
      <w:pPr>
        <w:shd w:color="auto" w:fill="FFFFFF" w:val="clear"/>
        <w:spacing w:before="200"/>
        <w:jc w:val="both"/>
        <w:rPr>
          <w:rFonts w:ascii="Times New Roman" w:cs="Times New Roman" w:hAnsi="Times New Roman"/>
          <w:sz w:val="22"/>
          <w:szCs w:val="22"/>
        </w:rPr>
      </w:pPr>
      <w:r w:rsidRPr="007765C1">
        <w:rPr>
          <w:rFonts w:ascii="Times New Roman" w:cs="Times New Roman" w:hAnsi="Times New Roman"/>
          <w:sz w:val="22"/>
          <w:szCs w:val="22"/>
        </w:rPr>
        <w:t xml:space="preserve">1 </w:t>
      </w:r>
      <w:r w:rsidR="007337BD" w:rsidRPr="007765C1">
        <w:rPr>
          <w:rFonts w:ascii="Times New Roman" w:cs="Times New Roman" w:hAnsi="Times New Roman"/>
          <w:sz w:val="22"/>
          <w:szCs w:val="22"/>
        </w:rPr>
        <w:t>- Les</w:t>
      </w:r>
      <w:r w:rsidRPr="007765C1">
        <w:rPr>
          <w:rFonts w:ascii="Times New Roman" w:cs="Times New Roman" w:hAnsi="Times New Roman"/>
          <w:sz w:val="22"/>
          <w:szCs w:val="22"/>
        </w:rPr>
        <w:t xml:space="preserve"> salaires effectifs (mesures collectives</w:t>
      </w:r>
      <w:r w:rsidR="00465FE0" w:rsidRPr="007765C1">
        <w:rPr>
          <w:rFonts w:ascii="Times New Roman" w:cs="Times New Roman" w:hAnsi="Times New Roman"/>
          <w:sz w:val="22"/>
          <w:szCs w:val="22"/>
        </w:rPr>
        <w:t>, spécifiques et individuelles</w:t>
      </w:r>
      <w:r w:rsidRPr="007765C1">
        <w:rPr>
          <w:rFonts w:ascii="Times New Roman" w:cs="Times New Roman" w:hAnsi="Times New Roman"/>
          <w:sz w:val="22"/>
          <w:szCs w:val="22"/>
        </w:rPr>
        <w:t>)</w:t>
      </w:r>
      <w:r w:rsidR="007337BD">
        <w:rPr>
          <w:rFonts w:ascii="Times New Roman" w:cs="Times New Roman" w:hAnsi="Times New Roman"/>
          <w:sz w:val="22"/>
          <w:szCs w:val="22"/>
        </w:rPr>
        <w:t>.</w:t>
      </w:r>
    </w:p>
    <w:p w14:paraId="6E90D12B" w14:textId="03343DB1" w:rsidP="00FE508A" w:rsidR="00FE508A" w:rsidRDefault="00FE508A">
      <w:pPr>
        <w:shd w:color="auto" w:fill="FFFFFF" w:val="clear"/>
        <w:spacing w:before="200"/>
        <w:jc w:val="both"/>
        <w:rPr>
          <w:rFonts w:ascii="Times New Roman" w:cs="Times New Roman" w:hAnsi="Times New Roman"/>
          <w:sz w:val="22"/>
          <w:szCs w:val="22"/>
        </w:rPr>
      </w:pPr>
      <w:r w:rsidRPr="007765C1">
        <w:rPr>
          <w:rFonts w:ascii="Times New Roman" w:cs="Times New Roman" w:hAnsi="Times New Roman"/>
          <w:sz w:val="22"/>
          <w:szCs w:val="22"/>
        </w:rPr>
        <w:t xml:space="preserve">2 </w:t>
      </w:r>
      <w:r w:rsidR="007337BD" w:rsidRPr="007765C1">
        <w:rPr>
          <w:rFonts w:ascii="Times New Roman" w:cs="Times New Roman" w:hAnsi="Times New Roman"/>
          <w:sz w:val="22"/>
          <w:szCs w:val="22"/>
        </w:rPr>
        <w:t>- La</w:t>
      </w:r>
      <w:r w:rsidRPr="007765C1">
        <w:rPr>
          <w:rFonts w:ascii="Times New Roman" w:cs="Times New Roman" w:hAnsi="Times New Roman"/>
          <w:sz w:val="22"/>
          <w:szCs w:val="22"/>
        </w:rPr>
        <w:t xml:space="preserve"> durée effective et l’organisation du temps de travail</w:t>
      </w:r>
      <w:r w:rsidR="007337BD">
        <w:rPr>
          <w:rFonts w:ascii="Times New Roman" w:cs="Times New Roman" w:hAnsi="Times New Roman"/>
          <w:sz w:val="22"/>
          <w:szCs w:val="22"/>
        </w:rPr>
        <w:t>.</w:t>
      </w:r>
    </w:p>
    <w:p w14:paraId="5CF5C96B" w14:textId="6A70C4A1" w:rsidP="00FE508A" w:rsidR="005C6F7D" w:rsidRDefault="005C6F7D">
      <w:pPr>
        <w:shd w:color="auto" w:fill="FFFFFF" w:val="clear"/>
        <w:spacing w:before="200"/>
        <w:jc w:val="both"/>
        <w:rPr>
          <w:rFonts w:ascii="Times New Roman" w:cs="Times New Roman" w:hAnsi="Times New Roman"/>
          <w:sz w:val="22"/>
          <w:szCs w:val="22"/>
        </w:rPr>
      </w:pPr>
      <w:r>
        <w:rPr>
          <w:rFonts w:ascii="Times New Roman" w:cs="Times New Roman" w:hAnsi="Times New Roman"/>
          <w:sz w:val="22"/>
          <w:szCs w:val="22"/>
        </w:rPr>
        <w:t>3</w:t>
      </w:r>
      <w:r w:rsidR="007337BD">
        <w:rPr>
          <w:rFonts w:ascii="Times New Roman" w:cs="Times New Roman" w:hAnsi="Times New Roman"/>
          <w:sz w:val="22"/>
          <w:szCs w:val="22"/>
        </w:rPr>
        <w:t xml:space="preserve"> </w:t>
      </w:r>
      <w:r>
        <w:rPr>
          <w:rFonts w:ascii="Times New Roman" w:cs="Times New Roman" w:hAnsi="Times New Roman"/>
          <w:sz w:val="22"/>
          <w:szCs w:val="22"/>
        </w:rPr>
        <w:t>- L’emploi des séniors</w:t>
      </w:r>
      <w:r w:rsidR="007337BD">
        <w:rPr>
          <w:rFonts w:ascii="Times New Roman" w:cs="Times New Roman" w:hAnsi="Times New Roman"/>
          <w:sz w:val="22"/>
          <w:szCs w:val="22"/>
        </w:rPr>
        <w:t>.</w:t>
      </w:r>
    </w:p>
    <w:p w14:paraId="3A753AD9" w14:textId="374B9A71" w:rsidP="005C6F7D" w:rsidR="005C6F7D" w:rsidRDefault="005C6F7D">
      <w:pPr>
        <w:shd w:color="auto" w:fill="FFFFFF" w:val="clear"/>
        <w:spacing w:before="200"/>
        <w:jc w:val="both"/>
        <w:rPr>
          <w:rFonts w:ascii="Times New Roman" w:cs="Times New Roman" w:hAnsi="Times New Roman"/>
          <w:sz w:val="22"/>
          <w:szCs w:val="22"/>
        </w:rPr>
      </w:pPr>
      <w:r>
        <w:rPr>
          <w:rFonts w:ascii="Times New Roman" w:cs="Times New Roman" w:hAnsi="Times New Roman"/>
          <w:sz w:val="22"/>
          <w:szCs w:val="22"/>
        </w:rPr>
        <w:t xml:space="preserve">4 </w:t>
      </w:r>
      <w:r w:rsidRPr="007765C1">
        <w:rPr>
          <w:rFonts w:ascii="Times New Roman" w:cs="Times New Roman" w:hAnsi="Times New Roman"/>
          <w:sz w:val="22"/>
          <w:szCs w:val="22"/>
        </w:rPr>
        <w:t>- Les objectifs en matière d’égalité professionnelle entre les femmes et les hommes et sur les mesures permettant d’atteindre ces objectifs</w:t>
      </w:r>
      <w:r w:rsidR="007337BD">
        <w:rPr>
          <w:rFonts w:ascii="Times New Roman" w:cs="Times New Roman" w:hAnsi="Times New Roman"/>
          <w:sz w:val="22"/>
          <w:szCs w:val="22"/>
        </w:rPr>
        <w:t>.</w:t>
      </w:r>
    </w:p>
    <w:p w14:paraId="0407CDF7" w14:textId="3DD5347E" w:rsidP="00FE508A" w:rsidR="005C6F7D" w:rsidRDefault="005C6F7D" w:rsidRPr="007765C1">
      <w:pPr>
        <w:shd w:color="auto" w:fill="FFFFFF" w:val="clear"/>
        <w:spacing w:before="200"/>
        <w:jc w:val="both"/>
        <w:rPr>
          <w:rFonts w:ascii="Times New Roman" w:cs="Times New Roman" w:hAnsi="Times New Roman"/>
          <w:sz w:val="22"/>
          <w:szCs w:val="22"/>
        </w:rPr>
      </w:pPr>
      <w:r>
        <w:rPr>
          <w:rFonts w:ascii="Times New Roman" w:cs="Times New Roman" w:hAnsi="Times New Roman"/>
          <w:sz w:val="22"/>
          <w:szCs w:val="22"/>
        </w:rPr>
        <w:t>5 - La formation professionnelle</w:t>
      </w:r>
      <w:r w:rsidR="007337BD">
        <w:rPr>
          <w:rFonts w:ascii="Times New Roman" w:cs="Times New Roman" w:hAnsi="Times New Roman"/>
          <w:sz w:val="22"/>
          <w:szCs w:val="22"/>
        </w:rPr>
        <w:t>.</w:t>
      </w:r>
    </w:p>
    <w:p w14:paraId="44B5468C" w14:textId="1055922B" w:rsidP="00FE508A" w:rsidR="00FE508A" w:rsidRDefault="005C6F7D" w:rsidRPr="007765C1">
      <w:pPr>
        <w:shd w:color="auto" w:fill="FFFFFF" w:val="clear"/>
        <w:spacing w:before="200"/>
        <w:jc w:val="both"/>
        <w:rPr>
          <w:rFonts w:ascii="Times New Roman" w:cs="Times New Roman" w:hAnsi="Times New Roman"/>
          <w:sz w:val="22"/>
          <w:szCs w:val="22"/>
        </w:rPr>
      </w:pPr>
      <w:r>
        <w:rPr>
          <w:rFonts w:ascii="Times New Roman" w:cs="Times New Roman" w:hAnsi="Times New Roman"/>
          <w:sz w:val="22"/>
          <w:szCs w:val="22"/>
        </w:rPr>
        <w:t>6</w:t>
      </w:r>
      <w:r w:rsidR="00FE508A" w:rsidRPr="007765C1">
        <w:rPr>
          <w:rFonts w:ascii="Times New Roman" w:cs="Times New Roman" w:hAnsi="Times New Roman"/>
          <w:sz w:val="22"/>
          <w:szCs w:val="22"/>
        </w:rPr>
        <w:t xml:space="preserve"> - Les mesures relatives à l’insertion professionnelle et au maintien dans l’emploi des travailleurs handicapés</w:t>
      </w:r>
      <w:r w:rsidR="007337BD">
        <w:rPr>
          <w:rFonts w:ascii="Times New Roman" w:cs="Times New Roman" w:hAnsi="Times New Roman"/>
          <w:sz w:val="22"/>
          <w:szCs w:val="22"/>
        </w:rPr>
        <w:t>.</w:t>
      </w:r>
    </w:p>
    <w:p w14:paraId="7C8FA2D6" w14:textId="6B333739" w:rsidP="0066520C" w:rsidR="0066520C" w:rsidRDefault="0066520C" w:rsidRPr="007765C1">
      <w:pPr>
        <w:shd w:color="auto" w:fill="FFFFFF" w:val="clear"/>
        <w:spacing w:before="200"/>
        <w:jc w:val="both"/>
        <w:rPr>
          <w:rFonts w:ascii="Times New Roman" w:cs="Times New Roman" w:hAnsi="Times New Roman"/>
          <w:sz w:val="22"/>
          <w:szCs w:val="22"/>
        </w:rPr>
      </w:pPr>
      <w:r w:rsidRPr="007765C1">
        <w:rPr>
          <w:rFonts w:ascii="Times New Roman" w:cs="Times New Roman" w:hAnsi="Times New Roman"/>
          <w:sz w:val="22"/>
          <w:szCs w:val="22"/>
        </w:rPr>
        <w:t>___________________________________________________________________________</w:t>
      </w:r>
      <w:r w:rsidR="00E6163F">
        <w:rPr>
          <w:rFonts w:ascii="Times New Roman" w:cs="Times New Roman" w:hAnsi="Times New Roman"/>
          <w:sz w:val="22"/>
          <w:szCs w:val="22"/>
        </w:rPr>
        <w:t>_______</w:t>
      </w:r>
    </w:p>
    <w:p w14:paraId="2D66D611" w14:textId="1B1E9253" w:rsidP="00B826D2" w:rsidR="0066520C" w:rsidRDefault="0066520C" w:rsidRPr="007765C1">
      <w:pPr>
        <w:shd w:color="auto" w:fill="FFFFFF" w:val="clear"/>
        <w:spacing w:before="200"/>
        <w:jc w:val="both"/>
        <w:rPr>
          <w:rFonts w:ascii="Times New Roman" w:cs="Times New Roman" w:hAnsi="Times New Roman"/>
          <w:sz w:val="22"/>
          <w:szCs w:val="22"/>
        </w:rPr>
      </w:pPr>
      <w:r w:rsidRPr="007765C1">
        <w:rPr>
          <w:rFonts w:ascii="Times New Roman" w:cs="Times New Roman" w:hAnsi="Times New Roman"/>
          <w:sz w:val="22"/>
          <w:szCs w:val="22"/>
        </w:rPr>
        <w:t xml:space="preserve">Les échanges se sont appuyés </w:t>
      </w:r>
      <w:r w:rsidR="00B826D2" w:rsidRPr="007765C1">
        <w:rPr>
          <w:rFonts w:ascii="Times New Roman" w:cs="Times New Roman" w:hAnsi="Times New Roman"/>
          <w:sz w:val="22"/>
          <w:szCs w:val="22"/>
        </w:rPr>
        <w:t xml:space="preserve">sur la situation sociale et économique </w:t>
      </w:r>
      <w:r w:rsidR="0042014C">
        <w:rPr>
          <w:rFonts w:ascii="Times New Roman" w:cs="Times New Roman" w:hAnsi="Times New Roman"/>
          <w:sz w:val="22"/>
          <w:szCs w:val="22"/>
        </w:rPr>
        <w:t xml:space="preserve">du pays et </w:t>
      </w:r>
      <w:r w:rsidR="00B826D2" w:rsidRPr="007765C1">
        <w:rPr>
          <w:rFonts w:ascii="Times New Roman" w:cs="Times New Roman" w:hAnsi="Times New Roman"/>
          <w:sz w:val="22"/>
          <w:szCs w:val="22"/>
        </w:rPr>
        <w:t>de Terres Inovia,</w:t>
      </w:r>
      <w:r w:rsidR="00FE508A" w:rsidRPr="007765C1">
        <w:rPr>
          <w:rFonts w:ascii="Times New Roman" w:cs="Times New Roman" w:hAnsi="Times New Roman"/>
          <w:sz w:val="22"/>
          <w:szCs w:val="22"/>
        </w:rPr>
        <w:t xml:space="preserve"> il est convenu ce qui suit : </w:t>
      </w:r>
    </w:p>
    <w:p w14:paraId="5D2F1A6C" w14:textId="77777777" w:rsidP="00FE508A" w:rsidR="0066520C" w:rsidRDefault="0066520C" w:rsidRPr="007765C1">
      <w:pPr>
        <w:jc w:val="both"/>
        <w:rPr>
          <w:rFonts w:ascii="Times New Roman" w:cs="Times New Roman" w:hAnsi="Times New Roman"/>
          <w:b/>
          <w:sz w:val="22"/>
          <w:szCs w:val="22"/>
          <w:u w:val="single"/>
        </w:rPr>
      </w:pPr>
    </w:p>
    <w:p w14:paraId="73158FAD" w14:textId="77777777" w:rsidP="00FE508A" w:rsidR="00FE508A" w:rsidRDefault="00FE508A" w:rsidRPr="007765C1">
      <w:pPr>
        <w:jc w:val="both"/>
        <w:rPr>
          <w:rFonts w:ascii="Times New Roman" w:cs="Times New Roman" w:hAnsi="Times New Roman"/>
          <w:sz w:val="22"/>
          <w:szCs w:val="22"/>
        </w:rPr>
      </w:pPr>
      <w:r w:rsidRPr="007765C1">
        <w:rPr>
          <w:rFonts w:ascii="Times New Roman" w:cs="Times New Roman" w:hAnsi="Times New Roman"/>
          <w:b/>
          <w:sz w:val="22"/>
          <w:szCs w:val="22"/>
          <w:u w:val="single"/>
        </w:rPr>
        <w:t>1 </w:t>
      </w:r>
      <w:r w:rsidR="003D5278">
        <w:rPr>
          <w:rFonts w:ascii="Times New Roman" w:cs="Times New Roman" w:hAnsi="Times New Roman"/>
          <w:b/>
          <w:sz w:val="22"/>
          <w:szCs w:val="22"/>
          <w:u w:val="single"/>
        </w:rPr>
        <w:t xml:space="preserve">- </w:t>
      </w:r>
      <w:r w:rsidRPr="007765C1">
        <w:rPr>
          <w:rFonts w:ascii="Times New Roman" w:cs="Times New Roman" w:hAnsi="Times New Roman"/>
          <w:b/>
          <w:sz w:val="22"/>
          <w:szCs w:val="22"/>
          <w:u w:val="single"/>
        </w:rPr>
        <w:t>Les salaires effectifs</w:t>
      </w:r>
    </w:p>
    <w:p w14:paraId="3D65829A" w14:textId="77777777" w:rsidP="00FE508A" w:rsidR="00465FE0" w:rsidRDefault="00465FE0" w:rsidRPr="007765C1">
      <w:pPr>
        <w:jc w:val="both"/>
        <w:rPr>
          <w:rFonts w:ascii="Times New Roman" w:cs="Times New Roman" w:hAnsi="Times New Roman"/>
          <w:sz w:val="22"/>
          <w:szCs w:val="22"/>
          <w:u w:val="single"/>
        </w:rPr>
      </w:pPr>
    </w:p>
    <w:p w14:paraId="7A503292" w14:textId="137C1012" w:rsidP="00FE508A" w:rsidR="00465FE0" w:rsidRDefault="00465FE0" w:rsidRPr="007765C1">
      <w:pPr>
        <w:jc w:val="both"/>
        <w:rPr>
          <w:rFonts w:ascii="Times New Roman" w:cs="Times New Roman" w:hAnsi="Times New Roman"/>
          <w:b/>
          <w:sz w:val="22"/>
          <w:szCs w:val="22"/>
        </w:rPr>
      </w:pPr>
      <w:r w:rsidRPr="007765C1">
        <w:rPr>
          <w:rFonts w:ascii="Times New Roman" w:cs="Times New Roman" w:hAnsi="Times New Roman"/>
          <w:b/>
          <w:sz w:val="22"/>
          <w:szCs w:val="22"/>
        </w:rPr>
        <w:t>Mesures collectives 20</w:t>
      </w:r>
      <w:r w:rsidR="0024544F">
        <w:rPr>
          <w:rFonts w:ascii="Times New Roman" w:cs="Times New Roman" w:hAnsi="Times New Roman"/>
          <w:b/>
          <w:sz w:val="22"/>
          <w:szCs w:val="22"/>
        </w:rPr>
        <w:t>2</w:t>
      </w:r>
      <w:r w:rsidR="002740B3">
        <w:rPr>
          <w:rFonts w:ascii="Times New Roman" w:cs="Times New Roman" w:hAnsi="Times New Roman"/>
          <w:b/>
          <w:sz w:val="22"/>
          <w:szCs w:val="22"/>
        </w:rPr>
        <w:t>3</w:t>
      </w:r>
      <w:r w:rsidRPr="007765C1">
        <w:rPr>
          <w:rFonts w:ascii="Times New Roman" w:cs="Times New Roman" w:hAnsi="Times New Roman"/>
          <w:b/>
          <w:sz w:val="22"/>
          <w:szCs w:val="22"/>
        </w:rPr>
        <w:t> :</w:t>
      </w:r>
    </w:p>
    <w:p w14:paraId="71B10911" w14:textId="77777777" w:rsidP="00FE508A" w:rsidR="006626A7" w:rsidRDefault="006626A7" w:rsidRPr="007765C1">
      <w:pPr>
        <w:jc w:val="both"/>
        <w:rPr>
          <w:rFonts w:ascii="Times New Roman" w:cs="Times New Roman" w:hAnsi="Times New Roman"/>
          <w:sz w:val="22"/>
          <w:szCs w:val="22"/>
          <w:u w:val="single"/>
        </w:rPr>
      </w:pPr>
    </w:p>
    <w:p w14:paraId="2FB5BF19" w14:textId="5220EA2E" w:rsidP="000C3966" w:rsidR="006626A7" w:rsidRDefault="006626A7">
      <w:pPr>
        <w:pStyle w:val="Paragraphedeliste"/>
        <w:numPr>
          <w:ilvl w:val="0"/>
          <w:numId w:val="7"/>
        </w:numPr>
        <w:ind w:left="709"/>
        <w:jc w:val="both"/>
        <w:rPr>
          <w:rFonts w:ascii="Times New Roman" w:cs="Times New Roman" w:hAnsi="Times New Roman"/>
          <w:sz w:val="22"/>
          <w:szCs w:val="22"/>
          <w:u w:val="single"/>
        </w:rPr>
      </w:pPr>
      <w:r w:rsidRPr="007765C1">
        <w:rPr>
          <w:rFonts w:ascii="Times New Roman" w:cs="Times New Roman" w:hAnsi="Times New Roman"/>
          <w:sz w:val="22"/>
          <w:szCs w:val="22"/>
          <w:u w:val="single"/>
        </w:rPr>
        <w:t xml:space="preserve">Augmentation générale : </w:t>
      </w:r>
    </w:p>
    <w:p w14:paraId="53C4C1BF" w14:textId="4D09687C" w:rsidP="001A4A92" w:rsidR="001A4A92" w:rsidRDefault="001A4A92" w:rsidRPr="00554590">
      <w:pPr>
        <w:jc w:val="both"/>
        <w:rPr>
          <w:rFonts w:ascii="Times New Roman" w:cs="Times New Roman" w:hAnsi="Times New Roman"/>
          <w:color w:val="auto"/>
          <w:sz w:val="22"/>
          <w:szCs w:val="22"/>
          <w:u w:val="single"/>
        </w:rPr>
      </w:pPr>
    </w:p>
    <w:p w14:paraId="7CFA4ABD" w14:textId="79C71AB5" w:rsidP="001A4A92" w:rsidR="001A4A92" w:rsidRDefault="00F320B8" w:rsidRPr="00554590">
      <w:pPr>
        <w:jc w:val="both"/>
        <w:rPr>
          <w:rFonts w:ascii="Times New Roman" w:cs="Times New Roman" w:hAnsi="Times New Roman"/>
          <w:color w:val="auto"/>
          <w:sz w:val="22"/>
          <w:szCs w:val="22"/>
        </w:rPr>
      </w:pPr>
      <w:r w:rsidRPr="00554590">
        <w:rPr>
          <w:rFonts w:ascii="Times New Roman" w:cs="Times New Roman" w:hAnsi="Times New Roman"/>
          <w:b/>
          <w:color w:val="auto"/>
          <w:sz w:val="22"/>
          <w:szCs w:val="22"/>
        </w:rPr>
        <w:t xml:space="preserve">Rappel de l’accord salarial 2022-2024 : </w:t>
      </w:r>
      <w:r w:rsidR="0009254B" w:rsidRPr="00554590">
        <w:rPr>
          <w:rFonts w:ascii="Times New Roman" w:cs="Times New Roman" w:hAnsi="Times New Roman"/>
          <w:color w:val="auto"/>
          <w:sz w:val="22"/>
          <w:szCs w:val="22"/>
        </w:rPr>
        <w:t>l</w:t>
      </w:r>
      <w:r w:rsidR="001A4A92" w:rsidRPr="00554590">
        <w:rPr>
          <w:rFonts w:ascii="Times New Roman" w:cs="Times New Roman" w:hAnsi="Times New Roman"/>
          <w:color w:val="auto"/>
          <w:sz w:val="22"/>
          <w:szCs w:val="22"/>
        </w:rPr>
        <w:t xml:space="preserve">’accord sur la politique salariale 2022-2024 </w:t>
      </w:r>
      <w:r w:rsidR="006A62BC" w:rsidRPr="00554590">
        <w:rPr>
          <w:rFonts w:ascii="Times New Roman" w:cs="Times New Roman" w:hAnsi="Times New Roman"/>
          <w:color w:val="auto"/>
          <w:sz w:val="22"/>
          <w:szCs w:val="22"/>
        </w:rPr>
        <w:t>prévoit la possibilité de procéder à une augmentation générale des salaires</w:t>
      </w:r>
      <w:r w:rsidR="00471879" w:rsidRPr="00554590">
        <w:rPr>
          <w:rFonts w:ascii="Times New Roman" w:cs="Times New Roman" w:hAnsi="Times New Roman"/>
          <w:color w:val="auto"/>
          <w:sz w:val="22"/>
          <w:szCs w:val="22"/>
        </w:rPr>
        <w:t xml:space="preserve">. Son déclenchement est basé sur l’appréciation de quatre critères économiques : </w:t>
      </w:r>
      <w:r w:rsidR="00F02581" w:rsidRPr="00554590">
        <w:rPr>
          <w:rFonts w:ascii="Times New Roman" w:cs="Times New Roman" w:hAnsi="Times New Roman"/>
          <w:color w:val="auto"/>
          <w:sz w:val="22"/>
          <w:szCs w:val="22"/>
        </w:rPr>
        <w:t>perspectives budgétaires et conjoncturelles, indice des prix à la consommation, EBITDA prévisionnel de l’année N</w:t>
      </w:r>
      <w:r w:rsidRPr="00554590">
        <w:rPr>
          <w:rFonts w:ascii="Times New Roman" w:cs="Times New Roman" w:hAnsi="Times New Roman"/>
          <w:color w:val="auto"/>
          <w:sz w:val="22"/>
          <w:szCs w:val="22"/>
        </w:rPr>
        <w:t xml:space="preserve"> et résultat prévisionnel. </w:t>
      </w:r>
    </w:p>
    <w:p w14:paraId="68424118" w14:textId="77777777" w:rsidP="001A4A92" w:rsidR="0092243A" w:rsidRDefault="0092243A" w:rsidRPr="00554590">
      <w:pPr>
        <w:jc w:val="both"/>
        <w:rPr>
          <w:rFonts w:ascii="Times New Roman" w:cs="Times New Roman" w:hAnsi="Times New Roman"/>
          <w:color w:val="auto"/>
          <w:sz w:val="22"/>
          <w:szCs w:val="22"/>
        </w:rPr>
      </w:pPr>
    </w:p>
    <w:p w14:paraId="5298637D" w14:textId="17FB3A7A" w:rsidP="001A4A92" w:rsidR="00F320B8" w:rsidRDefault="00F320B8" w:rsidRPr="00554590">
      <w:pPr>
        <w:jc w:val="both"/>
        <w:rPr>
          <w:rFonts w:ascii="Times New Roman" w:cs="Times New Roman" w:hAnsi="Times New Roman"/>
          <w:color w:val="auto"/>
          <w:sz w:val="22"/>
          <w:szCs w:val="22"/>
        </w:rPr>
      </w:pPr>
      <w:r w:rsidRPr="00554590">
        <w:rPr>
          <w:rFonts w:ascii="Times New Roman" w:cs="Times New Roman" w:hAnsi="Times New Roman"/>
          <w:color w:val="auto"/>
          <w:sz w:val="22"/>
          <w:szCs w:val="22"/>
        </w:rPr>
        <w:t>L’EBITDA</w:t>
      </w:r>
      <w:r w:rsidR="003D22FA" w:rsidRPr="00554590">
        <w:rPr>
          <w:rFonts w:ascii="Times New Roman" w:cs="Times New Roman" w:hAnsi="Times New Roman"/>
          <w:color w:val="auto"/>
          <w:sz w:val="22"/>
          <w:szCs w:val="22"/>
        </w:rPr>
        <w:t xml:space="preserve"> et le résultat net étant négatifs (-1 679 000€ et -502</w:t>
      </w:r>
      <w:r w:rsidR="00D36FE9" w:rsidRPr="00554590">
        <w:rPr>
          <w:rFonts w:ascii="Times New Roman" w:cs="Times New Roman" w:hAnsi="Times New Roman"/>
          <w:color w:val="auto"/>
          <w:sz w:val="22"/>
          <w:szCs w:val="22"/>
        </w:rPr>
        <w:t> </w:t>
      </w:r>
      <w:r w:rsidR="003D22FA" w:rsidRPr="00554590">
        <w:rPr>
          <w:rFonts w:ascii="Times New Roman" w:cs="Times New Roman" w:hAnsi="Times New Roman"/>
          <w:color w:val="auto"/>
          <w:sz w:val="22"/>
          <w:szCs w:val="22"/>
        </w:rPr>
        <w:t>00</w:t>
      </w:r>
      <w:r w:rsidR="00D36FE9" w:rsidRPr="00554590">
        <w:rPr>
          <w:rFonts w:ascii="Times New Roman" w:cs="Times New Roman" w:hAnsi="Times New Roman"/>
          <w:color w:val="auto"/>
          <w:sz w:val="22"/>
          <w:szCs w:val="22"/>
        </w:rPr>
        <w:t>0€ respectivement), il n’y a pas lieu, selon l’accord salarial, d</w:t>
      </w:r>
      <w:r w:rsidR="003C28F7" w:rsidRPr="00554590">
        <w:rPr>
          <w:rFonts w:ascii="Times New Roman" w:cs="Times New Roman" w:hAnsi="Times New Roman"/>
          <w:color w:val="auto"/>
          <w:sz w:val="22"/>
          <w:szCs w:val="22"/>
        </w:rPr>
        <w:t>’accorder d’augmentation générale des salaires.</w:t>
      </w:r>
    </w:p>
    <w:p w14:paraId="2F7D7AB3" w14:textId="7BD8F44C" w:rsidP="00FE508A" w:rsidR="008804A7" w:rsidRDefault="008804A7">
      <w:pPr>
        <w:jc w:val="both"/>
        <w:rPr>
          <w:rFonts w:ascii="Times New Roman" w:cs="Times New Roman" w:hAnsi="Times New Roman"/>
          <w:sz w:val="22"/>
          <w:szCs w:val="22"/>
        </w:rPr>
      </w:pPr>
    </w:p>
    <w:p w14:paraId="08383CAC" w14:textId="4758B9FB" w:rsidP="008804A7" w:rsidR="008804A7" w:rsidRDefault="008804A7" w:rsidRPr="00EF0FC8">
      <w:pPr>
        <w:jc w:val="both"/>
        <w:rPr>
          <w:rFonts w:ascii="Times New Roman" w:cs="Times New Roman" w:hAnsi="Times New Roman"/>
          <w:sz w:val="22"/>
          <w:szCs w:val="22"/>
        </w:rPr>
      </w:pPr>
      <w:r>
        <w:rPr>
          <w:rFonts w:ascii="Times New Roman" w:cs="Times New Roman" w:hAnsi="Times New Roman"/>
          <w:sz w:val="22"/>
          <w:szCs w:val="22"/>
        </w:rPr>
        <w:t>Néanmoins, étant donné l’inflation de + 6% sur les 12 derniers mois de 2022 et 2023, lors de la construction du budget de la masse salariale de Terres Inovia, une enveloppe globale de 500 000 € a été budgétée pour toutes les mesures individuelles et collectives</w:t>
      </w:r>
      <w:r w:rsidR="001E7996">
        <w:rPr>
          <w:rFonts w:ascii="Times New Roman" w:cs="Times New Roman" w:hAnsi="Times New Roman"/>
          <w:sz w:val="22"/>
          <w:szCs w:val="22"/>
        </w:rPr>
        <w:t>, dont celle relevant de la négociation annuelle obligatoire 2023</w:t>
      </w:r>
      <w:r>
        <w:rPr>
          <w:rFonts w:ascii="Times New Roman" w:cs="Times New Roman" w:hAnsi="Times New Roman"/>
          <w:sz w:val="22"/>
          <w:szCs w:val="22"/>
        </w:rPr>
        <w:t xml:space="preserve">. </w:t>
      </w:r>
    </w:p>
    <w:p w14:paraId="66C570E9" w14:textId="77777777" w:rsidP="00FE508A" w:rsidR="00834AF1" w:rsidRDefault="00834AF1">
      <w:pPr>
        <w:jc w:val="both"/>
        <w:rPr>
          <w:rFonts w:ascii="Times New Roman" w:cs="Times New Roman" w:hAnsi="Times New Roman"/>
          <w:sz w:val="22"/>
          <w:szCs w:val="22"/>
          <w:u w:val="single"/>
        </w:rPr>
      </w:pPr>
    </w:p>
    <w:p w14:paraId="57512AE8" w14:textId="5010731C" w:rsidP="002F0510" w:rsidR="002F0510" w:rsidRDefault="001E7996">
      <w:pPr>
        <w:jc w:val="both"/>
        <w:rPr>
          <w:rFonts w:ascii="Times New Roman" w:cs="Times New Roman" w:hAnsi="Times New Roman"/>
          <w:sz w:val="22"/>
          <w:szCs w:val="22"/>
        </w:rPr>
      </w:pPr>
      <w:r>
        <w:rPr>
          <w:rFonts w:ascii="Times New Roman" w:cs="Times New Roman" w:hAnsi="Times New Roman"/>
          <w:sz w:val="22"/>
          <w:szCs w:val="22"/>
        </w:rPr>
        <w:t>Dans le cadre de cette négociation, l</w:t>
      </w:r>
      <w:r w:rsidR="00604289">
        <w:rPr>
          <w:rFonts w:ascii="Times New Roman" w:cs="Times New Roman" w:hAnsi="Times New Roman"/>
          <w:sz w:val="22"/>
          <w:szCs w:val="22"/>
        </w:rPr>
        <w:t>a</w:t>
      </w:r>
      <w:r w:rsidR="002F409F">
        <w:rPr>
          <w:rFonts w:ascii="Times New Roman" w:cs="Times New Roman" w:hAnsi="Times New Roman"/>
          <w:sz w:val="22"/>
          <w:szCs w:val="22"/>
        </w:rPr>
        <w:t xml:space="preserve"> direction et les délégués syndicaux ont acté des augmentations générales</w:t>
      </w:r>
      <w:r w:rsidR="0093410B">
        <w:rPr>
          <w:rFonts w:ascii="Times New Roman" w:cs="Times New Roman" w:hAnsi="Times New Roman"/>
          <w:sz w:val="22"/>
          <w:szCs w:val="22"/>
        </w:rPr>
        <w:t>. Ces augmentations sont</w:t>
      </w:r>
      <w:r w:rsidR="00A2722F">
        <w:rPr>
          <w:rFonts w:ascii="Times New Roman" w:cs="Times New Roman" w:hAnsi="Times New Roman"/>
          <w:sz w:val="22"/>
          <w:szCs w:val="22"/>
        </w:rPr>
        <w:t xml:space="preserve"> plus </w:t>
      </w:r>
      <w:r w:rsidR="00604289">
        <w:rPr>
          <w:rFonts w:ascii="Times New Roman" w:cs="Times New Roman" w:hAnsi="Times New Roman"/>
          <w:sz w:val="22"/>
          <w:szCs w:val="22"/>
        </w:rPr>
        <w:t>élevées</w:t>
      </w:r>
      <w:r w:rsidR="00A2722F">
        <w:rPr>
          <w:rFonts w:ascii="Times New Roman" w:cs="Times New Roman" w:hAnsi="Times New Roman"/>
          <w:sz w:val="22"/>
          <w:szCs w:val="22"/>
        </w:rPr>
        <w:t xml:space="preserve"> que </w:t>
      </w:r>
      <w:r w:rsidR="008D500D">
        <w:rPr>
          <w:rFonts w:ascii="Times New Roman" w:cs="Times New Roman" w:hAnsi="Times New Roman"/>
          <w:sz w:val="22"/>
          <w:szCs w:val="22"/>
        </w:rPr>
        <w:t>la</w:t>
      </w:r>
      <w:r w:rsidR="00A2722F">
        <w:rPr>
          <w:rFonts w:ascii="Times New Roman" w:cs="Times New Roman" w:hAnsi="Times New Roman"/>
          <w:sz w:val="22"/>
          <w:szCs w:val="22"/>
        </w:rPr>
        <w:t xml:space="preserve"> grille prévue dans notre accord de</w:t>
      </w:r>
      <w:r w:rsidR="002F409F">
        <w:rPr>
          <w:rFonts w:ascii="Times New Roman" w:cs="Times New Roman" w:hAnsi="Times New Roman"/>
          <w:sz w:val="22"/>
          <w:szCs w:val="22"/>
        </w:rPr>
        <w:t xml:space="preserve"> politique salariale.</w:t>
      </w:r>
    </w:p>
    <w:p w14:paraId="6C79C4DE" w14:textId="1682696B" w:rsidP="002F0510" w:rsidR="00D71D68" w:rsidRDefault="00D71D68">
      <w:pPr>
        <w:jc w:val="both"/>
        <w:rPr>
          <w:rFonts w:ascii="Times New Roman" w:cs="Times New Roman" w:hAnsi="Times New Roman"/>
          <w:sz w:val="22"/>
          <w:szCs w:val="22"/>
        </w:rPr>
      </w:pPr>
    </w:p>
    <w:p w14:paraId="057E0C70" w14:textId="2A96EA86" w:rsidP="00D71D68" w:rsidR="00D71D68" w:rsidRDefault="00D71D68">
      <w:pPr>
        <w:jc w:val="both"/>
        <w:rPr>
          <w:rFonts w:ascii="Times New Roman" w:cs="Times New Roman" w:hAnsi="Times New Roman"/>
          <w:sz w:val="22"/>
          <w:szCs w:val="22"/>
        </w:rPr>
      </w:pPr>
      <w:r>
        <w:rPr>
          <w:rFonts w:ascii="Times New Roman" w:cs="Times New Roman" w:hAnsi="Times New Roman"/>
          <w:sz w:val="22"/>
          <w:szCs w:val="22"/>
        </w:rPr>
        <w:t xml:space="preserve">De ce fait, la direction prend acte de revaloriser les collaborateurs en contrat à durée indéterminée </w:t>
      </w:r>
      <w:r w:rsidR="00F204C8">
        <w:rPr>
          <w:rFonts w:ascii="Times New Roman" w:cs="Times New Roman" w:hAnsi="Times New Roman"/>
          <w:sz w:val="22"/>
          <w:szCs w:val="22"/>
        </w:rPr>
        <w:t xml:space="preserve">et </w:t>
      </w:r>
      <w:r w:rsidR="00F204C8" w:rsidRPr="00ED3751">
        <w:rPr>
          <w:rFonts w:ascii="Times New Roman" w:cs="Times New Roman" w:hAnsi="Times New Roman"/>
          <w:sz w:val="22"/>
          <w:szCs w:val="22"/>
        </w:rPr>
        <w:lastRenderedPageBreak/>
        <w:t>contrat à durée déterminée</w:t>
      </w:r>
      <w:r w:rsidR="00F204C8">
        <w:rPr>
          <w:rFonts w:ascii="Times New Roman" w:cs="Times New Roman" w:hAnsi="Times New Roman"/>
          <w:sz w:val="22"/>
          <w:szCs w:val="22"/>
        </w:rPr>
        <w:t xml:space="preserve"> </w:t>
      </w:r>
      <w:r>
        <w:rPr>
          <w:rFonts w:ascii="Times New Roman" w:cs="Times New Roman" w:hAnsi="Times New Roman"/>
          <w:sz w:val="22"/>
          <w:szCs w:val="22"/>
        </w:rPr>
        <w:t>entrés dans les effectifs avant le 1</w:t>
      </w:r>
      <w:r w:rsidRPr="007F14FC">
        <w:rPr>
          <w:rFonts w:ascii="Times New Roman" w:cs="Times New Roman" w:hAnsi="Times New Roman"/>
          <w:sz w:val="22"/>
          <w:szCs w:val="22"/>
          <w:vertAlign w:val="superscript"/>
        </w:rPr>
        <w:t>er</w:t>
      </w:r>
      <w:r>
        <w:rPr>
          <w:rFonts w:ascii="Times New Roman" w:cs="Times New Roman" w:hAnsi="Times New Roman"/>
          <w:sz w:val="22"/>
          <w:szCs w:val="22"/>
        </w:rPr>
        <w:t xml:space="preserve"> janvier 202</w:t>
      </w:r>
      <w:r w:rsidR="000308A6">
        <w:rPr>
          <w:rFonts w:ascii="Times New Roman" w:cs="Times New Roman" w:hAnsi="Times New Roman"/>
          <w:sz w:val="22"/>
          <w:szCs w:val="22"/>
        </w:rPr>
        <w:t>3</w:t>
      </w:r>
      <w:r w:rsidR="00FC2D98">
        <w:rPr>
          <w:rFonts w:ascii="Times New Roman" w:cs="Times New Roman" w:hAnsi="Times New Roman"/>
          <w:sz w:val="22"/>
          <w:szCs w:val="22"/>
        </w:rPr>
        <w:t xml:space="preserve"> avec </w:t>
      </w:r>
      <w:r w:rsidR="008E063E">
        <w:rPr>
          <w:rFonts w:ascii="Times New Roman" w:cs="Times New Roman" w:hAnsi="Times New Roman"/>
          <w:sz w:val="22"/>
          <w:szCs w:val="22"/>
        </w:rPr>
        <w:t>effet rétroactif</w:t>
      </w:r>
      <w:r w:rsidR="00D95192">
        <w:rPr>
          <w:rFonts w:ascii="Times New Roman" w:cs="Times New Roman" w:hAnsi="Times New Roman"/>
          <w:sz w:val="22"/>
          <w:szCs w:val="22"/>
        </w:rPr>
        <w:t xml:space="preserve"> au 1</w:t>
      </w:r>
      <w:r w:rsidR="00D95192" w:rsidRPr="00D95192">
        <w:rPr>
          <w:rFonts w:ascii="Times New Roman" w:cs="Times New Roman" w:hAnsi="Times New Roman"/>
          <w:sz w:val="22"/>
          <w:szCs w:val="22"/>
          <w:vertAlign w:val="superscript"/>
        </w:rPr>
        <w:t>er</w:t>
      </w:r>
      <w:r w:rsidR="00D95192">
        <w:rPr>
          <w:rFonts w:ascii="Times New Roman" w:cs="Times New Roman" w:hAnsi="Times New Roman"/>
          <w:sz w:val="22"/>
          <w:szCs w:val="22"/>
        </w:rPr>
        <w:t xml:space="preserve"> janvier 2023.</w:t>
      </w:r>
    </w:p>
    <w:p w14:paraId="4FAFC7FA" w14:textId="77777777" w:rsidP="00D71D68" w:rsidR="00D71D68" w:rsidRDefault="00D71D68">
      <w:pPr>
        <w:jc w:val="both"/>
        <w:rPr>
          <w:rFonts w:ascii="Times New Roman" w:cs="Times New Roman" w:hAnsi="Times New Roman"/>
          <w:sz w:val="22"/>
          <w:szCs w:val="22"/>
        </w:rPr>
      </w:pPr>
    </w:p>
    <w:p w14:paraId="2597B0DE" w14:textId="30AF9BF5" w:rsidP="00D71D68" w:rsidR="00D71D68" w:rsidRDefault="00D71D68">
      <w:pPr>
        <w:jc w:val="both"/>
        <w:rPr>
          <w:rFonts w:ascii="Times New Roman" w:cs="Times New Roman" w:hAnsi="Times New Roman"/>
          <w:sz w:val="22"/>
          <w:szCs w:val="22"/>
        </w:rPr>
      </w:pPr>
      <w:r>
        <w:rPr>
          <w:rFonts w:ascii="Times New Roman" w:cs="Times New Roman" w:hAnsi="Times New Roman"/>
          <w:sz w:val="22"/>
          <w:szCs w:val="22"/>
        </w:rPr>
        <w:t>Le taux de la revalorisation est différent selon la catégorie sociale professionnelle :</w:t>
      </w:r>
    </w:p>
    <w:p w14:paraId="4768EF78" w14:textId="77777777" w:rsidP="00D71D68" w:rsidR="00D71D68" w:rsidRDefault="00D71D68">
      <w:pPr>
        <w:jc w:val="both"/>
        <w:rPr>
          <w:rFonts w:ascii="Times New Roman" w:cs="Times New Roman" w:hAnsi="Times New Roman"/>
          <w:sz w:val="22"/>
          <w:szCs w:val="22"/>
        </w:rPr>
      </w:pPr>
    </w:p>
    <w:p w14:paraId="1FB798A0" w14:textId="497D3791" w:rsidP="00D71D68" w:rsidR="00D71D68" w:rsidRDefault="00D71D68">
      <w:pPr>
        <w:pStyle w:val="Paragraphedeliste"/>
        <w:numPr>
          <w:ilvl w:val="0"/>
          <w:numId w:val="7"/>
        </w:numPr>
        <w:jc w:val="both"/>
        <w:rPr>
          <w:rFonts w:ascii="Times New Roman" w:cs="Times New Roman" w:hAnsi="Times New Roman"/>
          <w:sz w:val="22"/>
          <w:szCs w:val="22"/>
        </w:rPr>
      </w:pPr>
      <w:r>
        <w:rPr>
          <w:rFonts w:ascii="Times New Roman" w:cs="Times New Roman" w:hAnsi="Times New Roman"/>
          <w:sz w:val="22"/>
          <w:szCs w:val="22"/>
        </w:rPr>
        <w:t xml:space="preserve">Cadres (à partir du coefficient 350) : augmentation de + </w:t>
      </w:r>
      <w:r w:rsidR="000308A6">
        <w:rPr>
          <w:rFonts w:ascii="Times New Roman" w:cs="Times New Roman" w:hAnsi="Times New Roman"/>
          <w:sz w:val="22"/>
          <w:szCs w:val="22"/>
        </w:rPr>
        <w:t xml:space="preserve">3,5 </w:t>
      </w:r>
      <w:r>
        <w:rPr>
          <w:rFonts w:ascii="Times New Roman" w:cs="Times New Roman" w:hAnsi="Times New Roman"/>
          <w:sz w:val="22"/>
          <w:szCs w:val="22"/>
        </w:rPr>
        <w:t>%</w:t>
      </w:r>
    </w:p>
    <w:p w14:paraId="6166F748" w14:textId="09101834" w:rsidP="00D71D68" w:rsidR="00D71D68" w:rsidRDefault="00D71D68">
      <w:pPr>
        <w:pStyle w:val="Paragraphedeliste"/>
        <w:numPr>
          <w:ilvl w:val="0"/>
          <w:numId w:val="7"/>
        </w:numPr>
        <w:jc w:val="both"/>
        <w:rPr>
          <w:rFonts w:ascii="Times New Roman" w:cs="Times New Roman" w:hAnsi="Times New Roman"/>
          <w:sz w:val="22"/>
          <w:szCs w:val="22"/>
        </w:rPr>
      </w:pPr>
      <w:r>
        <w:rPr>
          <w:rFonts w:ascii="Times New Roman" w:cs="Times New Roman" w:hAnsi="Times New Roman"/>
          <w:sz w:val="22"/>
          <w:szCs w:val="22"/>
        </w:rPr>
        <w:t>Non cadres (du coefficient 190 à 325) : augmentation de +</w:t>
      </w:r>
      <w:r w:rsidR="000308A6">
        <w:rPr>
          <w:rFonts w:ascii="Times New Roman" w:cs="Times New Roman" w:hAnsi="Times New Roman"/>
          <w:sz w:val="22"/>
          <w:szCs w:val="22"/>
        </w:rPr>
        <w:t xml:space="preserve"> 4,5 </w:t>
      </w:r>
      <w:r>
        <w:rPr>
          <w:rFonts w:ascii="Times New Roman" w:cs="Times New Roman" w:hAnsi="Times New Roman"/>
          <w:sz w:val="22"/>
          <w:szCs w:val="22"/>
        </w:rPr>
        <w:t>%</w:t>
      </w:r>
    </w:p>
    <w:p w14:paraId="6446BEBC" w14:textId="77777777" w:rsidP="001E7996" w:rsidR="001E7996" w:rsidRDefault="001E7996">
      <w:pPr>
        <w:pStyle w:val="Paragraphedeliste"/>
        <w:ind w:left="1080"/>
        <w:jc w:val="both"/>
        <w:rPr>
          <w:rFonts w:ascii="Times New Roman" w:cs="Times New Roman" w:hAnsi="Times New Roman"/>
          <w:sz w:val="22"/>
          <w:szCs w:val="22"/>
        </w:rPr>
      </w:pPr>
    </w:p>
    <w:p w14:paraId="2412EF96" w14:textId="56090BD1" w:rsidP="002F0510" w:rsidR="00D71D68" w:rsidRDefault="001E7996">
      <w:pPr>
        <w:jc w:val="both"/>
        <w:rPr>
          <w:rFonts w:ascii="Times New Roman" w:cs="Times New Roman" w:hAnsi="Times New Roman"/>
          <w:sz w:val="22"/>
          <w:szCs w:val="22"/>
        </w:rPr>
      </w:pPr>
      <w:r>
        <w:rPr>
          <w:rFonts w:ascii="Times New Roman" w:cs="Times New Roman" w:hAnsi="Times New Roman"/>
          <w:sz w:val="22"/>
          <w:szCs w:val="22"/>
        </w:rPr>
        <w:t xml:space="preserve">L’ensemble de ces augmentations générales représente un coût </w:t>
      </w:r>
      <w:r w:rsidR="005A7F27">
        <w:rPr>
          <w:rFonts w:ascii="Times New Roman" w:cs="Times New Roman" w:hAnsi="Times New Roman"/>
          <w:sz w:val="22"/>
          <w:szCs w:val="22"/>
        </w:rPr>
        <w:t xml:space="preserve">chargé </w:t>
      </w:r>
      <w:r>
        <w:rPr>
          <w:rFonts w:ascii="Times New Roman" w:cs="Times New Roman" w:hAnsi="Times New Roman"/>
          <w:sz w:val="22"/>
          <w:szCs w:val="22"/>
        </w:rPr>
        <w:t>prévisionnel de 400 000 €.</w:t>
      </w:r>
    </w:p>
    <w:p w14:paraId="26CB6063" w14:textId="77777777" w:rsidP="002F0510" w:rsidR="008D5CB1" w:rsidRDefault="008D5CB1">
      <w:pPr>
        <w:jc w:val="both"/>
        <w:rPr>
          <w:rFonts w:ascii="Times New Roman" w:cs="Times New Roman" w:hAnsi="Times New Roman"/>
          <w:sz w:val="22"/>
          <w:szCs w:val="22"/>
        </w:rPr>
      </w:pPr>
    </w:p>
    <w:p w14:paraId="7F957DCA" w14:textId="7E20D699" w:rsidP="002F0510" w:rsidR="00465FE0" w:rsidRDefault="00465FE0" w:rsidRPr="007765C1">
      <w:pPr>
        <w:jc w:val="both"/>
        <w:rPr>
          <w:rFonts w:ascii="Times New Roman" w:cs="Times New Roman" w:hAnsi="Times New Roman"/>
          <w:b/>
          <w:sz w:val="22"/>
          <w:szCs w:val="22"/>
        </w:rPr>
      </w:pPr>
      <w:r w:rsidRPr="007765C1">
        <w:rPr>
          <w:rFonts w:ascii="Times New Roman" w:cs="Times New Roman" w:hAnsi="Times New Roman"/>
          <w:b/>
          <w:sz w:val="22"/>
          <w:szCs w:val="22"/>
        </w:rPr>
        <w:t>Mesures individuelles</w:t>
      </w:r>
      <w:r w:rsidR="00602A0A">
        <w:rPr>
          <w:rFonts w:ascii="Times New Roman" w:cs="Times New Roman" w:hAnsi="Times New Roman"/>
          <w:b/>
          <w:sz w:val="22"/>
          <w:szCs w:val="22"/>
        </w:rPr>
        <w:t xml:space="preserve"> 2022 :</w:t>
      </w:r>
    </w:p>
    <w:p w14:paraId="2507A419" w14:textId="77777777" w:rsidP="00FE508A" w:rsidR="00465FE0" w:rsidRDefault="00465FE0" w:rsidRPr="007765C1">
      <w:pPr>
        <w:jc w:val="both"/>
        <w:rPr>
          <w:rFonts w:ascii="Times New Roman" w:cs="Times New Roman" w:hAnsi="Times New Roman"/>
          <w:sz w:val="22"/>
          <w:szCs w:val="22"/>
          <w:u w:val="single"/>
        </w:rPr>
      </w:pPr>
    </w:p>
    <w:p w14:paraId="312F1459" w14:textId="6A5FEDBA" w:rsidP="006064DD" w:rsidR="00FE508A" w:rsidRDefault="00FB3B9D" w:rsidRPr="007765C1">
      <w:pPr>
        <w:pStyle w:val="Paragraphedeliste"/>
        <w:numPr>
          <w:ilvl w:val="0"/>
          <w:numId w:val="7"/>
        </w:numPr>
        <w:jc w:val="both"/>
        <w:rPr>
          <w:rFonts w:ascii="Times New Roman" w:cs="Times New Roman" w:hAnsi="Times New Roman"/>
          <w:sz w:val="22"/>
          <w:szCs w:val="22"/>
          <w:u w:val="single"/>
        </w:rPr>
      </w:pPr>
      <w:r w:rsidRPr="007765C1">
        <w:rPr>
          <w:rFonts w:ascii="Times New Roman" w:cs="Times New Roman" w:hAnsi="Times New Roman"/>
          <w:sz w:val="22"/>
          <w:szCs w:val="22"/>
          <w:u w:val="single"/>
        </w:rPr>
        <w:t xml:space="preserve">Enveloppe </w:t>
      </w:r>
      <w:r w:rsidR="00465FE0" w:rsidRPr="007765C1">
        <w:rPr>
          <w:rFonts w:ascii="Times New Roman" w:cs="Times New Roman" w:hAnsi="Times New Roman"/>
          <w:sz w:val="22"/>
          <w:szCs w:val="22"/>
          <w:u w:val="single"/>
        </w:rPr>
        <w:t xml:space="preserve">1 </w:t>
      </w:r>
      <w:r w:rsidRPr="007765C1">
        <w:rPr>
          <w:rFonts w:ascii="Times New Roman" w:cs="Times New Roman" w:hAnsi="Times New Roman"/>
          <w:sz w:val="22"/>
          <w:szCs w:val="22"/>
          <w:u w:val="single"/>
        </w:rPr>
        <w:t>de la partie fixe</w:t>
      </w:r>
      <w:r w:rsidR="00FE508A" w:rsidRPr="007765C1">
        <w:rPr>
          <w:rFonts w:ascii="Times New Roman" w:cs="Times New Roman" w:hAnsi="Times New Roman"/>
          <w:sz w:val="22"/>
          <w:szCs w:val="22"/>
          <w:u w:val="single"/>
        </w:rPr>
        <w:t> </w:t>
      </w:r>
      <w:r w:rsidR="00465FE0" w:rsidRPr="007765C1">
        <w:rPr>
          <w:rFonts w:ascii="Times New Roman" w:cs="Times New Roman" w:hAnsi="Times New Roman"/>
          <w:sz w:val="22"/>
          <w:szCs w:val="22"/>
          <w:u w:val="single"/>
        </w:rPr>
        <w:t xml:space="preserve">pour les augmentations </w:t>
      </w:r>
      <w:r w:rsidR="0001780D">
        <w:rPr>
          <w:rFonts w:ascii="Times New Roman" w:cs="Times New Roman" w:hAnsi="Times New Roman"/>
          <w:sz w:val="22"/>
          <w:szCs w:val="22"/>
          <w:u w:val="single"/>
        </w:rPr>
        <w:t xml:space="preserve">de rémunérations </w:t>
      </w:r>
      <w:r w:rsidR="00465FE0" w:rsidRPr="007765C1">
        <w:rPr>
          <w:rFonts w:ascii="Times New Roman" w:cs="Times New Roman" w:hAnsi="Times New Roman"/>
          <w:sz w:val="22"/>
          <w:szCs w:val="22"/>
          <w:u w:val="single"/>
        </w:rPr>
        <w:t xml:space="preserve">individuelles </w:t>
      </w:r>
      <w:r w:rsidR="00FE508A" w:rsidRPr="007765C1">
        <w:rPr>
          <w:rFonts w:ascii="Times New Roman" w:cs="Times New Roman" w:hAnsi="Times New Roman"/>
          <w:sz w:val="22"/>
          <w:szCs w:val="22"/>
          <w:u w:val="single"/>
        </w:rPr>
        <w:t xml:space="preserve">: </w:t>
      </w:r>
    </w:p>
    <w:p w14:paraId="762C55D2" w14:textId="77777777" w:rsidP="00FE508A" w:rsidR="00FE508A" w:rsidRDefault="00FE508A" w:rsidRPr="007765C1">
      <w:pPr>
        <w:jc w:val="both"/>
        <w:rPr>
          <w:rFonts w:ascii="Times New Roman" w:cs="Times New Roman" w:hAnsi="Times New Roman"/>
          <w:sz w:val="22"/>
          <w:szCs w:val="22"/>
        </w:rPr>
      </w:pPr>
    </w:p>
    <w:p w14:paraId="03EEB9C8" w14:textId="77777777" w:rsidP="00465FE0" w:rsidR="00465FE0" w:rsidRDefault="00465FE0" w:rsidRPr="007765C1">
      <w:pPr>
        <w:jc w:val="both"/>
        <w:rPr>
          <w:rFonts w:ascii="Times New Roman" w:cs="Times New Roman" w:hAnsi="Times New Roman"/>
          <w:sz w:val="22"/>
          <w:szCs w:val="22"/>
        </w:rPr>
      </w:pPr>
    </w:p>
    <w:p w14:paraId="77953BAD" w14:textId="50C81DDE" w:rsidP="003477AA" w:rsidR="003477AA" w:rsidRDefault="00465FE0">
      <w:pPr>
        <w:jc w:val="both"/>
        <w:rPr>
          <w:rFonts w:ascii="Times New Roman" w:cs="Times New Roman" w:hAnsi="Times New Roman"/>
          <w:sz w:val="22"/>
          <w:szCs w:val="22"/>
        </w:rPr>
      </w:pPr>
      <w:r w:rsidRPr="007765C1">
        <w:rPr>
          <w:rFonts w:ascii="Times New Roman" w:cs="Times New Roman" w:hAnsi="Times New Roman"/>
          <w:b/>
          <w:sz w:val="22"/>
          <w:szCs w:val="22"/>
        </w:rPr>
        <w:t>Rappel de l’accord salarial 20</w:t>
      </w:r>
      <w:r w:rsidR="004E29DF">
        <w:rPr>
          <w:rFonts w:ascii="Times New Roman" w:cs="Times New Roman" w:hAnsi="Times New Roman"/>
          <w:b/>
          <w:sz w:val="22"/>
          <w:szCs w:val="22"/>
        </w:rPr>
        <w:t>22-2024</w:t>
      </w:r>
      <w:r w:rsidR="0068777A">
        <w:rPr>
          <w:rFonts w:ascii="Times New Roman" w:cs="Times New Roman" w:hAnsi="Times New Roman"/>
          <w:b/>
          <w:sz w:val="22"/>
          <w:szCs w:val="22"/>
        </w:rPr>
        <w:t xml:space="preserve"> </w:t>
      </w:r>
      <w:r w:rsidRPr="007765C1">
        <w:rPr>
          <w:rFonts w:ascii="Times New Roman" w:cs="Times New Roman" w:hAnsi="Times New Roman"/>
          <w:b/>
          <w:sz w:val="22"/>
          <w:szCs w:val="22"/>
        </w:rPr>
        <w:t xml:space="preserve">: </w:t>
      </w:r>
      <w:r w:rsidR="0093410B" w:rsidRPr="007765C1">
        <w:rPr>
          <w:rFonts w:ascii="Times New Roman" w:cs="Times New Roman" w:hAnsi="Times New Roman"/>
          <w:sz w:val="22"/>
          <w:szCs w:val="22"/>
        </w:rPr>
        <w:t xml:space="preserve">l’EBITDA prévisionnel </w:t>
      </w:r>
      <w:r w:rsidR="0093410B">
        <w:rPr>
          <w:rFonts w:ascii="Times New Roman" w:cs="Times New Roman" w:hAnsi="Times New Roman"/>
          <w:sz w:val="22"/>
          <w:szCs w:val="22"/>
        </w:rPr>
        <w:t>étant</w:t>
      </w:r>
      <w:r w:rsidR="0093410B" w:rsidRPr="007765C1">
        <w:rPr>
          <w:rFonts w:ascii="Times New Roman" w:cs="Times New Roman" w:hAnsi="Times New Roman"/>
          <w:sz w:val="22"/>
          <w:szCs w:val="22"/>
        </w:rPr>
        <w:t xml:space="preserve"> négatif</w:t>
      </w:r>
      <w:r w:rsidR="0093410B">
        <w:rPr>
          <w:rFonts w:ascii="Times New Roman" w:cs="Times New Roman" w:hAnsi="Times New Roman"/>
          <w:sz w:val="22"/>
          <w:szCs w:val="22"/>
        </w:rPr>
        <w:t xml:space="preserve"> et le résultat net </w:t>
      </w:r>
      <w:r w:rsidR="00493C92" w:rsidRPr="00493C92">
        <w:rPr>
          <w:rFonts w:ascii="Times New Roman" w:cs="Times New Roman" w:hAnsi="Times New Roman"/>
          <w:sz w:val="22"/>
          <w:szCs w:val="22"/>
        </w:rPr>
        <w:t>étant négatifs, les critères d'ouverture d'une enveloppe dédiée aux augmentations individuelles (partie fixe) ne sont pas réunis.</w:t>
      </w:r>
      <w:r w:rsidR="0093410B">
        <w:rPr>
          <w:rFonts w:ascii="Times New Roman" w:cs="Times New Roman" w:hAnsi="Times New Roman"/>
          <w:sz w:val="22"/>
          <w:szCs w:val="22"/>
        </w:rPr>
        <w:t xml:space="preserve"> </w:t>
      </w:r>
    </w:p>
    <w:p w14:paraId="7AAF29DC" w14:textId="77777777" w:rsidP="003477AA" w:rsidR="00E953B0" w:rsidRDefault="00E953B0">
      <w:pPr>
        <w:jc w:val="both"/>
        <w:rPr>
          <w:rFonts w:ascii="Times New Roman" w:cs="Times New Roman" w:hAnsi="Times New Roman"/>
          <w:sz w:val="22"/>
          <w:szCs w:val="22"/>
        </w:rPr>
      </w:pPr>
    </w:p>
    <w:p w14:paraId="4126DAC7" w14:textId="330FFB52" w:rsidP="00EF0FC8" w:rsidR="008804A7" w:rsidRDefault="00B762A0">
      <w:pPr>
        <w:jc w:val="both"/>
        <w:rPr>
          <w:rFonts w:ascii="Times New Roman" w:cs="Times New Roman" w:hAnsi="Times New Roman"/>
          <w:sz w:val="22"/>
          <w:szCs w:val="22"/>
        </w:rPr>
      </w:pPr>
      <w:r>
        <w:rPr>
          <w:rFonts w:ascii="Times New Roman" w:cs="Times New Roman" w:hAnsi="Times New Roman"/>
          <w:sz w:val="22"/>
          <w:szCs w:val="22"/>
        </w:rPr>
        <w:t>Au vu des mesures générales actées</w:t>
      </w:r>
      <w:r w:rsidR="001E7996">
        <w:rPr>
          <w:rFonts w:ascii="Times New Roman" w:cs="Times New Roman" w:hAnsi="Times New Roman"/>
          <w:sz w:val="22"/>
          <w:szCs w:val="22"/>
        </w:rPr>
        <w:t xml:space="preserve"> précédemment et de l’enveloppe restante disponible pour toute mesure qui pourrait s’imposer pendant l’année, </w:t>
      </w:r>
      <w:r w:rsidR="00E953B0">
        <w:rPr>
          <w:rFonts w:ascii="Times New Roman" w:cs="Times New Roman" w:hAnsi="Times New Roman"/>
          <w:sz w:val="22"/>
          <w:szCs w:val="22"/>
        </w:rPr>
        <w:t xml:space="preserve">la direction </w:t>
      </w:r>
      <w:r w:rsidR="001E7996">
        <w:rPr>
          <w:rFonts w:ascii="Times New Roman" w:cs="Times New Roman" w:hAnsi="Times New Roman"/>
          <w:sz w:val="22"/>
          <w:szCs w:val="22"/>
        </w:rPr>
        <w:t>prend l’engagement de réserver autant que possible des moyens pour l’organisation</w:t>
      </w:r>
      <w:r w:rsidR="00FD3EEF">
        <w:rPr>
          <w:rFonts w:ascii="Times New Roman" w:cs="Times New Roman" w:hAnsi="Times New Roman"/>
          <w:sz w:val="22"/>
          <w:szCs w:val="22"/>
        </w:rPr>
        <w:t xml:space="preserve"> d’une</w:t>
      </w:r>
      <w:r w:rsidR="00E953B0">
        <w:rPr>
          <w:rFonts w:ascii="Times New Roman" w:cs="Times New Roman" w:hAnsi="Times New Roman"/>
          <w:sz w:val="22"/>
          <w:szCs w:val="22"/>
        </w:rPr>
        <w:t xml:space="preserve"> commission parcours professionnel</w:t>
      </w:r>
      <w:r w:rsidR="00E93804">
        <w:rPr>
          <w:rFonts w:ascii="Times New Roman" w:cs="Times New Roman" w:hAnsi="Times New Roman"/>
          <w:sz w:val="22"/>
          <w:szCs w:val="22"/>
        </w:rPr>
        <w:t xml:space="preserve"> durant l’année 2023</w:t>
      </w:r>
      <w:r w:rsidR="001E7996">
        <w:rPr>
          <w:rFonts w:ascii="Times New Roman" w:cs="Times New Roman" w:hAnsi="Times New Roman"/>
          <w:sz w:val="22"/>
          <w:szCs w:val="22"/>
        </w:rPr>
        <w:t xml:space="preserve"> et permettant les mesures individuelles afférentes</w:t>
      </w:r>
      <w:r w:rsidR="00F204C8">
        <w:rPr>
          <w:rFonts w:ascii="Times New Roman" w:cs="Times New Roman" w:hAnsi="Times New Roman"/>
          <w:sz w:val="22"/>
          <w:szCs w:val="22"/>
        </w:rPr>
        <w:t>.</w:t>
      </w:r>
      <w:r w:rsidR="008804A7">
        <w:rPr>
          <w:rFonts w:ascii="Times New Roman" w:cs="Times New Roman" w:hAnsi="Times New Roman"/>
          <w:sz w:val="22"/>
          <w:szCs w:val="22"/>
        </w:rPr>
        <w:t xml:space="preserve"> </w:t>
      </w:r>
    </w:p>
    <w:p w14:paraId="2AAE8C12" w14:textId="77777777" w:rsidP="00FE508A" w:rsidR="00FB3B9D" w:rsidRDefault="00FB3B9D" w:rsidRPr="007765C1">
      <w:pPr>
        <w:jc w:val="both"/>
        <w:rPr>
          <w:rFonts w:ascii="Times New Roman" w:cs="Times New Roman" w:hAnsi="Times New Roman"/>
          <w:sz w:val="22"/>
          <w:szCs w:val="22"/>
        </w:rPr>
      </w:pPr>
    </w:p>
    <w:p w14:paraId="054048EA" w14:textId="77777777" w:rsidP="006064DD" w:rsidR="00FB3B9D" w:rsidRDefault="00FB3B9D" w:rsidRPr="007765C1">
      <w:pPr>
        <w:pStyle w:val="Paragraphedeliste"/>
        <w:numPr>
          <w:ilvl w:val="0"/>
          <w:numId w:val="7"/>
        </w:numPr>
        <w:jc w:val="both"/>
        <w:rPr>
          <w:rFonts w:ascii="Times New Roman" w:cs="Times New Roman" w:hAnsi="Times New Roman"/>
          <w:sz w:val="22"/>
          <w:szCs w:val="22"/>
          <w:u w:val="single"/>
        </w:rPr>
      </w:pPr>
      <w:r w:rsidRPr="007765C1">
        <w:rPr>
          <w:rFonts w:ascii="Times New Roman" w:cs="Times New Roman" w:hAnsi="Times New Roman"/>
          <w:sz w:val="22"/>
          <w:szCs w:val="22"/>
          <w:u w:val="single"/>
        </w:rPr>
        <w:t xml:space="preserve">Enveloppe </w:t>
      </w:r>
      <w:r w:rsidR="00465FE0" w:rsidRPr="007765C1">
        <w:rPr>
          <w:rFonts w:ascii="Times New Roman" w:cs="Times New Roman" w:hAnsi="Times New Roman"/>
          <w:sz w:val="22"/>
          <w:szCs w:val="22"/>
          <w:u w:val="single"/>
        </w:rPr>
        <w:t xml:space="preserve">2 </w:t>
      </w:r>
      <w:r w:rsidRPr="007765C1">
        <w:rPr>
          <w:rFonts w:ascii="Times New Roman" w:cs="Times New Roman" w:hAnsi="Times New Roman"/>
          <w:sz w:val="22"/>
          <w:szCs w:val="22"/>
          <w:u w:val="single"/>
        </w:rPr>
        <w:t>de la partie variable</w:t>
      </w:r>
      <w:r w:rsidR="00D7757C" w:rsidRPr="007765C1">
        <w:rPr>
          <w:rFonts w:ascii="Times New Roman" w:cs="Times New Roman" w:hAnsi="Times New Roman"/>
          <w:sz w:val="22"/>
          <w:szCs w:val="22"/>
          <w:u w:val="single"/>
        </w:rPr>
        <w:t> </w:t>
      </w:r>
      <w:r w:rsidR="00735504" w:rsidRPr="007765C1">
        <w:rPr>
          <w:rFonts w:ascii="Times New Roman" w:cs="Times New Roman" w:hAnsi="Times New Roman"/>
          <w:sz w:val="22"/>
          <w:szCs w:val="22"/>
          <w:u w:val="single"/>
        </w:rPr>
        <w:t xml:space="preserve">pour les primes </w:t>
      </w:r>
      <w:r w:rsidR="00742DD4">
        <w:rPr>
          <w:rFonts w:ascii="Times New Roman" w:cs="Times New Roman" w:hAnsi="Times New Roman"/>
          <w:sz w:val="22"/>
          <w:szCs w:val="22"/>
          <w:u w:val="single"/>
        </w:rPr>
        <w:t xml:space="preserve">individuelles annuelles </w:t>
      </w:r>
      <w:r w:rsidR="00735504" w:rsidRPr="007765C1">
        <w:rPr>
          <w:rFonts w:ascii="Times New Roman" w:cs="Times New Roman" w:hAnsi="Times New Roman"/>
          <w:sz w:val="22"/>
          <w:szCs w:val="22"/>
          <w:u w:val="single"/>
        </w:rPr>
        <w:t>sur objectif</w:t>
      </w:r>
      <w:r w:rsidR="00742DD4">
        <w:rPr>
          <w:rFonts w:ascii="Times New Roman" w:cs="Times New Roman" w:hAnsi="Times New Roman"/>
          <w:sz w:val="22"/>
          <w:szCs w:val="22"/>
          <w:u w:val="single"/>
        </w:rPr>
        <w:t>s</w:t>
      </w:r>
      <w:r w:rsidR="00735504" w:rsidRPr="007765C1">
        <w:rPr>
          <w:rFonts w:ascii="Times New Roman" w:cs="Times New Roman" w:hAnsi="Times New Roman"/>
          <w:sz w:val="22"/>
          <w:szCs w:val="22"/>
          <w:u w:val="single"/>
        </w:rPr>
        <w:t xml:space="preserve"> </w:t>
      </w:r>
      <w:r w:rsidR="00D7757C" w:rsidRPr="007765C1">
        <w:rPr>
          <w:rFonts w:ascii="Times New Roman" w:cs="Times New Roman" w:hAnsi="Times New Roman"/>
          <w:sz w:val="22"/>
          <w:szCs w:val="22"/>
          <w:u w:val="single"/>
        </w:rPr>
        <w:t>:</w:t>
      </w:r>
    </w:p>
    <w:p w14:paraId="0E39D93B" w14:textId="77777777" w:rsidP="00FE508A" w:rsidR="00AB327B" w:rsidRDefault="00AB327B" w:rsidRPr="007765C1">
      <w:pPr>
        <w:jc w:val="both"/>
        <w:rPr>
          <w:rFonts w:ascii="Times New Roman" w:cs="Times New Roman" w:hAnsi="Times New Roman"/>
          <w:sz w:val="22"/>
          <w:szCs w:val="22"/>
          <w:u w:val="single"/>
        </w:rPr>
      </w:pPr>
    </w:p>
    <w:p w14:paraId="1CB88B11" w14:textId="34F402E6" w:rsidP="00E83807" w:rsidR="00E83807" w:rsidRDefault="002F0510">
      <w:pPr>
        <w:jc w:val="both"/>
        <w:rPr>
          <w:rFonts w:ascii="Times New Roman" w:cs="Times New Roman" w:hAnsi="Times New Roman"/>
          <w:sz w:val="22"/>
          <w:szCs w:val="22"/>
        </w:rPr>
      </w:pPr>
      <w:r>
        <w:rPr>
          <w:rFonts w:ascii="Times New Roman" w:cs="Times New Roman" w:hAnsi="Times New Roman"/>
          <w:sz w:val="22"/>
          <w:szCs w:val="22"/>
        </w:rPr>
        <w:t xml:space="preserve">La décision a été prise de privilégier une mesure générale. Le budget prévisionnel n’est pas suffisant </w:t>
      </w:r>
      <w:r w:rsidR="007F14FC">
        <w:rPr>
          <w:rFonts w:ascii="Times New Roman" w:cs="Times New Roman" w:hAnsi="Times New Roman"/>
          <w:sz w:val="22"/>
          <w:szCs w:val="22"/>
        </w:rPr>
        <w:t xml:space="preserve">à ce jour </w:t>
      </w:r>
      <w:r>
        <w:rPr>
          <w:rFonts w:ascii="Times New Roman" w:cs="Times New Roman" w:hAnsi="Times New Roman"/>
          <w:sz w:val="22"/>
          <w:szCs w:val="22"/>
        </w:rPr>
        <w:t xml:space="preserve">pour </w:t>
      </w:r>
      <w:r w:rsidR="00620DEA">
        <w:rPr>
          <w:rFonts w:ascii="Times New Roman" w:cs="Times New Roman" w:hAnsi="Times New Roman"/>
          <w:sz w:val="22"/>
          <w:szCs w:val="22"/>
        </w:rPr>
        <w:t xml:space="preserve">acter </w:t>
      </w:r>
      <w:r w:rsidR="001E7996">
        <w:rPr>
          <w:rFonts w:ascii="Times New Roman" w:cs="Times New Roman" w:hAnsi="Times New Roman"/>
          <w:sz w:val="22"/>
          <w:szCs w:val="22"/>
        </w:rPr>
        <w:t>un</w:t>
      </w:r>
      <w:r w:rsidR="00620DEA">
        <w:rPr>
          <w:rFonts w:ascii="Times New Roman" w:cs="Times New Roman" w:hAnsi="Times New Roman"/>
          <w:sz w:val="22"/>
          <w:szCs w:val="22"/>
        </w:rPr>
        <w:t xml:space="preserve"> montant </w:t>
      </w:r>
      <w:r>
        <w:rPr>
          <w:rFonts w:ascii="Times New Roman" w:cs="Times New Roman" w:hAnsi="Times New Roman"/>
          <w:sz w:val="22"/>
          <w:szCs w:val="22"/>
        </w:rPr>
        <w:t xml:space="preserve">pour les primes individuelles </w:t>
      </w:r>
      <w:r w:rsidR="001E7996">
        <w:rPr>
          <w:rFonts w:ascii="Times New Roman" w:cs="Times New Roman" w:hAnsi="Times New Roman"/>
          <w:sz w:val="22"/>
          <w:szCs w:val="22"/>
        </w:rPr>
        <w:t>exceptionnelles</w:t>
      </w:r>
      <w:r>
        <w:rPr>
          <w:rFonts w:ascii="Times New Roman" w:cs="Times New Roman" w:hAnsi="Times New Roman"/>
          <w:sz w:val="22"/>
          <w:szCs w:val="22"/>
        </w:rPr>
        <w:t>.</w:t>
      </w:r>
      <w:r w:rsidR="00620DEA">
        <w:rPr>
          <w:rFonts w:ascii="Times New Roman" w:cs="Times New Roman" w:hAnsi="Times New Roman"/>
          <w:sz w:val="22"/>
          <w:szCs w:val="22"/>
        </w:rPr>
        <w:t xml:space="preserve"> </w:t>
      </w:r>
      <w:proofErr w:type="gramStart"/>
      <w:r w:rsidR="00620DEA">
        <w:rPr>
          <w:rFonts w:ascii="Times New Roman" w:cs="Times New Roman" w:hAnsi="Times New Roman"/>
          <w:sz w:val="22"/>
          <w:szCs w:val="22"/>
        </w:rPr>
        <w:t>Par contre</w:t>
      </w:r>
      <w:proofErr w:type="gramEnd"/>
      <w:r w:rsidR="00620DEA">
        <w:rPr>
          <w:rFonts w:ascii="Times New Roman" w:cs="Times New Roman" w:hAnsi="Times New Roman"/>
          <w:sz w:val="22"/>
          <w:szCs w:val="22"/>
        </w:rPr>
        <w:t xml:space="preserve">, </w:t>
      </w:r>
      <w:r w:rsidR="001E7996">
        <w:rPr>
          <w:rFonts w:ascii="Times New Roman" w:cs="Times New Roman" w:hAnsi="Times New Roman"/>
          <w:sz w:val="22"/>
          <w:szCs w:val="22"/>
        </w:rPr>
        <w:t>si à la fin de l’exercice annuel le budget le permet, une enveloppe sera déterminée à cette fin.</w:t>
      </w:r>
    </w:p>
    <w:p w14:paraId="6498EDB1" w14:textId="59E38102" w:rsidP="00E83807" w:rsidR="007B4EC8" w:rsidRDefault="007B4EC8">
      <w:pPr>
        <w:jc w:val="both"/>
        <w:rPr>
          <w:rFonts w:ascii="Times New Roman" w:cs="Times New Roman" w:hAnsi="Times New Roman"/>
          <w:sz w:val="22"/>
          <w:szCs w:val="22"/>
        </w:rPr>
      </w:pPr>
    </w:p>
    <w:p w14:paraId="1CEFB14E" w14:textId="207A14D5" w:rsidP="007B4EC8" w:rsidR="001248BB" w:rsidRDefault="007B4EC8">
      <w:pPr>
        <w:pStyle w:val="Paragraphedeliste"/>
        <w:numPr>
          <w:ilvl w:val="0"/>
          <w:numId w:val="7"/>
        </w:numPr>
        <w:jc w:val="both"/>
        <w:rPr>
          <w:rFonts w:ascii="Times New Roman" w:cs="Times New Roman" w:hAnsi="Times New Roman"/>
          <w:sz w:val="22"/>
          <w:szCs w:val="22"/>
        </w:rPr>
      </w:pPr>
      <w:r w:rsidRPr="001248BB">
        <w:rPr>
          <w:rFonts w:ascii="Times New Roman" w:cs="Times New Roman" w:hAnsi="Times New Roman"/>
          <w:sz w:val="22"/>
          <w:szCs w:val="22"/>
          <w:u w:val="single"/>
        </w:rPr>
        <w:t>Mesures complémentaires</w:t>
      </w:r>
      <w:r w:rsidR="00E5490C" w:rsidRPr="001248BB">
        <w:rPr>
          <w:rFonts w:ascii="Times New Roman" w:cs="Times New Roman" w:hAnsi="Times New Roman"/>
          <w:sz w:val="22"/>
          <w:szCs w:val="22"/>
          <w:u w:val="single"/>
        </w:rPr>
        <w:t xml:space="preserve"> individuelles</w:t>
      </w:r>
      <w:r w:rsidR="001248BB">
        <w:rPr>
          <w:rFonts w:ascii="Times New Roman" w:cs="Times New Roman" w:hAnsi="Times New Roman"/>
          <w:sz w:val="22"/>
          <w:szCs w:val="22"/>
        </w:rPr>
        <w:t> :</w:t>
      </w:r>
    </w:p>
    <w:p w14:paraId="067DFF1B" w14:textId="37C619DD" w:rsidP="00AC0CBB" w:rsidR="00AC0CBB" w:rsidRDefault="00AC0CBB">
      <w:pPr>
        <w:jc w:val="both"/>
        <w:rPr>
          <w:rFonts w:ascii="Times New Roman" w:cs="Times New Roman" w:hAnsi="Times New Roman"/>
          <w:sz w:val="22"/>
          <w:szCs w:val="22"/>
        </w:rPr>
      </w:pPr>
    </w:p>
    <w:p w14:paraId="45DB0661" w14:textId="000CC116" w:rsidP="00AC0CBB" w:rsidR="00AC0CBB" w:rsidRDefault="00AC0CBB" w:rsidRPr="00AC0CBB">
      <w:pPr>
        <w:jc w:val="both"/>
        <w:rPr>
          <w:rFonts w:ascii="Times New Roman" w:cs="Times New Roman" w:hAnsi="Times New Roman"/>
          <w:sz w:val="22"/>
          <w:szCs w:val="22"/>
        </w:rPr>
      </w:pPr>
      <w:r>
        <w:rPr>
          <w:rFonts w:ascii="Times New Roman" w:cs="Times New Roman" w:hAnsi="Times New Roman"/>
          <w:sz w:val="22"/>
          <w:szCs w:val="22"/>
        </w:rPr>
        <w:t>Une discussion</w:t>
      </w:r>
      <w:r w:rsidR="00E907B8">
        <w:rPr>
          <w:rFonts w:ascii="Times New Roman" w:cs="Times New Roman" w:hAnsi="Times New Roman"/>
          <w:sz w:val="22"/>
          <w:szCs w:val="22"/>
        </w:rPr>
        <w:t>,</w:t>
      </w:r>
      <w:r>
        <w:rPr>
          <w:rFonts w:ascii="Times New Roman" w:cs="Times New Roman" w:hAnsi="Times New Roman"/>
          <w:sz w:val="22"/>
          <w:szCs w:val="22"/>
        </w:rPr>
        <w:t xml:space="preserve"> lors de cette Négociation Annuelle obligatoire</w:t>
      </w:r>
      <w:r w:rsidR="00E907B8">
        <w:rPr>
          <w:rFonts w:ascii="Times New Roman" w:cs="Times New Roman" w:hAnsi="Times New Roman"/>
          <w:sz w:val="22"/>
          <w:szCs w:val="22"/>
        </w:rPr>
        <w:t>,</w:t>
      </w:r>
      <w:r w:rsidR="00552564">
        <w:rPr>
          <w:rFonts w:ascii="Times New Roman" w:cs="Times New Roman" w:hAnsi="Times New Roman"/>
          <w:sz w:val="22"/>
          <w:szCs w:val="22"/>
        </w:rPr>
        <w:t xml:space="preserve"> a porté sur les évolutions de rémunérations</w:t>
      </w:r>
      <w:r w:rsidR="00D30D22">
        <w:rPr>
          <w:rFonts w:ascii="Times New Roman" w:cs="Times New Roman" w:hAnsi="Times New Roman"/>
          <w:sz w:val="22"/>
          <w:szCs w:val="22"/>
        </w:rPr>
        <w:t xml:space="preserve">, </w:t>
      </w:r>
      <w:r w:rsidR="00552564">
        <w:rPr>
          <w:rFonts w:ascii="Times New Roman" w:cs="Times New Roman" w:hAnsi="Times New Roman"/>
          <w:sz w:val="22"/>
          <w:szCs w:val="22"/>
        </w:rPr>
        <w:t>la progression des collaborateurs au sein de Terres Inovia</w:t>
      </w:r>
      <w:r w:rsidR="00ED28B9">
        <w:rPr>
          <w:rFonts w:ascii="Times New Roman" w:cs="Times New Roman" w:hAnsi="Times New Roman"/>
          <w:sz w:val="22"/>
          <w:szCs w:val="22"/>
        </w:rPr>
        <w:t xml:space="preserve">, la stagnation de carrières de certains collaborateurs </w:t>
      </w:r>
      <w:r w:rsidR="00D30D22">
        <w:rPr>
          <w:rFonts w:ascii="Times New Roman" w:cs="Times New Roman" w:hAnsi="Times New Roman"/>
          <w:sz w:val="22"/>
          <w:szCs w:val="22"/>
        </w:rPr>
        <w:t>et le fonctionnement de la commission parcours professionnelle.</w:t>
      </w:r>
    </w:p>
    <w:p w14:paraId="47E8F8F8" w14:textId="77777777" w:rsidP="001248BB" w:rsidR="001248BB" w:rsidRDefault="001248BB">
      <w:pPr>
        <w:pStyle w:val="Paragraphedeliste"/>
        <w:ind w:left="1080"/>
        <w:jc w:val="both"/>
        <w:rPr>
          <w:rFonts w:ascii="Times New Roman" w:cs="Times New Roman" w:hAnsi="Times New Roman"/>
          <w:sz w:val="22"/>
          <w:szCs w:val="22"/>
        </w:rPr>
      </w:pPr>
    </w:p>
    <w:p w14:paraId="10D50530" w14:textId="1596E87E" w:rsidP="001248BB" w:rsidR="005560BF" w:rsidRDefault="005560BF">
      <w:pPr>
        <w:jc w:val="both"/>
        <w:rPr>
          <w:rFonts w:ascii="Times New Roman" w:cs="Times New Roman" w:hAnsi="Times New Roman"/>
          <w:sz w:val="22"/>
          <w:szCs w:val="22"/>
        </w:rPr>
      </w:pPr>
      <w:r>
        <w:rPr>
          <w:rFonts w:ascii="Times New Roman" w:cs="Times New Roman" w:hAnsi="Times New Roman"/>
          <w:sz w:val="22"/>
          <w:szCs w:val="22"/>
        </w:rPr>
        <w:t>O</w:t>
      </w:r>
      <w:r w:rsidR="00CB67E6" w:rsidRPr="001248BB">
        <w:rPr>
          <w:rFonts w:ascii="Times New Roman" w:cs="Times New Roman" w:hAnsi="Times New Roman"/>
          <w:sz w:val="22"/>
          <w:szCs w:val="22"/>
        </w:rPr>
        <w:t>n constate</w:t>
      </w:r>
      <w:r w:rsidR="00C21118">
        <w:rPr>
          <w:rFonts w:ascii="Times New Roman" w:cs="Times New Roman" w:hAnsi="Times New Roman"/>
          <w:sz w:val="22"/>
          <w:szCs w:val="22"/>
        </w:rPr>
        <w:t xml:space="preserve">, à ce jour, </w:t>
      </w:r>
      <w:r>
        <w:rPr>
          <w:rFonts w:ascii="Times New Roman" w:cs="Times New Roman" w:hAnsi="Times New Roman"/>
          <w:sz w:val="22"/>
          <w:szCs w:val="22"/>
        </w:rPr>
        <w:t xml:space="preserve">3 </w:t>
      </w:r>
      <w:r w:rsidR="00904E54">
        <w:rPr>
          <w:rFonts w:ascii="Times New Roman" w:cs="Times New Roman" w:hAnsi="Times New Roman"/>
          <w:sz w:val="22"/>
          <w:szCs w:val="22"/>
        </w:rPr>
        <w:t>groupes</w:t>
      </w:r>
      <w:r w:rsidR="00C21118">
        <w:rPr>
          <w:rFonts w:ascii="Times New Roman" w:cs="Times New Roman" w:hAnsi="Times New Roman"/>
          <w:sz w:val="22"/>
          <w:szCs w:val="22"/>
        </w:rPr>
        <w:t xml:space="preserve"> </w:t>
      </w:r>
      <w:r>
        <w:rPr>
          <w:rFonts w:ascii="Times New Roman" w:cs="Times New Roman" w:hAnsi="Times New Roman"/>
          <w:sz w:val="22"/>
          <w:szCs w:val="22"/>
        </w:rPr>
        <w:t>de rémunération au sein de Terres Inovia</w:t>
      </w:r>
      <w:r w:rsidR="00B16D23">
        <w:rPr>
          <w:rFonts w:ascii="Times New Roman" w:cs="Times New Roman" w:hAnsi="Times New Roman"/>
          <w:sz w:val="22"/>
          <w:szCs w:val="22"/>
        </w:rPr>
        <w:t> :</w:t>
      </w:r>
    </w:p>
    <w:p w14:paraId="4EBB910E" w14:textId="0A0D8589" w:rsidP="001248BB" w:rsidR="005E781A" w:rsidRDefault="005E781A">
      <w:pPr>
        <w:jc w:val="both"/>
        <w:rPr>
          <w:rFonts w:ascii="Times New Roman" w:cs="Times New Roman" w:hAnsi="Times New Roman"/>
          <w:sz w:val="22"/>
          <w:szCs w:val="22"/>
        </w:rPr>
      </w:pPr>
    </w:p>
    <w:p w14:paraId="43C87BE9" w14:textId="1BE0CE16" w:rsidP="00B16D23" w:rsidR="005E781A" w:rsidRDefault="00C21118" w:rsidRPr="00B16D23">
      <w:pPr>
        <w:pStyle w:val="Paragraphedeliste"/>
        <w:numPr>
          <w:ilvl w:val="0"/>
          <w:numId w:val="9"/>
        </w:numPr>
        <w:jc w:val="both"/>
        <w:rPr>
          <w:rFonts w:ascii="Times New Roman" w:cs="Times New Roman" w:hAnsi="Times New Roman"/>
          <w:sz w:val="22"/>
          <w:szCs w:val="22"/>
        </w:rPr>
      </w:pPr>
      <w:r>
        <w:rPr>
          <w:rFonts w:ascii="Times New Roman" w:cs="Times New Roman" w:hAnsi="Times New Roman"/>
          <w:sz w:val="22"/>
          <w:szCs w:val="22"/>
        </w:rPr>
        <w:t>Un groupe</w:t>
      </w:r>
      <w:r w:rsidR="005E781A" w:rsidRPr="00B16D23">
        <w:rPr>
          <w:rFonts w:ascii="Times New Roman" w:cs="Times New Roman" w:hAnsi="Times New Roman"/>
          <w:sz w:val="22"/>
          <w:szCs w:val="22"/>
        </w:rPr>
        <w:t xml:space="preserve"> de collabo</w:t>
      </w:r>
      <w:r w:rsidR="003B4DB0">
        <w:rPr>
          <w:rFonts w:ascii="Times New Roman" w:cs="Times New Roman" w:hAnsi="Times New Roman"/>
          <w:sz w:val="22"/>
          <w:szCs w:val="22"/>
        </w:rPr>
        <w:t>ra</w:t>
      </w:r>
      <w:r w:rsidR="005E781A" w:rsidRPr="00B16D23">
        <w:rPr>
          <w:rFonts w:ascii="Times New Roman" w:cs="Times New Roman" w:hAnsi="Times New Roman"/>
          <w:sz w:val="22"/>
          <w:szCs w:val="22"/>
        </w:rPr>
        <w:t>teur</w:t>
      </w:r>
      <w:r w:rsidR="003B4DB0">
        <w:rPr>
          <w:rFonts w:ascii="Times New Roman" w:cs="Times New Roman" w:hAnsi="Times New Roman"/>
          <w:sz w:val="22"/>
          <w:szCs w:val="22"/>
        </w:rPr>
        <w:t xml:space="preserve">s </w:t>
      </w:r>
      <w:r w:rsidR="005E781A" w:rsidRPr="00B16D23">
        <w:rPr>
          <w:rFonts w:ascii="Times New Roman" w:cs="Times New Roman" w:hAnsi="Times New Roman"/>
          <w:sz w:val="22"/>
          <w:szCs w:val="22"/>
        </w:rPr>
        <w:t>ayant</w:t>
      </w:r>
      <w:r>
        <w:rPr>
          <w:rFonts w:ascii="Times New Roman" w:cs="Times New Roman" w:hAnsi="Times New Roman"/>
          <w:sz w:val="22"/>
          <w:szCs w:val="22"/>
        </w:rPr>
        <w:t xml:space="preserve"> pour </w:t>
      </w:r>
      <w:r w:rsidR="005E781A" w:rsidRPr="00B16D23">
        <w:rPr>
          <w:rFonts w:ascii="Times New Roman" w:cs="Times New Roman" w:hAnsi="Times New Roman"/>
          <w:sz w:val="22"/>
          <w:szCs w:val="22"/>
        </w:rPr>
        <w:t xml:space="preserve">rémunération </w:t>
      </w:r>
      <w:r>
        <w:rPr>
          <w:rFonts w:ascii="Times New Roman" w:cs="Times New Roman" w:hAnsi="Times New Roman"/>
          <w:sz w:val="22"/>
          <w:szCs w:val="22"/>
        </w:rPr>
        <w:t xml:space="preserve">le </w:t>
      </w:r>
      <w:r w:rsidR="005E781A" w:rsidRPr="00B16D23">
        <w:rPr>
          <w:rFonts w:ascii="Times New Roman" w:cs="Times New Roman" w:hAnsi="Times New Roman"/>
          <w:sz w:val="22"/>
          <w:szCs w:val="22"/>
        </w:rPr>
        <w:t>plancher de leur coefficient</w:t>
      </w:r>
      <w:r w:rsidR="00D66292" w:rsidRPr="00B16D23">
        <w:rPr>
          <w:rFonts w:ascii="Times New Roman" w:cs="Times New Roman" w:hAnsi="Times New Roman"/>
          <w:sz w:val="22"/>
          <w:szCs w:val="22"/>
        </w:rPr>
        <w:t>.</w:t>
      </w:r>
    </w:p>
    <w:p w14:paraId="209187A5" w14:textId="77777777" w:rsidP="001248BB" w:rsidR="005E781A" w:rsidRDefault="005E781A">
      <w:pPr>
        <w:jc w:val="both"/>
        <w:rPr>
          <w:rFonts w:ascii="Times New Roman" w:cs="Times New Roman" w:hAnsi="Times New Roman"/>
          <w:sz w:val="22"/>
          <w:szCs w:val="22"/>
        </w:rPr>
      </w:pPr>
    </w:p>
    <w:p w14:paraId="171280F3" w14:textId="79F1AA73" w:rsidP="00B16D23" w:rsidR="00014703" w:rsidRDefault="005560BF" w:rsidRPr="00B16D23">
      <w:pPr>
        <w:pStyle w:val="Paragraphedeliste"/>
        <w:numPr>
          <w:ilvl w:val="0"/>
          <w:numId w:val="9"/>
        </w:numPr>
        <w:jc w:val="both"/>
        <w:rPr>
          <w:rFonts w:ascii="Times New Roman" w:cs="Times New Roman" w:hAnsi="Times New Roman"/>
          <w:sz w:val="22"/>
          <w:szCs w:val="22"/>
        </w:rPr>
      </w:pPr>
      <w:r w:rsidRPr="00B16D23">
        <w:rPr>
          <w:rFonts w:ascii="Times New Roman" w:cs="Times New Roman" w:hAnsi="Times New Roman"/>
          <w:sz w:val="22"/>
          <w:szCs w:val="22"/>
        </w:rPr>
        <w:t>U</w:t>
      </w:r>
      <w:r w:rsidR="00CB67E6" w:rsidRPr="00B16D23">
        <w:rPr>
          <w:rFonts w:ascii="Times New Roman" w:cs="Times New Roman" w:hAnsi="Times New Roman"/>
          <w:sz w:val="22"/>
          <w:szCs w:val="22"/>
        </w:rPr>
        <w:t>n</w:t>
      </w:r>
      <w:r w:rsidR="00D66292" w:rsidRPr="00B16D23">
        <w:rPr>
          <w:rFonts w:ascii="Times New Roman" w:cs="Times New Roman" w:hAnsi="Times New Roman"/>
          <w:sz w:val="22"/>
          <w:szCs w:val="22"/>
        </w:rPr>
        <w:t>e seconde population</w:t>
      </w:r>
      <w:r w:rsidR="000B7CC8" w:rsidRPr="00B16D23">
        <w:rPr>
          <w:rFonts w:ascii="Times New Roman" w:cs="Times New Roman" w:hAnsi="Times New Roman"/>
          <w:sz w:val="22"/>
          <w:szCs w:val="22"/>
        </w:rPr>
        <w:t xml:space="preserve"> dans laquelle un</w:t>
      </w:r>
      <w:r w:rsidR="00CB67E6" w:rsidRPr="00B16D23">
        <w:rPr>
          <w:rFonts w:ascii="Times New Roman" w:cs="Times New Roman" w:hAnsi="Times New Roman"/>
          <w:sz w:val="22"/>
          <w:szCs w:val="22"/>
        </w:rPr>
        <w:t xml:space="preserve"> certain nombre de collaborateur</w:t>
      </w:r>
      <w:r w:rsidR="00C21118">
        <w:rPr>
          <w:rFonts w:ascii="Times New Roman" w:cs="Times New Roman" w:hAnsi="Times New Roman"/>
          <w:sz w:val="22"/>
          <w:szCs w:val="22"/>
        </w:rPr>
        <w:t>s</w:t>
      </w:r>
      <w:r w:rsidR="00CB67E6" w:rsidRPr="00B16D23">
        <w:rPr>
          <w:rFonts w:ascii="Times New Roman" w:cs="Times New Roman" w:hAnsi="Times New Roman"/>
          <w:sz w:val="22"/>
          <w:szCs w:val="22"/>
        </w:rPr>
        <w:t xml:space="preserve"> </w:t>
      </w:r>
      <w:r w:rsidR="001B0A15" w:rsidRPr="00B16D23">
        <w:rPr>
          <w:rFonts w:ascii="Times New Roman" w:cs="Times New Roman" w:hAnsi="Times New Roman"/>
          <w:sz w:val="22"/>
          <w:szCs w:val="22"/>
        </w:rPr>
        <w:t>ont une</w:t>
      </w:r>
      <w:r w:rsidR="00CB67E6" w:rsidRPr="00B16D23">
        <w:rPr>
          <w:rFonts w:ascii="Times New Roman" w:cs="Times New Roman" w:hAnsi="Times New Roman"/>
          <w:sz w:val="22"/>
          <w:szCs w:val="22"/>
        </w:rPr>
        <w:t xml:space="preserve"> rémunération </w:t>
      </w:r>
      <w:r w:rsidR="00CB67E6" w:rsidRPr="00C21118">
        <w:rPr>
          <w:rFonts w:ascii="Times New Roman" w:cs="Times New Roman" w:hAnsi="Times New Roman"/>
          <w:b/>
          <w:bCs/>
          <w:sz w:val="22"/>
          <w:szCs w:val="22"/>
        </w:rPr>
        <w:t>non</w:t>
      </w:r>
      <w:r w:rsidR="00B90FDD" w:rsidRPr="00C21118">
        <w:rPr>
          <w:rFonts w:ascii="Times New Roman" w:cs="Times New Roman" w:hAnsi="Times New Roman"/>
          <w:b/>
          <w:bCs/>
          <w:sz w:val="22"/>
          <w:szCs w:val="22"/>
        </w:rPr>
        <w:t xml:space="preserve"> </w:t>
      </w:r>
      <w:r w:rsidR="007337BD" w:rsidRPr="00C21118">
        <w:rPr>
          <w:rFonts w:ascii="Times New Roman" w:cs="Times New Roman" w:hAnsi="Times New Roman"/>
          <w:b/>
          <w:bCs/>
          <w:sz w:val="22"/>
          <w:szCs w:val="22"/>
        </w:rPr>
        <w:t>indicée</w:t>
      </w:r>
      <w:r w:rsidR="00B90FDD" w:rsidRPr="00B16D23">
        <w:rPr>
          <w:rFonts w:ascii="Times New Roman" w:cs="Times New Roman" w:hAnsi="Times New Roman"/>
          <w:sz w:val="22"/>
          <w:szCs w:val="22"/>
        </w:rPr>
        <w:t xml:space="preserve"> sur les planchers des coefficient</w:t>
      </w:r>
      <w:r w:rsidR="00387E48" w:rsidRPr="00B16D23">
        <w:rPr>
          <w:rFonts w:ascii="Times New Roman" w:cs="Times New Roman" w:hAnsi="Times New Roman"/>
          <w:sz w:val="22"/>
          <w:szCs w:val="22"/>
        </w:rPr>
        <w:t>s</w:t>
      </w:r>
      <w:r w:rsidR="00B90FDD" w:rsidRPr="00B16D23">
        <w:rPr>
          <w:rFonts w:ascii="Times New Roman" w:cs="Times New Roman" w:hAnsi="Times New Roman"/>
          <w:sz w:val="22"/>
          <w:szCs w:val="22"/>
        </w:rPr>
        <w:t xml:space="preserve"> de la CCN</w:t>
      </w:r>
      <w:r w:rsidR="000B7CC8" w:rsidRPr="00B16D23">
        <w:rPr>
          <w:rFonts w:ascii="Times New Roman" w:cs="Times New Roman" w:hAnsi="Times New Roman"/>
          <w:sz w:val="22"/>
          <w:szCs w:val="22"/>
        </w:rPr>
        <w:t xml:space="preserve"> </w:t>
      </w:r>
      <w:r w:rsidR="007337BD" w:rsidRPr="00B16D23">
        <w:rPr>
          <w:rFonts w:ascii="Times New Roman" w:cs="Times New Roman" w:hAnsi="Times New Roman"/>
          <w:sz w:val="22"/>
          <w:szCs w:val="22"/>
        </w:rPr>
        <w:t>du</w:t>
      </w:r>
      <w:r w:rsidR="007337BD">
        <w:rPr>
          <w:rFonts w:ascii="Times New Roman" w:cs="Times New Roman" w:hAnsi="Times New Roman"/>
          <w:sz w:val="22"/>
          <w:szCs w:val="22"/>
        </w:rPr>
        <w:t>e</w:t>
      </w:r>
      <w:r w:rsidR="001B0A15" w:rsidRPr="00B16D23">
        <w:rPr>
          <w:rFonts w:ascii="Times New Roman" w:cs="Times New Roman" w:hAnsi="Times New Roman"/>
          <w:sz w:val="22"/>
          <w:szCs w:val="22"/>
        </w:rPr>
        <w:t xml:space="preserve"> à leur historique </w:t>
      </w:r>
      <w:r w:rsidR="00C21118">
        <w:rPr>
          <w:rFonts w:ascii="Times New Roman" w:cs="Times New Roman" w:hAnsi="Times New Roman"/>
          <w:sz w:val="22"/>
          <w:szCs w:val="22"/>
        </w:rPr>
        <w:t>de carrière avant la mise en place de la commission parcours professionnelle ou dans le cadre de leur recrutement</w:t>
      </w:r>
      <w:r w:rsidR="00B90FDD" w:rsidRPr="00B16D23">
        <w:rPr>
          <w:rFonts w:ascii="Times New Roman" w:cs="Times New Roman" w:hAnsi="Times New Roman"/>
          <w:sz w:val="22"/>
          <w:szCs w:val="22"/>
        </w:rPr>
        <w:t xml:space="preserve">. </w:t>
      </w:r>
      <w:r w:rsidR="00C21118">
        <w:rPr>
          <w:rFonts w:ascii="Times New Roman" w:cs="Times New Roman" w:hAnsi="Times New Roman"/>
          <w:sz w:val="22"/>
          <w:szCs w:val="22"/>
        </w:rPr>
        <w:t>Pour cette population,</w:t>
      </w:r>
      <w:r w:rsidR="00B90FDD" w:rsidRPr="00B16D23">
        <w:rPr>
          <w:rFonts w:ascii="Times New Roman" w:cs="Times New Roman" w:hAnsi="Times New Roman"/>
          <w:sz w:val="22"/>
          <w:szCs w:val="22"/>
        </w:rPr>
        <w:t xml:space="preserve"> lors</w:t>
      </w:r>
      <w:r w:rsidR="00C21118">
        <w:rPr>
          <w:rFonts w:ascii="Times New Roman" w:cs="Times New Roman" w:hAnsi="Times New Roman"/>
          <w:sz w:val="22"/>
          <w:szCs w:val="22"/>
        </w:rPr>
        <w:t>que</w:t>
      </w:r>
      <w:r w:rsidR="00B90FDD" w:rsidRPr="00B16D23">
        <w:rPr>
          <w:rFonts w:ascii="Times New Roman" w:cs="Times New Roman" w:hAnsi="Times New Roman"/>
          <w:sz w:val="22"/>
          <w:szCs w:val="22"/>
        </w:rPr>
        <w:t xml:space="preserve"> le point UIC augmente</w:t>
      </w:r>
      <w:r w:rsidR="00C21118">
        <w:rPr>
          <w:rFonts w:ascii="Times New Roman" w:cs="Times New Roman" w:hAnsi="Times New Roman"/>
          <w:sz w:val="22"/>
          <w:szCs w:val="22"/>
        </w:rPr>
        <w:t>,</w:t>
      </w:r>
      <w:r w:rsidR="00B90FDD" w:rsidRPr="00B16D23">
        <w:rPr>
          <w:rFonts w:ascii="Times New Roman" w:cs="Times New Roman" w:hAnsi="Times New Roman"/>
          <w:sz w:val="22"/>
          <w:szCs w:val="22"/>
        </w:rPr>
        <w:t xml:space="preserve"> </w:t>
      </w:r>
      <w:r w:rsidR="00C21118">
        <w:rPr>
          <w:rFonts w:ascii="Times New Roman" w:cs="Times New Roman" w:hAnsi="Times New Roman"/>
          <w:sz w:val="22"/>
          <w:szCs w:val="22"/>
        </w:rPr>
        <w:t>cela ne se traduit pas par une évolution de leur rémunération de base.</w:t>
      </w:r>
    </w:p>
    <w:p w14:paraId="78E6E639" w14:textId="77777777" w:rsidP="001248BB" w:rsidR="000B7CC8" w:rsidRDefault="000B7CC8" w:rsidRPr="001248BB">
      <w:pPr>
        <w:jc w:val="both"/>
        <w:rPr>
          <w:rFonts w:ascii="Times New Roman" w:cs="Times New Roman" w:hAnsi="Times New Roman"/>
          <w:sz w:val="22"/>
          <w:szCs w:val="22"/>
        </w:rPr>
      </w:pPr>
    </w:p>
    <w:p w14:paraId="07D8FE2D" w14:textId="2A402A93" w:rsidP="00C21118" w:rsidR="007B4EC8" w:rsidRDefault="00014703" w:rsidRPr="00C21118">
      <w:pPr>
        <w:pStyle w:val="Paragraphedeliste"/>
        <w:numPr>
          <w:ilvl w:val="0"/>
          <w:numId w:val="9"/>
        </w:numPr>
        <w:jc w:val="both"/>
        <w:rPr>
          <w:rFonts w:ascii="Times New Roman" w:cs="Times New Roman" w:hAnsi="Times New Roman"/>
          <w:sz w:val="22"/>
          <w:szCs w:val="22"/>
        </w:rPr>
      </w:pPr>
      <w:r w:rsidRPr="00B16D23">
        <w:rPr>
          <w:rFonts w:ascii="Times New Roman" w:cs="Times New Roman" w:hAnsi="Times New Roman"/>
          <w:sz w:val="22"/>
          <w:szCs w:val="22"/>
        </w:rPr>
        <w:t xml:space="preserve">Une </w:t>
      </w:r>
      <w:r w:rsidR="00904E54">
        <w:rPr>
          <w:rFonts w:ascii="Times New Roman" w:cs="Times New Roman" w:hAnsi="Times New Roman"/>
          <w:sz w:val="22"/>
          <w:szCs w:val="22"/>
        </w:rPr>
        <w:t>troisième</w:t>
      </w:r>
      <w:r w:rsidRPr="00B16D23">
        <w:rPr>
          <w:rFonts w:ascii="Times New Roman" w:cs="Times New Roman" w:hAnsi="Times New Roman"/>
          <w:sz w:val="22"/>
          <w:szCs w:val="22"/>
        </w:rPr>
        <w:t xml:space="preserve"> population </w:t>
      </w:r>
      <w:r w:rsidR="00904E54">
        <w:rPr>
          <w:rFonts w:ascii="Times New Roman" w:cs="Times New Roman" w:hAnsi="Times New Roman"/>
          <w:sz w:val="22"/>
          <w:szCs w:val="22"/>
        </w:rPr>
        <w:t>qui</w:t>
      </w:r>
      <w:r w:rsidR="00904E54" w:rsidRPr="00B16D23">
        <w:rPr>
          <w:rFonts w:ascii="Times New Roman" w:cs="Times New Roman" w:hAnsi="Times New Roman"/>
          <w:sz w:val="22"/>
          <w:szCs w:val="22"/>
        </w:rPr>
        <w:t xml:space="preserve"> a</w:t>
      </w:r>
      <w:r w:rsidRPr="00B16D23">
        <w:rPr>
          <w:rFonts w:ascii="Times New Roman" w:cs="Times New Roman" w:hAnsi="Times New Roman"/>
          <w:sz w:val="22"/>
          <w:szCs w:val="22"/>
        </w:rPr>
        <w:t xml:space="preserve"> bénéficié d</w:t>
      </w:r>
      <w:r w:rsidR="00480D4A" w:rsidRPr="00B16D23">
        <w:rPr>
          <w:rFonts w:ascii="Times New Roman" w:cs="Times New Roman" w:hAnsi="Times New Roman"/>
          <w:sz w:val="22"/>
          <w:szCs w:val="22"/>
        </w:rPr>
        <w:t xml:space="preserve">’une </w:t>
      </w:r>
      <w:r w:rsidRPr="00B16D23">
        <w:rPr>
          <w:rFonts w:ascii="Times New Roman" w:cs="Times New Roman" w:hAnsi="Times New Roman"/>
          <w:sz w:val="22"/>
          <w:szCs w:val="22"/>
        </w:rPr>
        <w:t>promotion et</w:t>
      </w:r>
      <w:r w:rsidR="004C2E36" w:rsidRPr="00B16D23">
        <w:rPr>
          <w:rFonts w:ascii="Times New Roman" w:cs="Times New Roman" w:hAnsi="Times New Roman"/>
          <w:sz w:val="22"/>
          <w:szCs w:val="22"/>
        </w:rPr>
        <w:t>/ou</w:t>
      </w:r>
      <w:r w:rsidRPr="00B16D23">
        <w:rPr>
          <w:rFonts w:ascii="Times New Roman" w:cs="Times New Roman" w:hAnsi="Times New Roman"/>
          <w:sz w:val="22"/>
          <w:szCs w:val="22"/>
        </w:rPr>
        <w:t xml:space="preserve"> d’</w:t>
      </w:r>
      <w:r w:rsidR="00480D4A" w:rsidRPr="00B16D23">
        <w:rPr>
          <w:rFonts w:ascii="Times New Roman" w:cs="Times New Roman" w:hAnsi="Times New Roman"/>
          <w:sz w:val="22"/>
          <w:szCs w:val="22"/>
        </w:rPr>
        <w:t xml:space="preserve">une </w:t>
      </w:r>
      <w:r w:rsidRPr="00B16D23">
        <w:rPr>
          <w:rFonts w:ascii="Times New Roman" w:cs="Times New Roman" w:hAnsi="Times New Roman"/>
          <w:sz w:val="22"/>
          <w:szCs w:val="22"/>
        </w:rPr>
        <w:t>augmentation lors des commissions parcours professionnel</w:t>
      </w:r>
      <w:r w:rsidR="00C21118">
        <w:rPr>
          <w:rFonts w:ascii="Times New Roman" w:cs="Times New Roman" w:hAnsi="Times New Roman"/>
          <w:sz w:val="22"/>
          <w:szCs w:val="22"/>
        </w:rPr>
        <w:t xml:space="preserve">, et dont la rémunération est non </w:t>
      </w:r>
      <w:r w:rsidR="00E33DDE">
        <w:rPr>
          <w:rFonts w:ascii="Times New Roman" w:cs="Times New Roman" w:hAnsi="Times New Roman"/>
          <w:sz w:val="22"/>
          <w:szCs w:val="22"/>
        </w:rPr>
        <w:t>indicée</w:t>
      </w:r>
      <w:r w:rsidR="00C21118">
        <w:rPr>
          <w:rFonts w:ascii="Times New Roman" w:cs="Times New Roman" w:hAnsi="Times New Roman"/>
          <w:sz w:val="22"/>
          <w:szCs w:val="22"/>
        </w:rPr>
        <w:t xml:space="preserve"> sur les planchers des coefficients de la CCN</w:t>
      </w:r>
      <w:r w:rsidR="00AE689B" w:rsidRPr="00B16D23">
        <w:rPr>
          <w:rFonts w:ascii="Times New Roman" w:cs="Times New Roman" w:hAnsi="Times New Roman"/>
          <w:sz w:val="22"/>
          <w:szCs w:val="22"/>
        </w:rPr>
        <w:t xml:space="preserve">. </w:t>
      </w:r>
      <w:r w:rsidR="00C21118">
        <w:rPr>
          <w:rFonts w:ascii="Times New Roman" w:cs="Times New Roman" w:hAnsi="Times New Roman"/>
          <w:sz w:val="22"/>
          <w:szCs w:val="22"/>
        </w:rPr>
        <w:t xml:space="preserve"> De la </w:t>
      </w:r>
      <w:r w:rsidR="00904E54">
        <w:rPr>
          <w:rFonts w:ascii="Times New Roman" w:cs="Times New Roman" w:hAnsi="Times New Roman"/>
          <w:sz w:val="22"/>
          <w:szCs w:val="22"/>
        </w:rPr>
        <w:t>même</w:t>
      </w:r>
      <w:r w:rsidR="00C21118">
        <w:rPr>
          <w:rFonts w:ascii="Times New Roman" w:cs="Times New Roman" w:hAnsi="Times New Roman"/>
          <w:sz w:val="22"/>
          <w:szCs w:val="22"/>
        </w:rPr>
        <w:t xml:space="preserve"> façon que précédemment, </w:t>
      </w:r>
      <w:r w:rsidR="00C21118" w:rsidRPr="00B16D23">
        <w:rPr>
          <w:rFonts w:ascii="Times New Roman" w:cs="Times New Roman" w:hAnsi="Times New Roman"/>
          <w:sz w:val="22"/>
          <w:szCs w:val="22"/>
        </w:rPr>
        <w:t>lors</w:t>
      </w:r>
      <w:r w:rsidR="00C21118">
        <w:rPr>
          <w:rFonts w:ascii="Times New Roman" w:cs="Times New Roman" w:hAnsi="Times New Roman"/>
          <w:sz w:val="22"/>
          <w:szCs w:val="22"/>
        </w:rPr>
        <w:t>que</w:t>
      </w:r>
      <w:r w:rsidR="00C21118" w:rsidRPr="00B16D23">
        <w:rPr>
          <w:rFonts w:ascii="Times New Roman" w:cs="Times New Roman" w:hAnsi="Times New Roman"/>
          <w:sz w:val="22"/>
          <w:szCs w:val="22"/>
        </w:rPr>
        <w:t xml:space="preserve"> le point UIC augmente</w:t>
      </w:r>
      <w:r w:rsidR="00C21118">
        <w:rPr>
          <w:rFonts w:ascii="Times New Roman" w:cs="Times New Roman" w:hAnsi="Times New Roman"/>
          <w:sz w:val="22"/>
          <w:szCs w:val="22"/>
        </w:rPr>
        <w:t>,</w:t>
      </w:r>
      <w:r w:rsidR="00C21118" w:rsidRPr="00B16D23">
        <w:rPr>
          <w:rFonts w:ascii="Times New Roman" w:cs="Times New Roman" w:hAnsi="Times New Roman"/>
          <w:sz w:val="22"/>
          <w:szCs w:val="22"/>
        </w:rPr>
        <w:t xml:space="preserve"> </w:t>
      </w:r>
      <w:r w:rsidR="00C21118">
        <w:rPr>
          <w:rFonts w:ascii="Times New Roman" w:cs="Times New Roman" w:hAnsi="Times New Roman"/>
          <w:sz w:val="22"/>
          <w:szCs w:val="22"/>
        </w:rPr>
        <w:t xml:space="preserve">cela ne se traduit pas par une évolution de leur rémunération de base. </w:t>
      </w:r>
      <w:r w:rsidR="00A5577E" w:rsidRPr="00C21118">
        <w:rPr>
          <w:rFonts w:ascii="Times New Roman" w:cs="Times New Roman" w:hAnsi="Times New Roman"/>
          <w:sz w:val="22"/>
          <w:szCs w:val="22"/>
        </w:rPr>
        <w:t>Par conséquent</w:t>
      </w:r>
      <w:r w:rsidR="00E7065F" w:rsidRPr="00C21118">
        <w:rPr>
          <w:rFonts w:ascii="Times New Roman" w:cs="Times New Roman" w:hAnsi="Times New Roman"/>
          <w:sz w:val="22"/>
          <w:szCs w:val="22"/>
        </w:rPr>
        <w:t xml:space="preserve">, </w:t>
      </w:r>
      <w:r w:rsidR="00C21118">
        <w:rPr>
          <w:rFonts w:ascii="Times New Roman" w:cs="Times New Roman" w:hAnsi="Times New Roman"/>
          <w:sz w:val="22"/>
          <w:szCs w:val="22"/>
        </w:rPr>
        <w:t xml:space="preserve">ces collaborateurs, sans mesure collective ou individuelle du fait de l’entreprise, se trouve rattraper progressivement par le plancher de leur </w:t>
      </w:r>
      <w:r w:rsidR="00AA0B06">
        <w:rPr>
          <w:rFonts w:ascii="Times New Roman" w:cs="Times New Roman" w:hAnsi="Times New Roman"/>
          <w:sz w:val="22"/>
          <w:szCs w:val="22"/>
        </w:rPr>
        <w:t>coefficient ce</w:t>
      </w:r>
      <w:r w:rsidR="00904E54">
        <w:rPr>
          <w:rFonts w:ascii="Times New Roman" w:cs="Times New Roman" w:hAnsi="Times New Roman"/>
          <w:sz w:val="22"/>
          <w:szCs w:val="22"/>
        </w:rPr>
        <w:t xml:space="preserve"> qui a pour effet d’annuler la mesure prise par la CPP à son origine.</w:t>
      </w:r>
    </w:p>
    <w:p w14:paraId="6441F6C9" w14:textId="77777777" w:rsidP="001248BB" w:rsidR="00585E57" w:rsidRDefault="00585E57">
      <w:pPr>
        <w:jc w:val="both"/>
        <w:rPr>
          <w:rFonts w:ascii="Times New Roman" w:cs="Times New Roman" w:hAnsi="Times New Roman"/>
          <w:sz w:val="22"/>
          <w:szCs w:val="22"/>
        </w:rPr>
      </w:pPr>
    </w:p>
    <w:p w14:paraId="79CA13C4" w14:textId="4AEEC72C" w:rsidP="001248BB" w:rsidR="00904E54" w:rsidRDefault="00414501">
      <w:pPr>
        <w:jc w:val="both"/>
        <w:rPr>
          <w:rFonts w:ascii="Times New Roman" w:cs="Times New Roman" w:hAnsi="Times New Roman"/>
          <w:sz w:val="22"/>
          <w:szCs w:val="22"/>
        </w:rPr>
      </w:pPr>
      <w:r>
        <w:rPr>
          <w:rFonts w:ascii="Times New Roman" w:cs="Times New Roman" w:hAnsi="Times New Roman"/>
          <w:sz w:val="22"/>
          <w:szCs w:val="22"/>
        </w:rPr>
        <w:t xml:space="preserve">La direction </w:t>
      </w:r>
      <w:r w:rsidR="007A4623">
        <w:rPr>
          <w:rFonts w:ascii="Times New Roman" w:cs="Times New Roman" w:hAnsi="Times New Roman"/>
          <w:sz w:val="22"/>
          <w:szCs w:val="22"/>
        </w:rPr>
        <w:t xml:space="preserve">s’engage </w:t>
      </w:r>
      <w:r w:rsidR="0062585F">
        <w:rPr>
          <w:rFonts w:ascii="Times New Roman" w:cs="Times New Roman" w:hAnsi="Times New Roman"/>
          <w:sz w:val="22"/>
          <w:szCs w:val="22"/>
        </w:rPr>
        <w:t xml:space="preserve">à étudier </w:t>
      </w:r>
      <w:r w:rsidR="00904E54">
        <w:rPr>
          <w:rFonts w:ascii="Times New Roman" w:cs="Times New Roman" w:hAnsi="Times New Roman"/>
          <w:sz w:val="22"/>
          <w:szCs w:val="22"/>
        </w:rPr>
        <w:t xml:space="preserve">systématiquement </w:t>
      </w:r>
      <w:r w:rsidR="00235B6D">
        <w:rPr>
          <w:rFonts w:ascii="Times New Roman" w:cs="Times New Roman" w:hAnsi="Times New Roman"/>
          <w:sz w:val="22"/>
          <w:szCs w:val="22"/>
        </w:rPr>
        <w:t xml:space="preserve">la possibilité de </w:t>
      </w:r>
      <w:r w:rsidR="00904E54">
        <w:rPr>
          <w:rFonts w:ascii="Times New Roman" w:cs="Times New Roman" w:hAnsi="Times New Roman"/>
          <w:sz w:val="22"/>
          <w:szCs w:val="22"/>
        </w:rPr>
        <w:t xml:space="preserve">réviser </w:t>
      </w:r>
      <w:r w:rsidR="003B4DB0">
        <w:rPr>
          <w:rFonts w:ascii="Times New Roman" w:cs="Times New Roman" w:hAnsi="Times New Roman"/>
          <w:sz w:val="22"/>
          <w:szCs w:val="22"/>
        </w:rPr>
        <w:t>ou non</w:t>
      </w:r>
      <w:r w:rsidR="00904E54">
        <w:rPr>
          <w:rFonts w:ascii="Times New Roman" w:cs="Times New Roman" w:hAnsi="Times New Roman"/>
          <w:sz w:val="22"/>
          <w:szCs w:val="22"/>
        </w:rPr>
        <w:t>,</w:t>
      </w:r>
      <w:r w:rsidR="00235B6D">
        <w:rPr>
          <w:rFonts w:ascii="Times New Roman" w:cs="Times New Roman" w:hAnsi="Times New Roman"/>
          <w:sz w:val="22"/>
          <w:szCs w:val="22"/>
        </w:rPr>
        <w:t xml:space="preserve"> </w:t>
      </w:r>
      <w:r w:rsidR="00904E54">
        <w:rPr>
          <w:rFonts w:ascii="Times New Roman" w:cs="Times New Roman" w:hAnsi="Times New Roman"/>
          <w:sz w:val="22"/>
          <w:szCs w:val="22"/>
        </w:rPr>
        <w:t xml:space="preserve">par voie d’avenant, </w:t>
      </w:r>
      <w:r w:rsidR="00235B6D">
        <w:rPr>
          <w:rFonts w:ascii="Times New Roman" w:cs="Times New Roman" w:hAnsi="Times New Roman"/>
          <w:sz w:val="22"/>
          <w:szCs w:val="22"/>
        </w:rPr>
        <w:t>le</w:t>
      </w:r>
      <w:r w:rsidR="00904E54">
        <w:rPr>
          <w:rFonts w:ascii="Times New Roman" w:cs="Times New Roman" w:hAnsi="Times New Roman"/>
          <w:sz w:val="22"/>
          <w:szCs w:val="22"/>
        </w:rPr>
        <w:t xml:space="preserve"> </w:t>
      </w:r>
      <w:r w:rsidR="00904E54">
        <w:rPr>
          <w:rFonts w:ascii="Times New Roman" w:cs="Times New Roman" w:hAnsi="Times New Roman"/>
          <w:sz w:val="22"/>
          <w:szCs w:val="22"/>
        </w:rPr>
        <w:lastRenderedPageBreak/>
        <w:t>calcul de la rémunération des collaborateurs relevant de la troisième population afin qu’il tienne compte de la valeur du plancher auquel s’ajoute l</w:t>
      </w:r>
      <w:r w:rsidR="00235B6D">
        <w:rPr>
          <w:rFonts w:ascii="Times New Roman" w:cs="Times New Roman" w:hAnsi="Times New Roman"/>
          <w:sz w:val="22"/>
          <w:szCs w:val="22"/>
        </w:rPr>
        <w:t xml:space="preserve">’écart </w:t>
      </w:r>
      <w:r w:rsidR="00904E54">
        <w:rPr>
          <w:rFonts w:ascii="Times New Roman" w:cs="Times New Roman" w:hAnsi="Times New Roman"/>
          <w:sz w:val="22"/>
          <w:szCs w:val="22"/>
        </w:rPr>
        <w:t>dont ils bénéficient (voir exemple ci-après).</w:t>
      </w:r>
    </w:p>
    <w:p w14:paraId="168476E3" w14:textId="54C2970B" w:rsidP="001248BB" w:rsidR="007F4E0D" w:rsidRDefault="00AC6757">
      <w:pPr>
        <w:jc w:val="both"/>
        <w:rPr>
          <w:rFonts w:ascii="Times New Roman" w:cs="Times New Roman" w:hAnsi="Times New Roman"/>
          <w:sz w:val="22"/>
          <w:szCs w:val="22"/>
        </w:rPr>
      </w:pPr>
      <w:r>
        <w:rPr>
          <w:rFonts w:ascii="Times New Roman" w:cs="Times New Roman" w:hAnsi="Times New Roman"/>
          <w:sz w:val="22"/>
          <w:szCs w:val="22"/>
        </w:rPr>
        <w:t xml:space="preserve">Et les </w:t>
      </w:r>
      <w:r w:rsidR="007F4E0D">
        <w:rPr>
          <w:rFonts w:ascii="Times New Roman" w:cs="Times New Roman" w:hAnsi="Times New Roman"/>
          <w:sz w:val="22"/>
          <w:szCs w:val="22"/>
        </w:rPr>
        <w:t>futurs</w:t>
      </w:r>
      <w:r>
        <w:rPr>
          <w:rFonts w:ascii="Times New Roman" w:cs="Times New Roman" w:hAnsi="Times New Roman"/>
          <w:sz w:val="22"/>
          <w:szCs w:val="22"/>
        </w:rPr>
        <w:t xml:space="preserve"> dossiers</w:t>
      </w:r>
      <w:r w:rsidR="00D64FCE">
        <w:rPr>
          <w:rFonts w:ascii="Times New Roman" w:cs="Times New Roman" w:hAnsi="Times New Roman"/>
          <w:sz w:val="22"/>
          <w:szCs w:val="22"/>
        </w:rPr>
        <w:t xml:space="preserve"> validés aux prochaines </w:t>
      </w:r>
      <w:r w:rsidR="00B80EE2">
        <w:rPr>
          <w:rFonts w:ascii="Times New Roman" w:cs="Times New Roman" w:hAnsi="Times New Roman"/>
          <w:sz w:val="22"/>
          <w:szCs w:val="22"/>
        </w:rPr>
        <w:t>commission</w:t>
      </w:r>
      <w:r w:rsidR="003B4DB0">
        <w:rPr>
          <w:rFonts w:ascii="Times New Roman" w:cs="Times New Roman" w:hAnsi="Times New Roman"/>
          <w:sz w:val="22"/>
          <w:szCs w:val="22"/>
        </w:rPr>
        <w:t>s</w:t>
      </w:r>
      <w:r w:rsidR="00904E54">
        <w:rPr>
          <w:rFonts w:ascii="Times New Roman" w:cs="Times New Roman" w:hAnsi="Times New Roman"/>
          <w:sz w:val="22"/>
          <w:szCs w:val="22"/>
        </w:rPr>
        <w:t xml:space="preserve"> </w:t>
      </w:r>
      <w:proofErr w:type="gramStart"/>
      <w:r w:rsidR="00D64FCE">
        <w:rPr>
          <w:rFonts w:ascii="Times New Roman" w:cs="Times New Roman" w:hAnsi="Times New Roman"/>
          <w:sz w:val="22"/>
          <w:szCs w:val="22"/>
        </w:rPr>
        <w:t>parcours</w:t>
      </w:r>
      <w:proofErr w:type="gramEnd"/>
      <w:r w:rsidR="00D64FCE">
        <w:rPr>
          <w:rFonts w:ascii="Times New Roman" w:cs="Times New Roman" w:hAnsi="Times New Roman"/>
          <w:sz w:val="22"/>
          <w:szCs w:val="22"/>
        </w:rPr>
        <w:t xml:space="preserve"> professionnel</w:t>
      </w:r>
      <w:r w:rsidR="003B4DB0">
        <w:rPr>
          <w:rFonts w:ascii="Times New Roman" w:cs="Times New Roman" w:hAnsi="Times New Roman"/>
          <w:sz w:val="22"/>
          <w:szCs w:val="22"/>
        </w:rPr>
        <w:t>s</w:t>
      </w:r>
      <w:r w:rsidR="00B80EE2">
        <w:rPr>
          <w:rFonts w:ascii="Times New Roman" w:cs="Times New Roman" w:hAnsi="Times New Roman"/>
          <w:sz w:val="22"/>
          <w:szCs w:val="22"/>
        </w:rPr>
        <w:t xml:space="preserve"> auront </w:t>
      </w:r>
      <w:r w:rsidR="00904E54">
        <w:rPr>
          <w:rFonts w:ascii="Times New Roman" w:cs="Times New Roman" w:hAnsi="Times New Roman"/>
          <w:sz w:val="22"/>
          <w:szCs w:val="22"/>
        </w:rPr>
        <w:t>systématiquement une définition de leur rémunération sur ce même principe</w:t>
      </w:r>
      <w:r w:rsidR="004A4098">
        <w:rPr>
          <w:rFonts w:ascii="Times New Roman" w:cs="Times New Roman" w:hAnsi="Times New Roman"/>
          <w:sz w:val="22"/>
          <w:szCs w:val="22"/>
        </w:rPr>
        <w:t>.</w:t>
      </w:r>
    </w:p>
    <w:p w14:paraId="24CE681E" w14:textId="2D905E75" w:rsidP="001248BB" w:rsidR="00AC6757" w:rsidRDefault="004A4098">
      <w:pPr>
        <w:jc w:val="both"/>
        <w:rPr>
          <w:rFonts w:ascii="Times New Roman" w:cs="Times New Roman" w:hAnsi="Times New Roman"/>
          <w:sz w:val="22"/>
          <w:szCs w:val="22"/>
        </w:rPr>
      </w:pPr>
      <w:r>
        <w:rPr>
          <w:rFonts w:ascii="Times New Roman" w:cs="Times New Roman" w:hAnsi="Times New Roman"/>
          <w:sz w:val="22"/>
          <w:szCs w:val="22"/>
        </w:rPr>
        <w:t xml:space="preserve"> </w:t>
      </w:r>
    </w:p>
    <w:p w14:paraId="5C98F5E0" w14:textId="5F5D648B" w:rsidP="001248BB" w:rsidR="004A4098" w:rsidRDefault="004A4098">
      <w:pPr>
        <w:jc w:val="both"/>
        <w:rPr>
          <w:rFonts w:ascii="Times New Roman" w:cs="Times New Roman" w:hAnsi="Times New Roman"/>
          <w:sz w:val="22"/>
          <w:szCs w:val="22"/>
        </w:rPr>
      </w:pPr>
      <w:r>
        <w:rPr>
          <w:rFonts w:ascii="Times New Roman" w:cs="Times New Roman" w:hAnsi="Times New Roman"/>
          <w:sz w:val="22"/>
          <w:szCs w:val="22"/>
        </w:rPr>
        <w:t>Exemple :</w:t>
      </w:r>
      <w:r w:rsidR="00F328FA">
        <w:rPr>
          <w:rFonts w:ascii="Times New Roman" w:cs="Times New Roman" w:hAnsi="Times New Roman"/>
          <w:sz w:val="22"/>
          <w:szCs w:val="22"/>
        </w:rPr>
        <w:t xml:space="preserve"> cas d’un salaire de base (brut) dont la valeur est </w:t>
      </w:r>
      <w:r>
        <w:rPr>
          <w:rFonts w:ascii="Times New Roman" w:cs="Times New Roman" w:hAnsi="Times New Roman"/>
          <w:sz w:val="22"/>
          <w:szCs w:val="22"/>
        </w:rPr>
        <w:t>de 100 €</w:t>
      </w:r>
      <w:r w:rsidR="00A530EC">
        <w:rPr>
          <w:rFonts w:ascii="Times New Roman" w:cs="Times New Roman" w:hAnsi="Times New Roman"/>
          <w:sz w:val="22"/>
          <w:szCs w:val="22"/>
        </w:rPr>
        <w:t xml:space="preserve"> </w:t>
      </w:r>
      <w:r w:rsidR="00F328FA">
        <w:rPr>
          <w:rFonts w:ascii="Times New Roman" w:cs="Times New Roman" w:hAnsi="Times New Roman"/>
          <w:sz w:val="22"/>
          <w:szCs w:val="22"/>
        </w:rPr>
        <w:t>supérieur au salaire correspondant au plancher. Le salaire de base sera défini : valeur du plancher + 100 €</w:t>
      </w:r>
    </w:p>
    <w:p w14:paraId="0E55AB35" w14:textId="576F96C0" w:rsidP="00904E54" w:rsidR="00702D21" w:rsidRDefault="00702D2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Cs/>
          <w:sz w:val="22"/>
          <w:szCs w:val="22"/>
        </w:rPr>
      </w:pPr>
    </w:p>
    <w:p w14:paraId="6EF73989" w14:textId="74081BA1" w:rsidP="00904E54" w:rsidR="00904E54" w:rsidRDefault="00904E54">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Cs/>
          <w:sz w:val="22"/>
          <w:szCs w:val="22"/>
        </w:rPr>
      </w:pPr>
      <w:r>
        <w:rPr>
          <w:rFonts w:ascii="Times New Roman" w:cs="Times New Roman" w:hAnsi="Times New Roman"/>
          <w:bCs/>
          <w:sz w:val="22"/>
          <w:szCs w:val="22"/>
        </w:rPr>
        <w:t>Pour les collaborateurs relevant de la seconde population, ils pourront demander à pouvoir bénéficier de cette mesure en procédant à une demande de passage en commission parcours professionnel.</w:t>
      </w:r>
    </w:p>
    <w:p w14:paraId="505491F0" w14:textId="77777777" w:rsidP="00904E54" w:rsidR="00904E54" w:rsidRDefault="00904E54" w:rsidRPr="00904E54">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Cs/>
          <w:sz w:val="22"/>
          <w:szCs w:val="22"/>
        </w:rPr>
      </w:pPr>
    </w:p>
    <w:p w14:paraId="5EDC6296" w14:textId="3245717E" w:rsidP="00FE508A" w:rsidR="00C80865" w:rsidRDefault="005027DE">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Cs/>
          <w:sz w:val="22"/>
          <w:szCs w:val="22"/>
        </w:rPr>
      </w:pPr>
      <w:r>
        <w:rPr>
          <w:rFonts w:ascii="Times New Roman" w:cs="Times New Roman" w:hAnsi="Times New Roman"/>
          <w:bCs/>
          <w:sz w:val="22"/>
          <w:szCs w:val="22"/>
        </w:rPr>
        <w:t xml:space="preserve">Il est rappelé que le dépôt du dossier </w:t>
      </w:r>
      <w:r w:rsidR="001556C6">
        <w:rPr>
          <w:rFonts w:ascii="Times New Roman" w:cs="Times New Roman" w:hAnsi="Times New Roman"/>
          <w:bCs/>
          <w:sz w:val="22"/>
          <w:szCs w:val="22"/>
        </w:rPr>
        <w:t xml:space="preserve">lors d’une commission </w:t>
      </w:r>
      <w:r w:rsidR="004C7FC1">
        <w:rPr>
          <w:rFonts w:ascii="Times New Roman" w:cs="Times New Roman" w:hAnsi="Times New Roman"/>
          <w:bCs/>
          <w:sz w:val="22"/>
          <w:szCs w:val="22"/>
        </w:rPr>
        <w:t>par</w:t>
      </w:r>
      <w:r w:rsidR="00A06376">
        <w:rPr>
          <w:rFonts w:ascii="Times New Roman" w:cs="Times New Roman" w:hAnsi="Times New Roman"/>
          <w:bCs/>
          <w:sz w:val="22"/>
          <w:szCs w:val="22"/>
        </w:rPr>
        <w:t>cours professionnel</w:t>
      </w:r>
      <w:r w:rsidR="001F0EDC">
        <w:rPr>
          <w:rFonts w:ascii="Times New Roman" w:cs="Times New Roman" w:hAnsi="Times New Roman"/>
          <w:bCs/>
          <w:sz w:val="22"/>
          <w:szCs w:val="22"/>
        </w:rPr>
        <w:t xml:space="preserve"> (CPP)</w:t>
      </w:r>
      <w:r w:rsidR="00A06376">
        <w:rPr>
          <w:rFonts w:ascii="Times New Roman" w:cs="Times New Roman" w:hAnsi="Times New Roman"/>
          <w:bCs/>
          <w:sz w:val="22"/>
          <w:szCs w:val="22"/>
        </w:rPr>
        <w:t xml:space="preserve"> peut être aussi </w:t>
      </w:r>
      <w:r w:rsidR="003B4DB0">
        <w:rPr>
          <w:rFonts w:ascii="Times New Roman" w:cs="Times New Roman" w:hAnsi="Times New Roman"/>
          <w:bCs/>
          <w:sz w:val="22"/>
          <w:szCs w:val="22"/>
        </w:rPr>
        <w:t>bien à l’initiative du collaborateur</w:t>
      </w:r>
      <w:r w:rsidR="00F328FA">
        <w:rPr>
          <w:rFonts w:ascii="Times New Roman" w:cs="Times New Roman" w:hAnsi="Times New Roman"/>
          <w:bCs/>
          <w:sz w:val="22"/>
          <w:szCs w:val="22"/>
        </w:rPr>
        <w:t xml:space="preserve"> que</w:t>
      </w:r>
      <w:r w:rsidR="003B4DB0">
        <w:rPr>
          <w:rFonts w:ascii="Times New Roman" w:cs="Times New Roman" w:hAnsi="Times New Roman"/>
          <w:bCs/>
          <w:sz w:val="22"/>
          <w:szCs w:val="22"/>
        </w:rPr>
        <w:t xml:space="preserve"> du manager (voire de la direction). Il est important de rappeler que tout dossier </w:t>
      </w:r>
      <w:r w:rsidR="00F328FA">
        <w:rPr>
          <w:rFonts w:ascii="Times New Roman" w:cs="Times New Roman" w:hAnsi="Times New Roman"/>
          <w:bCs/>
          <w:sz w:val="22"/>
          <w:szCs w:val="22"/>
        </w:rPr>
        <w:t xml:space="preserve">complet (notamment comprenant l’avis du manager) </w:t>
      </w:r>
      <w:r w:rsidR="003B4DB0">
        <w:rPr>
          <w:rFonts w:ascii="Times New Roman" w:cs="Times New Roman" w:hAnsi="Times New Roman"/>
          <w:bCs/>
          <w:sz w:val="22"/>
          <w:szCs w:val="22"/>
        </w:rPr>
        <w:t>élaboré à la demande du collaborateur doit être porté à la connaissance de la CPP</w:t>
      </w:r>
      <w:r w:rsidR="00F328FA">
        <w:rPr>
          <w:rFonts w:ascii="Times New Roman" w:cs="Times New Roman" w:hAnsi="Times New Roman"/>
          <w:bCs/>
          <w:sz w:val="22"/>
          <w:szCs w:val="22"/>
        </w:rPr>
        <w:t>.</w:t>
      </w:r>
    </w:p>
    <w:p w14:paraId="36FD8218" w14:textId="77777777" w:rsidP="00FE508A" w:rsidR="00C80865" w:rsidRDefault="00C80865">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Cs/>
          <w:sz w:val="22"/>
          <w:szCs w:val="22"/>
        </w:rPr>
      </w:pPr>
    </w:p>
    <w:p w14:paraId="26EAFC8C" w14:textId="0DE93E8D" w:rsidP="00F328FA" w:rsidR="00F328FA" w:rsidRDefault="00F328FA">
      <w:pPr>
        <w:jc w:val="both"/>
        <w:rPr>
          <w:rFonts w:ascii="Times New Roman" w:cs="Times New Roman" w:hAnsi="Times New Roman"/>
          <w:sz w:val="22"/>
          <w:szCs w:val="22"/>
        </w:rPr>
      </w:pPr>
      <w:r>
        <w:rPr>
          <w:rFonts w:ascii="Times New Roman" w:cs="Times New Roman" w:hAnsi="Times New Roman"/>
          <w:sz w:val="22"/>
          <w:szCs w:val="22"/>
        </w:rPr>
        <w:t xml:space="preserve">La direction est consciente qu’il y a toujours un manque de visibilité d’évolution pour les cadres coefficient 460. Ces évolutions sont actuellement hors convention collective. </w:t>
      </w:r>
    </w:p>
    <w:p w14:paraId="48116FE7" w14:textId="77777777" w:rsidP="00F328FA" w:rsidR="00C80865" w:rsidRDefault="00C80865">
      <w:pPr>
        <w:jc w:val="both"/>
        <w:rPr>
          <w:rFonts w:ascii="Times New Roman" w:cs="Times New Roman" w:hAnsi="Times New Roman"/>
          <w:sz w:val="22"/>
          <w:szCs w:val="22"/>
        </w:rPr>
      </w:pPr>
    </w:p>
    <w:p w14:paraId="74D0493A" w14:textId="3038587D" w:rsidP="00F328FA" w:rsidR="00C80865" w:rsidRDefault="00C80865">
      <w:pPr>
        <w:jc w:val="both"/>
        <w:rPr>
          <w:rFonts w:ascii="Times New Roman" w:cs="Times New Roman" w:hAnsi="Times New Roman"/>
          <w:sz w:val="22"/>
          <w:szCs w:val="22"/>
        </w:rPr>
      </w:pPr>
      <w:r>
        <w:rPr>
          <w:rFonts w:ascii="Times New Roman" w:cs="Times New Roman" w:hAnsi="Times New Roman"/>
          <w:sz w:val="22"/>
          <w:szCs w:val="22"/>
        </w:rPr>
        <w:t xml:space="preserve">Par conséquent : </w:t>
      </w:r>
    </w:p>
    <w:p w14:paraId="1C9B97B4" w14:textId="0EC33761" w:rsidP="00C80865" w:rsidR="00C80865" w:rsidRDefault="00C80865">
      <w:pPr>
        <w:pStyle w:val="Paragraphedeliste"/>
        <w:numPr>
          <w:ilvl w:val="0"/>
          <w:numId w:val="7"/>
        </w:numPr>
        <w:jc w:val="both"/>
        <w:rPr>
          <w:rFonts w:ascii="Times New Roman" w:cs="Times New Roman" w:hAnsi="Times New Roman"/>
          <w:sz w:val="22"/>
          <w:szCs w:val="22"/>
        </w:rPr>
      </w:pPr>
      <w:r>
        <w:rPr>
          <w:rFonts w:ascii="Times New Roman" w:cs="Times New Roman" w:hAnsi="Times New Roman"/>
          <w:sz w:val="22"/>
          <w:szCs w:val="22"/>
        </w:rPr>
        <w:t>Les collaborateurs, cadres au coefficient 460 et relevant de la seconde population précédemment citée seront étudiés en priorité cette année.</w:t>
      </w:r>
    </w:p>
    <w:p w14:paraId="1FE75610" w14:textId="20E9E368" w:rsidP="00C80865" w:rsidR="00F328FA" w:rsidRDefault="00F328FA" w:rsidRPr="00C80865">
      <w:pPr>
        <w:pStyle w:val="Paragraphedeliste"/>
        <w:numPr>
          <w:ilvl w:val="0"/>
          <w:numId w:val="7"/>
        </w:numPr>
        <w:jc w:val="both"/>
        <w:rPr>
          <w:rFonts w:ascii="Times New Roman" w:cs="Times New Roman" w:hAnsi="Times New Roman"/>
          <w:sz w:val="22"/>
          <w:szCs w:val="22"/>
        </w:rPr>
      </w:pPr>
      <w:r w:rsidRPr="00C80865">
        <w:rPr>
          <w:rFonts w:ascii="Times New Roman" w:cs="Times New Roman" w:hAnsi="Times New Roman"/>
          <w:sz w:val="22"/>
          <w:szCs w:val="22"/>
        </w:rPr>
        <w:t xml:space="preserve">Pour la prochaine NAO, la direction s’engage à donner des points de repères de trajectoire concernant ses évolutions (exemple : ancienneté, </w:t>
      </w:r>
      <w:r w:rsidR="0036375F">
        <w:rPr>
          <w:rFonts w:ascii="Times New Roman" w:cs="Times New Roman" w:hAnsi="Times New Roman"/>
          <w:sz w:val="22"/>
          <w:szCs w:val="22"/>
        </w:rPr>
        <w:t xml:space="preserve">utilisation ou non de coefficient intermédiaire, </w:t>
      </w:r>
      <w:r w:rsidRPr="00C80865">
        <w:rPr>
          <w:rFonts w:ascii="Times New Roman" w:cs="Times New Roman" w:hAnsi="Times New Roman"/>
          <w:sz w:val="22"/>
          <w:szCs w:val="22"/>
        </w:rPr>
        <w:t>compétences, engagement…).</w:t>
      </w:r>
    </w:p>
    <w:p w14:paraId="473A696B" w14:textId="77777777" w:rsidP="00FE508A" w:rsidR="00F328FA" w:rsidRDefault="00F328FA" w:rsidRPr="005027DE">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Cs/>
          <w:sz w:val="22"/>
          <w:szCs w:val="22"/>
        </w:rPr>
      </w:pPr>
    </w:p>
    <w:p w14:paraId="06FD4F0F" w14:textId="77777777" w:rsidP="00FE508A" w:rsidR="00F2268A" w:rsidRDefault="00F2268A">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
          <w:sz w:val="22"/>
          <w:szCs w:val="22"/>
          <w:u w:val="single"/>
        </w:rPr>
      </w:pPr>
    </w:p>
    <w:p w14:paraId="6FE269F2" w14:textId="77777777" w:rsidP="00FE508A" w:rsidR="00FE508A" w:rsidRDefault="00FE508A"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
          <w:sz w:val="22"/>
          <w:szCs w:val="22"/>
          <w:u w:val="single"/>
        </w:rPr>
      </w:pPr>
      <w:r w:rsidRPr="007765C1">
        <w:rPr>
          <w:rFonts w:ascii="Times New Roman" w:cs="Times New Roman" w:hAnsi="Times New Roman"/>
          <w:b/>
          <w:sz w:val="22"/>
          <w:szCs w:val="22"/>
          <w:u w:val="single"/>
        </w:rPr>
        <w:t>2 </w:t>
      </w:r>
      <w:r w:rsidR="003D5278">
        <w:rPr>
          <w:rFonts w:ascii="Times New Roman" w:cs="Times New Roman" w:hAnsi="Times New Roman"/>
          <w:b/>
          <w:sz w:val="22"/>
          <w:szCs w:val="22"/>
          <w:u w:val="single"/>
        </w:rPr>
        <w:t xml:space="preserve">- </w:t>
      </w:r>
      <w:r w:rsidRPr="007765C1">
        <w:rPr>
          <w:rFonts w:ascii="Times New Roman" w:cs="Times New Roman" w:hAnsi="Times New Roman"/>
          <w:b/>
          <w:sz w:val="22"/>
          <w:szCs w:val="22"/>
          <w:u w:val="single"/>
        </w:rPr>
        <w:t>La durée effective et l’organisation du temps de travail</w:t>
      </w:r>
    </w:p>
    <w:p w14:paraId="0F856CCA" w14:textId="77777777" w:rsidP="00331B59" w:rsidR="00602A0A" w:rsidRDefault="00602A0A">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55098540" w14:textId="7ACCEDA1" w:rsidP="00620DEA" w:rsidR="00970940" w:rsidRDefault="00620DEA">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r>
        <w:rPr>
          <w:rFonts w:ascii="Times New Roman" w:cs="Times New Roman" w:hAnsi="Times New Roman"/>
          <w:sz w:val="22"/>
          <w:szCs w:val="22"/>
        </w:rPr>
        <w:t>L’a</w:t>
      </w:r>
      <w:r w:rsidR="00331B59">
        <w:rPr>
          <w:rFonts w:ascii="Times New Roman" w:cs="Times New Roman" w:hAnsi="Times New Roman"/>
          <w:sz w:val="22"/>
          <w:szCs w:val="22"/>
        </w:rPr>
        <w:t>ccord collectif d’entrepris</w:t>
      </w:r>
      <w:r w:rsidR="00B87CBF">
        <w:rPr>
          <w:rFonts w:ascii="Times New Roman" w:cs="Times New Roman" w:hAnsi="Times New Roman"/>
          <w:sz w:val="22"/>
          <w:szCs w:val="22"/>
        </w:rPr>
        <w:t>e</w:t>
      </w:r>
      <w:r w:rsidR="00331B59">
        <w:rPr>
          <w:rFonts w:ascii="Times New Roman" w:cs="Times New Roman" w:hAnsi="Times New Roman"/>
          <w:sz w:val="22"/>
          <w:szCs w:val="22"/>
        </w:rPr>
        <w:t xml:space="preserve"> portant sur la durée et l’</w:t>
      </w:r>
      <w:r w:rsidR="003B4DB0">
        <w:rPr>
          <w:rFonts w:ascii="Times New Roman" w:cs="Times New Roman" w:hAnsi="Times New Roman"/>
          <w:sz w:val="22"/>
          <w:szCs w:val="22"/>
        </w:rPr>
        <w:t>aménagement</w:t>
      </w:r>
      <w:r w:rsidR="00331B59">
        <w:rPr>
          <w:rFonts w:ascii="Times New Roman" w:cs="Times New Roman" w:hAnsi="Times New Roman"/>
          <w:sz w:val="22"/>
          <w:szCs w:val="22"/>
        </w:rPr>
        <w:t xml:space="preserve"> du temps de travail </w:t>
      </w:r>
      <w:r>
        <w:rPr>
          <w:rFonts w:ascii="Times New Roman" w:cs="Times New Roman" w:hAnsi="Times New Roman"/>
          <w:sz w:val="22"/>
          <w:szCs w:val="22"/>
        </w:rPr>
        <w:t xml:space="preserve">est </w:t>
      </w:r>
      <w:r w:rsidR="00331B59">
        <w:rPr>
          <w:rFonts w:ascii="Times New Roman" w:cs="Times New Roman" w:hAnsi="Times New Roman"/>
          <w:sz w:val="22"/>
          <w:szCs w:val="22"/>
        </w:rPr>
        <w:t>entré en vigueur le 1</w:t>
      </w:r>
      <w:r w:rsidR="00331B59" w:rsidRPr="00331B59">
        <w:rPr>
          <w:rFonts w:ascii="Times New Roman" w:cs="Times New Roman" w:hAnsi="Times New Roman"/>
          <w:sz w:val="22"/>
          <w:szCs w:val="22"/>
          <w:vertAlign w:val="superscript"/>
        </w:rPr>
        <w:t>er</w:t>
      </w:r>
      <w:r w:rsidR="00331B59">
        <w:rPr>
          <w:rFonts w:ascii="Times New Roman" w:cs="Times New Roman" w:hAnsi="Times New Roman"/>
          <w:sz w:val="22"/>
          <w:szCs w:val="22"/>
        </w:rPr>
        <w:t xml:space="preserve"> février 202</w:t>
      </w:r>
      <w:r>
        <w:rPr>
          <w:rFonts w:ascii="Times New Roman" w:cs="Times New Roman" w:hAnsi="Times New Roman"/>
          <w:sz w:val="22"/>
          <w:szCs w:val="22"/>
        </w:rPr>
        <w:t xml:space="preserve">1. </w:t>
      </w:r>
    </w:p>
    <w:p w14:paraId="511196B6" w14:textId="77777777" w:rsidP="00620DEA" w:rsidR="00970940" w:rsidRDefault="00970940">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4F659CBE" w14:textId="473D2E5E" w:rsidP="00620DEA" w:rsidR="00331B59" w:rsidRDefault="00620DEA"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r>
        <w:rPr>
          <w:rFonts w:ascii="Times New Roman" w:cs="Times New Roman" w:hAnsi="Times New Roman"/>
          <w:sz w:val="22"/>
          <w:szCs w:val="22"/>
        </w:rPr>
        <w:t>Les 2 années de reculs</w:t>
      </w:r>
      <w:r w:rsidR="00970940">
        <w:rPr>
          <w:rFonts w:ascii="Times New Roman" w:cs="Times New Roman" w:hAnsi="Times New Roman"/>
          <w:sz w:val="22"/>
          <w:szCs w:val="22"/>
        </w:rPr>
        <w:t xml:space="preserve">, 2021 et 2022, </w:t>
      </w:r>
      <w:r>
        <w:rPr>
          <w:rFonts w:ascii="Times New Roman" w:cs="Times New Roman" w:hAnsi="Times New Roman"/>
          <w:sz w:val="22"/>
          <w:szCs w:val="22"/>
        </w:rPr>
        <w:t>vont permettre une analyse plus poussée et d’avoir des retours concrets de l’application de cet accord</w:t>
      </w:r>
      <w:r w:rsidR="00BB66DA">
        <w:rPr>
          <w:rFonts w:ascii="Times New Roman" w:cs="Times New Roman" w:hAnsi="Times New Roman"/>
          <w:sz w:val="22"/>
          <w:szCs w:val="22"/>
        </w:rPr>
        <w:t xml:space="preserve"> à </w:t>
      </w:r>
      <w:r w:rsidR="00CA65FB">
        <w:rPr>
          <w:rFonts w:ascii="Times New Roman" w:cs="Times New Roman" w:hAnsi="Times New Roman"/>
          <w:sz w:val="22"/>
          <w:szCs w:val="22"/>
        </w:rPr>
        <w:t>la fin 2023.</w:t>
      </w:r>
      <w:r w:rsidR="00CA0AD9">
        <w:rPr>
          <w:rFonts w:ascii="Times New Roman" w:cs="Times New Roman" w:hAnsi="Times New Roman"/>
          <w:sz w:val="22"/>
          <w:szCs w:val="22"/>
        </w:rPr>
        <w:t xml:space="preserve"> </w:t>
      </w:r>
      <w:r w:rsidR="00F36A78">
        <w:rPr>
          <w:rFonts w:ascii="Times New Roman" w:cs="Times New Roman" w:hAnsi="Times New Roman"/>
          <w:sz w:val="22"/>
          <w:szCs w:val="22"/>
        </w:rPr>
        <w:t xml:space="preserve">Cette analyse portera sur </w:t>
      </w:r>
      <w:r w:rsidR="00635586">
        <w:rPr>
          <w:rFonts w:ascii="Times New Roman" w:cs="Times New Roman" w:hAnsi="Times New Roman"/>
          <w:sz w:val="22"/>
          <w:szCs w:val="22"/>
        </w:rPr>
        <w:t xml:space="preserve">le nombre d’heures faites sur les 2 années, les </w:t>
      </w:r>
      <w:r w:rsidR="00E825D6">
        <w:rPr>
          <w:rFonts w:ascii="Times New Roman" w:cs="Times New Roman" w:hAnsi="Times New Roman"/>
          <w:sz w:val="22"/>
          <w:szCs w:val="22"/>
        </w:rPr>
        <w:t xml:space="preserve">heures supplémentaires, </w:t>
      </w:r>
      <w:r w:rsidR="003B51F6">
        <w:rPr>
          <w:rFonts w:ascii="Times New Roman" w:cs="Times New Roman" w:hAnsi="Times New Roman"/>
          <w:sz w:val="22"/>
          <w:szCs w:val="22"/>
        </w:rPr>
        <w:t xml:space="preserve">les congés payés, les RTT/RF posés et déposés sur le CET et un </w:t>
      </w:r>
      <w:r w:rsidR="0094789E">
        <w:rPr>
          <w:rFonts w:ascii="Times New Roman" w:cs="Times New Roman" w:hAnsi="Times New Roman"/>
          <w:sz w:val="22"/>
          <w:szCs w:val="22"/>
        </w:rPr>
        <w:t xml:space="preserve">avis qualitatif et quantitatif sur </w:t>
      </w:r>
      <w:r w:rsidR="00926116">
        <w:rPr>
          <w:rFonts w:ascii="Times New Roman" w:cs="Times New Roman" w:hAnsi="Times New Roman"/>
          <w:sz w:val="22"/>
          <w:szCs w:val="22"/>
        </w:rPr>
        <w:t xml:space="preserve">le pilotage </w:t>
      </w:r>
      <w:r w:rsidR="0094789E">
        <w:rPr>
          <w:rFonts w:ascii="Times New Roman" w:cs="Times New Roman" w:hAnsi="Times New Roman"/>
          <w:sz w:val="22"/>
          <w:szCs w:val="22"/>
        </w:rPr>
        <w:t>la catégorie des cadres forfaits heures.</w:t>
      </w:r>
    </w:p>
    <w:p w14:paraId="6BFDB842" w14:textId="70B7E1E9" w:rsidP="00FE508A" w:rsidR="00FE508A" w:rsidRDefault="00FE508A">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59629EEE" w14:textId="77777777" w:rsidP="00FE508A" w:rsidR="0093460E" w:rsidRDefault="0093460E">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60CF1C17" w14:textId="234438BE" w:rsidP="005C6F7D" w:rsidR="005C6F7D" w:rsidRDefault="005C6F7D"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
          <w:sz w:val="22"/>
          <w:szCs w:val="22"/>
          <w:u w:val="single"/>
        </w:rPr>
      </w:pPr>
      <w:r>
        <w:rPr>
          <w:rFonts w:ascii="Times New Roman" w:cs="Times New Roman" w:hAnsi="Times New Roman"/>
          <w:b/>
          <w:sz w:val="22"/>
          <w:szCs w:val="22"/>
          <w:u w:val="single"/>
        </w:rPr>
        <w:t>3</w:t>
      </w:r>
      <w:r w:rsidRPr="007765C1">
        <w:rPr>
          <w:rFonts w:ascii="Times New Roman" w:cs="Times New Roman" w:hAnsi="Times New Roman"/>
          <w:b/>
          <w:sz w:val="22"/>
          <w:szCs w:val="22"/>
          <w:u w:val="single"/>
        </w:rPr>
        <w:t> </w:t>
      </w:r>
      <w:r w:rsidR="00965D2A">
        <w:rPr>
          <w:rFonts w:ascii="Times New Roman" w:cs="Times New Roman" w:hAnsi="Times New Roman"/>
          <w:b/>
          <w:sz w:val="22"/>
          <w:szCs w:val="22"/>
          <w:u w:val="single"/>
        </w:rPr>
        <w:t xml:space="preserve">- </w:t>
      </w:r>
      <w:r w:rsidR="00965D2A" w:rsidRPr="007765C1">
        <w:rPr>
          <w:rFonts w:ascii="Times New Roman" w:cs="Times New Roman" w:hAnsi="Times New Roman"/>
          <w:b/>
          <w:sz w:val="22"/>
          <w:szCs w:val="22"/>
          <w:u w:val="single"/>
        </w:rPr>
        <w:t>L’emploi</w:t>
      </w:r>
      <w:r w:rsidRPr="007765C1">
        <w:rPr>
          <w:rFonts w:ascii="Times New Roman" w:cs="Times New Roman" w:hAnsi="Times New Roman"/>
          <w:b/>
          <w:sz w:val="22"/>
          <w:szCs w:val="22"/>
          <w:u w:val="single"/>
        </w:rPr>
        <w:t xml:space="preserve"> des seniors</w:t>
      </w:r>
    </w:p>
    <w:p w14:paraId="047575E0" w14:textId="77777777" w:rsidP="005C6F7D" w:rsidR="005C6F7D" w:rsidRDefault="005C6F7D"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
          <w:sz w:val="22"/>
          <w:szCs w:val="22"/>
          <w:u w:val="single"/>
        </w:rPr>
      </w:pPr>
    </w:p>
    <w:p w14:paraId="2937CBD9" w14:textId="05B4B6D8" w:rsidP="00BC5BFB" w:rsidR="005C6F7D" w:rsidRDefault="00970940" w:rsidRPr="007765C1">
      <w:pPr>
        <w:shd w:color="000000" w:fill="FFFFFF" w:val="clear"/>
        <w:tabs>
          <w:tab w:pos="0" w:val="left"/>
          <w:tab w:pos="1440" w:val="left"/>
          <w:tab w:pos="2160" w:val="left"/>
          <w:tab w:pos="2880" w:val="left"/>
          <w:tab w:pos="3600" w:val="left"/>
        </w:tabs>
        <w:jc w:val="both"/>
        <w:rPr>
          <w:rFonts w:ascii="Times New Roman" w:cs="Times New Roman" w:hAnsi="Times New Roman"/>
          <w:sz w:val="22"/>
          <w:szCs w:val="22"/>
        </w:rPr>
      </w:pPr>
      <w:r>
        <w:rPr>
          <w:rFonts w:ascii="Times New Roman" w:cs="Times New Roman" w:hAnsi="Times New Roman"/>
          <w:sz w:val="22"/>
          <w:szCs w:val="22"/>
        </w:rPr>
        <w:t>L’</w:t>
      </w:r>
      <w:r w:rsidR="00BC5BFB">
        <w:rPr>
          <w:rFonts w:ascii="Times New Roman" w:cs="Times New Roman" w:hAnsi="Times New Roman"/>
          <w:sz w:val="22"/>
          <w:szCs w:val="22"/>
        </w:rPr>
        <w:t>accord sénior a été négocié et signé le 2 juillet 2020</w:t>
      </w:r>
      <w:r w:rsidR="00DC6CDD">
        <w:rPr>
          <w:rFonts w:ascii="Times New Roman" w:cs="Times New Roman" w:hAnsi="Times New Roman"/>
          <w:sz w:val="22"/>
          <w:szCs w:val="22"/>
        </w:rPr>
        <w:t>. Depuis 3 dossiers d’engagement dans l’accord sénior ont été montés et validés par le comité de direction.</w:t>
      </w:r>
      <w:r w:rsidR="00C107A5">
        <w:rPr>
          <w:rFonts w:ascii="Times New Roman" w:cs="Times New Roman" w:hAnsi="Times New Roman"/>
          <w:sz w:val="22"/>
          <w:szCs w:val="22"/>
        </w:rPr>
        <w:t xml:space="preserve"> </w:t>
      </w:r>
    </w:p>
    <w:p w14:paraId="0B78416A" w14:textId="4A049BF6" w:rsidP="00FE508A" w:rsidR="00FE508A" w:rsidRDefault="00FE508A">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2DE00E86" w14:textId="77777777" w:rsidP="00FE508A" w:rsidR="0001780D" w:rsidRDefault="0001780D"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1F72415F" w14:textId="77777777" w:rsidP="00FE508A" w:rsidR="00FE508A" w:rsidRDefault="00FE508A"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
          <w:sz w:val="22"/>
          <w:szCs w:val="22"/>
          <w:u w:val="single"/>
        </w:rPr>
      </w:pPr>
      <w:r w:rsidRPr="007765C1">
        <w:rPr>
          <w:rFonts w:ascii="Times New Roman" w:cs="Times New Roman" w:hAnsi="Times New Roman"/>
          <w:b/>
          <w:sz w:val="22"/>
          <w:szCs w:val="22"/>
          <w:u w:val="single"/>
        </w:rPr>
        <w:t>4 </w:t>
      </w:r>
      <w:r w:rsidR="003D5278">
        <w:rPr>
          <w:rFonts w:ascii="Times New Roman" w:cs="Times New Roman" w:hAnsi="Times New Roman"/>
          <w:b/>
          <w:sz w:val="22"/>
          <w:szCs w:val="22"/>
          <w:u w:val="single"/>
        </w:rPr>
        <w:t>-</w:t>
      </w:r>
      <w:r w:rsidRPr="007765C1">
        <w:rPr>
          <w:rFonts w:ascii="Times New Roman" w:cs="Times New Roman" w:hAnsi="Times New Roman"/>
          <w:b/>
          <w:sz w:val="22"/>
          <w:szCs w:val="22"/>
          <w:u w:val="single"/>
        </w:rPr>
        <w:t xml:space="preserve"> Les objectifs en matière d’égalité professionnelle entre les femmes et les hommes et sur les mesures permettant d’atteindre ces objectifs</w:t>
      </w:r>
    </w:p>
    <w:p w14:paraId="6183DBEF" w14:textId="103281DB" w:rsidP="009B281C" w:rsidR="009B281C" w:rsidRDefault="009B281C" w:rsidRPr="009B281C">
      <w:pPr>
        <w:widowControl/>
        <w:autoSpaceDE/>
        <w:autoSpaceDN/>
        <w:adjustRightInd/>
        <w:rPr>
          <w:rFonts w:ascii="Times New Roman" w:cs="Times New Roman" w:hAnsi="Times New Roman"/>
          <w:color w:val="auto"/>
        </w:rPr>
      </w:pPr>
    </w:p>
    <w:p w14:paraId="1A994F05" w14:textId="591C38A7" w:rsidP="009B281C" w:rsidR="009B281C" w:rsidRDefault="009B281C">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r w:rsidRPr="009B281C">
        <w:rPr>
          <w:rFonts w:ascii="Times New Roman" w:cs="Times New Roman" w:hAnsi="Times New Roman"/>
          <w:sz w:val="22"/>
          <w:szCs w:val="22"/>
        </w:rPr>
        <w:t>L'index d'égalité professionnelle entre les femmes et les hommes est un outil créé en 2018, qui permet aux entreprises de mesurer les écarts de rémunération entre les sexes et de mettre en lumière les disparités existantes. La finalité de cet outil est de mettre fin aux inégalités professionnelle</w:t>
      </w:r>
      <w:r>
        <w:rPr>
          <w:rFonts w:ascii="Times New Roman" w:cs="Times New Roman" w:hAnsi="Times New Roman"/>
          <w:sz w:val="22"/>
          <w:szCs w:val="22"/>
        </w:rPr>
        <w:t>.</w:t>
      </w:r>
    </w:p>
    <w:p w14:paraId="2AB63895" w14:textId="77777777" w:rsidP="009B281C" w:rsidR="009B281C" w:rsidRDefault="009B281C" w:rsidRPr="009B281C">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77F87D9D" w14:textId="09BE86D4" w:rsidP="000C3966" w:rsidR="00B018A4" w:rsidRDefault="0039338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sz w:val="22"/>
          <w:szCs w:val="22"/>
        </w:rPr>
      </w:pPr>
      <w:r w:rsidRPr="00A8449C">
        <w:rPr>
          <w:rFonts w:ascii="Times New Roman" w:cs="Times New Roman" w:hAnsi="Times New Roman"/>
          <w:bCs/>
          <w:sz w:val="22"/>
          <w:szCs w:val="22"/>
        </w:rPr>
        <w:t>Au titre de l’année 202</w:t>
      </w:r>
      <w:r w:rsidR="00F70E37" w:rsidRPr="00A8449C">
        <w:rPr>
          <w:rFonts w:ascii="Times New Roman" w:cs="Times New Roman" w:hAnsi="Times New Roman"/>
          <w:bCs/>
          <w:sz w:val="22"/>
          <w:szCs w:val="22"/>
        </w:rPr>
        <w:t>2</w:t>
      </w:r>
      <w:r w:rsidRPr="00A8449C">
        <w:rPr>
          <w:rFonts w:ascii="Times New Roman" w:cs="Times New Roman" w:hAnsi="Times New Roman"/>
          <w:bCs/>
          <w:sz w:val="22"/>
          <w:szCs w:val="22"/>
        </w:rPr>
        <w:t xml:space="preserve">, </w:t>
      </w:r>
      <w:r w:rsidR="009B281C" w:rsidRPr="00A8449C">
        <w:rPr>
          <w:rFonts w:ascii="Times New Roman" w:cs="Times New Roman" w:hAnsi="Times New Roman"/>
          <w:bCs/>
          <w:sz w:val="22"/>
          <w:szCs w:val="22"/>
        </w:rPr>
        <w:t>l’index hommes</w:t>
      </w:r>
      <w:r w:rsidR="008C783E">
        <w:rPr>
          <w:rFonts w:ascii="Times New Roman" w:cs="Times New Roman" w:hAnsi="Times New Roman"/>
          <w:bCs/>
          <w:sz w:val="22"/>
          <w:szCs w:val="22"/>
        </w:rPr>
        <w:t>/</w:t>
      </w:r>
      <w:r w:rsidR="009B281C" w:rsidRPr="00A8449C">
        <w:rPr>
          <w:rFonts w:ascii="Times New Roman" w:cs="Times New Roman" w:hAnsi="Times New Roman"/>
          <w:bCs/>
          <w:sz w:val="22"/>
          <w:szCs w:val="22"/>
        </w:rPr>
        <w:t xml:space="preserve">femmes de Terres Inovia </w:t>
      </w:r>
      <w:r w:rsidRPr="00A8449C">
        <w:rPr>
          <w:rFonts w:ascii="Times New Roman" w:cs="Times New Roman" w:hAnsi="Times New Roman"/>
          <w:bCs/>
          <w:sz w:val="22"/>
          <w:szCs w:val="22"/>
        </w:rPr>
        <w:t xml:space="preserve">est </w:t>
      </w:r>
      <w:r w:rsidR="00F70E37" w:rsidRPr="00A8449C">
        <w:rPr>
          <w:rFonts w:ascii="Times New Roman" w:cs="Times New Roman" w:hAnsi="Times New Roman"/>
          <w:bCs/>
          <w:sz w:val="22"/>
          <w:szCs w:val="22"/>
        </w:rPr>
        <w:t>99</w:t>
      </w:r>
      <w:r w:rsidRPr="00A8449C">
        <w:rPr>
          <w:rFonts w:ascii="Times New Roman" w:cs="Times New Roman" w:hAnsi="Times New Roman"/>
          <w:bCs/>
          <w:sz w:val="22"/>
          <w:szCs w:val="22"/>
        </w:rPr>
        <w:t>/100</w:t>
      </w:r>
      <w:r w:rsidR="0088666A" w:rsidRPr="00A8449C">
        <w:rPr>
          <w:rFonts w:ascii="Times New Roman" w:cs="Times New Roman" w:hAnsi="Times New Roman"/>
          <w:bCs/>
          <w:sz w:val="22"/>
          <w:szCs w:val="22"/>
        </w:rPr>
        <w:t>. Pour rappel</w:t>
      </w:r>
      <w:r w:rsidR="002E711E" w:rsidRPr="00A8449C">
        <w:rPr>
          <w:rFonts w:ascii="Times New Roman" w:cs="Times New Roman" w:hAnsi="Times New Roman"/>
          <w:bCs/>
          <w:sz w:val="22"/>
          <w:szCs w:val="22"/>
        </w:rPr>
        <w:t> :</w:t>
      </w:r>
      <w:r w:rsidR="0088666A" w:rsidRPr="00A8449C">
        <w:rPr>
          <w:rFonts w:ascii="Times New Roman" w:cs="Times New Roman" w:hAnsi="Times New Roman"/>
          <w:bCs/>
          <w:sz w:val="22"/>
          <w:szCs w:val="22"/>
        </w:rPr>
        <w:t xml:space="preserve"> </w:t>
      </w:r>
      <w:r w:rsidR="002E711E" w:rsidRPr="00A8449C">
        <w:rPr>
          <w:sz w:val="22"/>
          <w:szCs w:val="22"/>
        </w:rPr>
        <w:t>En cas d’Index inférieur à 75 points, l’entreprise doit prendre des mesures correctives, pour diminuer les écarts dans un délai de 3 ans sous peine de sanctions financières.</w:t>
      </w:r>
    </w:p>
    <w:p w14:paraId="379C855C" w14:textId="77777777" w:rsidP="000C3966" w:rsidR="003260F5" w:rsidRDefault="003260F5" w:rsidRPr="00A8449C">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sz w:val="22"/>
          <w:szCs w:val="22"/>
        </w:rPr>
      </w:pPr>
    </w:p>
    <w:p w14:paraId="0B9B3CEC" w14:textId="370C3616" w:rsidP="000C3966" w:rsidR="00F70E37" w:rsidRDefault="00F70E37">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sz w:val="22"/>
          <w:szCs w:val="22"/>
        </w:rPr>
      </w:pPr>
      <w:r w:rsidRPr="00A8449C">
        <w:rPr>
          <w:sz w:val="22"/>
          <w:szCs w:val="22"/>
        </w:rPr>
        <w:lastRenderedPageBreak/>
        <w:t>Le résultat confirme q</w:t>
      </w:r>
      <w:r w:rsidR="001E1103" w:rsidRPr="00A8449C">
        <w:rPr>
          <w:sz w:val="22"/>
          <w:szCs w:val="22"/>
        </w:rPr>
        <w:t xml:space="preserve">ue nous devons faire perdurer notre politique </w:t>
      </w:r>
      <w:r w:rsidR="00B00A09">
        <w:rPr>
          <w:sz w:val="22"/>
          <w:szCs w:val="22"/>
        </w:rPr>
        <w:t>sociale et d’égalité Hommes/Femmes.</w:t>
      </w:r>
    </w:p>
    <w:p w14:paraId="6A83ACE7" w14:textId="77777777" w:rsidP="000C3966" w:rsidR="0036375F" w:rsidRDefault="0036375F" w:rsidRPr="0036375F">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sz w:val="22"/>
          <w:szCs w:val="22"/>
        </w:rPr>
      </w:pPr>
    </w:p>
    <w:p w14:paraId="7BF1E82C" w14:textId="77777777" w:rsidP="000C3966" w:rsidR="009B281C" w:rsidRDefault="009B281C" w:rsidRPr="0039338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Cs/>
          <w:sz w:val="22"/>
          <w:szCs w:val="22"/>
        </w:rPr>
      </w:pPr>
    </w:p>
    <w:p w14:paraId="7C5B6C1A" w14:textId="77EBD922" w:rsidP="00F771EC" w:rsidR="007765C1" w:rsidRDefault="00F771EC" w:rsidRPr="00F771EC">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
          <w:bCs/>
          <w:sz w:val="22"/>
          <w:szCs w:val="22"/>
          <w:u w:val="single"/>
        </w:rPr>
      </w:pPr>
      <w:r w:rsidRPr="00F771EC">
        <w:rPr>
          <w:rFonts w:ascii="Times New Roman" w:cs="Times New Roman" w:hAnsi="Times New Roman"/>
          <w:b/>
          <w:bCs/>
          <w:sz w:val="22"/>
          <w:szCs w:val="22"/>
          <w:u w:val="single"/>
        </w:rPr>
        <w:t>5 - La formation professionnelle</w:t>
      </w:r>
    </w:p>
    <w:p w14:paraId="36343D4E" w14:textId="01B550EC" w:rsidP="00F771EC" w:rsidR="00F771EC" w:rsidRDefault="00F771EC">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1CD8912C" w14:textId="51A9CE65" w:rsidP="00F73665" w:rsidR="005C6F7D" w:rsidRDefault="009B281C">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cstheme="minorHAnsi"/>
        </w:rPr>
      </w:pPr>
      <w:r>
        <w:rPr>
          <w:rFonts w:ascii="Times New Roman" w:cs="Times New Roman" w:hAnsi="Times New Roman"/>
          <w:sz w:val="22"/>
          <w:szCs w:val="22"/>
        </w:rPr>
        <w:t xml:space="preserve">Le plan de formation </w:t>
      </w:r>
      <w:r w:rsidR="00DC6CDD">
        <w:rPr>
          <w:rFonts w:ascii="Times New Roman" w:cs="Times New Roman" w:hAnsi="Times New Roman"/>
          <w:sz w:val="22"/>
          <w:szCs w:val="22"/>
        </w:rPr>
        <w:t>prévisionnel 202</w:t>
      </w:r>
      <w:r w:rsidR="003260F5">
        <w:rPr>
          <w:rFonts w:ascii="Times New Roman" w:cs="Times New Roman" w:hAnsi="Times New Roman"/>
          <w:sz w:val="22"/>
          <w:szCs w:val="22"/>
        </w:rPr>
        <w:t>3</w:t>
      </w:r>
      <w:r w:rsidR="00DC6CDD">
        <w:rPr>
          <w:rFonts w:ascii="Times New Roman" w:cs="Times New Roman" w:hAnsi="Times New Roman"/>
          <w:sz w:val="22"/>
          <w:szCs w:val="22"/>
        </w:rPr>
        <w:t xml:space="preserve"> </w:t>
      </w:r>
      <w:r>
        <w:rPr>
          <w:rFonts w:ascii="Times New Roman" w:cs="Times New Roman" w:hAnsi="Times New Roman"/>
          <w:sz w:val="22"/>
          <w:szCs w:val="22"/>
        </w:rPr>
        <w:t xml:space="preserve">a été présenté au Comité social économique </w:t>
      </w:r>
      <w:r w:rsidR="00DC6CDD">
        <w:rPr>
          <w:rFonts w:ascii="Times New Roman" w:cs="Times New Roman" w:hAnsi="Times New Roman"/>
          <w:sz w:val="22"/>
          <w:szCs w:val="22"/>
        </w:rPr>
        <w:t xml:space="preserve">le </w:t>
      </w:r>
      <w:r w:rsidR="00956866">
        <w:rPr>
          <w:rFonts w:ascii="Times New Roman" w:cs="Times New Roman" w:hAnsi="Times New Roman"/>
          <w:sz w:val="22"/>
          <w:szCs w:val="22"/>
        </w:rPr>
        <w:t>16 février</w:t>
      </w:r>
      <w:r w:rsidR="00DC6CDD">
        <w:rPr>
          <w:rFonts w:ascii="Times New Roman" w:cs="Times New Roman" w:hAnsi="Times New Roman"/>
          <w:sz w:val="22"/>
          <w:szCs w:val="22"/>
        </w:rPr>
        <w:t xml:space="preserve"> 202</w:t>
      </w:r>
      <w:r w:rsidR="00956866">
        <w:rPr>
          <w:rFonts w:ascii="Times New Roman" w:cs="Times New Roman" w:hAnsi="Times New Roman"/>
          <w:sz w:val="22"/>
          <w:szCs w:val="22"/>
        </w:rPr>
        <w:t>3</w:t>
      </w:r>
      <w:r w:rsidR="00DC6CDD">
        <w:rPr>
          <w:rFonts w:ascii="Times New Roman" w:cs="Times New Roman" w:hAnsi="Times New Roman"/>
          <w:sz w:val="22"/>
          <w:szCs w:val="22"/>
        </w:rPr>
        <w:t xml:space="preserve"> pour un budget </w:t>
      </w:r>
      <w:r w:rsidR="003B4DB0">
        <w:rPr>
          <w:rFonts w:ascii="Times New Roman" w:cs="Times New Roman" w:hAnsi="Times New Roman"/>
          <w:sz w:val="22"/>
          <w:szCs w:val="22"/>
        </w:rPr>
        <w:t>prévisionnel</w:t>
      </w:r>
      <w:r w:rsidR="00DC6CDD">
        <w:rPr>
          <w:rFonts w:ascii="Times New Roman" w:cs="Times New Roman" w:hAnsi="Times New Roman"/>
          <w:sz w:val="22"/>
          <w:szCs w:val="22"/>
        </w:rPr>
        <w:t xml:space="preserve"> de </w:t>
      </w:r>
      <w:r w:rsidR="00956866">
        <w:rPr>
          <w:rFonts w:cstheme="minorHAnsi"/>
        </w:rPr>
        <w:t>125 177</w:t>
      </w:r>
      <w:r w:rsidR="00DC6CDD">
        <w:rPr>
          <w:rFonts w:cstheme="minorHAnsi"/>
        </w:rPr>
        <w:t xml:space="preserve"> €uros.</w:t>
      </w:r>
    </w:p>
    <w:p w14:paraId="7A5FCDA8" w14:textId="77777777" w:rsidP="00F73665" w:rsidR="005F4957" w:rsidRDefault="005F4957">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cstheme="minorHAnsi"/>
        </w:rPr>
      </w:pPr>
    </w:p>
    <w:p w14:paraId="611688C0" w14:textId="09FC5BFD" w:rsidP="00F73665" w:rsidR="003260F5" w:rsidRDefault="005D5A88">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cstheme="minorHAnsi"/>
        </w:rPr>
      </w:pPr>
      <w:r>
        <w:rPr>
          <w:rFonts w:cstheme="minorHAnsi"/>
        </w:rPr>
        <w:t>Un travail est en cours pour disposer d’un plan de formation pluriannuel sur trois années.</w:t>
      </w:r>
    </w:p>
    <w:p w14:paraId="1EDE3D51" w14:textId="4EE31B53" w:rsidP="00F73665" w:rsidR="007B1621" w:rsidRDefault="007B162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cstheme="minorHAnsi"/>
        </w:rPr>
      </w:pPr>
    </w:p>
    <w:p w14:paraId="3E4DA72D" w14:textId="05A1A0D2" w:rsidP="005C6F7D" w:rsidR="005C6F7D" w:rsidRDefault="005C6F7D"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b/>
          <w:sz w:val="22"/>
          <w:szCs w:val="22"/>
          <w:u w:val="single"/>
        </w:rPr>
      </w:pPr>
      <w:r>
        <w:rPr>
          <w:rFonts w:ascii="Times New Roman" w:cs="Times New Roman" w:hAnsi="Times New Roman"/>
          <w:b/>
          <w:sz w:val="22"/>
          <w:szCs w:val="22"/>
          <w:u w:val="single"/>
        </w:rPr>
        <w:t>6</w:t>
      </w:r>
      <w:r w:rsidRPr="007765C1">
        <w:rPr>
          <w:rFonts w:ascii="Times New Roman" w:cs="Times New Roman" w:hAnsi="Times New Roman"/>
          <w:b/>
          <w:sz w:val="22"/>
          <w:szCs w:val="22"/>
          <w:u w:val="single"/>
        </w:rPr>
        <w:t> </w:t>
      </w:r>
      <w:r>
        <w:rPr>
          <w:rFonts w:ascii="Times New Roman" w:cs="Times New Roman" w:hAnsi="Times New Roman"/>
          <w:b/>
          <w:sz w:val="22"/>
          <w:szCs w:val="22"/>
          <w:u w:val="single"/>
        </w:rPr>
        <w:t>-</w:t>
      </w:r>
      <w:r w:rsidRPr="007765C1">
        <w:rPr>
          <w:rFonts w:ascii="Times New Roman" w:cs="Times New Roman" w:hAnsi="Times New Roman"/>
          <w:b/>
          <w:sz w:val="22"/>
          <w:szCs w:val="22"/>
          <w:u w:val="single"/>
        </w:rPr>
        <w:t xml:space="preserve"> Les mesures relatives à l’insertion professionnelle et au maintien dans l’emploi des travailleurs handicapés.</w:t>
      </w:r>
    </w:p>
    <w:p w14:paraId="44133B2B" w14:textId="77777777" w:rsidP="005C6F7D" w:rsidR="005C6F7D" w:rsidRDefault="005C6F7D"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2CDC747B" w14:textId="00C7CC7D" w:rsidP="00DC6CDD" w:rsidR="005C6F7D" w:rsidRDefault="00514B42">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r>
        <w:rPr>
          <w:rFonts w:ascii="Times New Roman" w:cs="Times New Roman" w:hAnsi="Times New Roman"/>
          <w:sz w:val="22"/>
          <w:szCs w:val="22"/>
        </w:rPr>
        <w:t>Actuellement</w:t>
      </w:r>
      <w:r w:rsidR="005C6F7D" w:rsidRPr="007765C1">
        <w:rPr>
          <w:rFonts w:ascii="Times New Roman" w:cs="Times New Roman" w:hAnsi="Times New Roman"/>
          <w:sz w:val="22"/>
          <w:szCs w:val="22"/>
        </w:rPr>
        <w:t>,</w:t>
      </w:r>
      <w:r w:rsidR="00DC6CDD">
        <w:rPr>
          <w:rFonts w:ascii="Times New Roman" w:cs="Times New Roman" w:hAnsi="Times New Roman"/>
          <w:sz w:val="22"/>
          <w:szCs w:val="22"/>
        </w:rPr>
        <w:t xml:space="preserve"> les mesures prises en faveur de l’insertion professionnelle et au maintien dans l’emploi des travailleurs handi</w:t>
      </w:r>
      <w:r w:rsidR="00EA4538">
        <w:rPr>
          <w:rFonts w:ascii="Times New Roman" w:cs="Times New Roman" w:hAnsi="Times New Roman"/>
          <w:sz w:val="22"/>
          <w:szCs w:val="22"/>
        </w:rPr>
        <w:t>ca</w:t>
      </w:r>
      <w:r w:rsidR="00DC6CDD">
        <w:rPr>
          <w:rFonts w:ascii="Times New Roman" w:cs="Times New Roman" w:hAnsi="Times New Roman"/>
          <w:sz w:val="22"/>
          <w:szCs w:val="22"/>
        </w:rPr>
        <w:t xml:space="preserve">pés n’ont </w:t>
      </w:r>
      <w:r w:rsidR="009B76D4">
        <w:rPr>
          <w:rFonts w:ascii="Times New Roman" w:cs="Times New Roman" w:hAnsi="Times New Roman"/>
          <w:sz w:val="22"/>
          <w:szCs w:val="22"/>
        </w:rPr>
        <w:t xml:space="preserve">toujours pas </w:t>
      </w:r>
      <w:r w:rsidR="00DC6CDD">
        <w:rPr>
          <w:rFonts w:ascii="Times New Roman" w:cs="Times New Roman" w:hAnsi="Times New Roman"/>
          <w:sz w:val="22"/>
          <w:szCs w:val="22"/>
        </w:rPr>
        <w:t>permis d’augmenter le nombre de travailleurs</w:t>
      </w:r>
      <w:r w:rsidR="0066297D">
        <w:rPr>
          <w:rFonts w:ascii="Times New Roman" w:cs="Times New Roman" w:hAnsi="Times New Roman"/>
          <w:sz w:val="22"/>
          <w:szCs w:val="22"/>
        </w:rPr>
        <w:t xml:space="preserve"> handicapés.</w:t>
      </w:r>
    </w:p>
    <w:p w14:paraId="2F085D67" w14:textId="439E4523" w:rsidP="00DC6CDD" w:rsidR="007B1621" w:rsidRDefault="007B1621"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r>
        <w:rPr>
          <w:rFonts w:ascii="Times New Roman" w:cs="Times New Roman" w:hAnsi="Times New Roman"/>
          <w:sz w:val="22"/>
          <w:szCs w:val="22"/>
        </w:rPr>
        <w:t xml:space="preserve">Un rapprochement avec Cap emploi et la </w:t>
      </w:r>
      <w:r w:rsidR="009B76D4">
        <w:rPr>
          <w:rFonts w:ascii="Times New Roman" w:cs="Times New Roman" w:hAnsi="Times New Roman"/>
          <w:sz w:val="22"/>
          <w:szCs w:val="22"/>
        </w:rPr>
        <w:t>reprise</w:t>
      </w:r>
      <w:r>
        <w:rPr>
          <w:rFonts w:ascii="Times New Roman" w:cs="Times New Roman" w:hAnsi="Times New Roman"/>
          <w:sz w:val="22"/>
          <w:szCs w:val="22"/>
        </w:rPr>
        <w:t xml:space="preserve"> de la participation au </w:t>
      </w:r>
      <w:proofErr w:type="spellStart"/>
      <w:r>
        <w:rPr>
          <w:rFonts w:ascii="Times New Roman" w:cs="Times New Roman" w:hAnsi="Times New Roman"/>
          <w:sz w:val="22"/>
          <w:szCs w:val="22"/>
        </w:rPr>
        <w:t>DuoDay</w:t>
      </w:r>
      <w:proofErr w:type="spellEnd"/>
      <w:r>
        <w:rPr>
          <w:rFonts w:ascii="Times New Roman" w:cs="Times New Roman" w:hAnsi="Times New Roman"/>
          <w:sz w:val="22"/>
          <w:szCs w:val="22"/>
        </w:rPr>
        <w:t xml:space="preserve"> contribueront </w:t>
      </w:r>
      <w:r w:rsidR="0066297D">
        <w:rPr>
          <w:rFonts w:ascii="Times New Roman" w:cs="Times New Roman" w:hAnsi="Times New Roman"/>
          <w:sz w:val="22"/>
          <w:szCs w:val="22"/>
        </w:rPr>
        <w:t>à ces mesures.</w:t>
      </w:r>
    </w:p>
    <w:p w14:paraId="7EA6E139" w14:textId="77777777" w:rsidP="00F771EC" w:rsidR="00F771EC" w:rsidRDefault="00F771EC" w:rsidRPr="00F771EC">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6F32FF18" w14:textId="77777777" w:rsidP="00FE508A" w:rsidR="00D21CF3" w:rsidRDefault="00D21CF3"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12713375" w14:textId="02057AE0" w:rsidP="00FE508A" w:rsidR="00FE508A" w:rsidRDefault="00F56051"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r w:rsidRPr="007765C1">
        <w:rPr>
          <w:rFonts w:ascii="Times New Roman" w:cs="Times New Roman" w:hAnsi="Times New Roman"/>
          <w:sz w:val="22"/>
          <w:szCs w:val="22"/>
        </w:rPr>
        <w:t xml:space="preserve">Fait à Paris, le </w:t>
      </w:r>
    </w:p>
    <w:p w14:paraId="1BCFCD2C" w14:textId="77777777" w:rsidP="00FE508A" w:rsidR="00FE508A" w:rsidRDefault="00FE508A"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0DFED745" w14:textId="77777777" w:rsidP="00FE508A" w:rsidR="00FE508A" w:rsidRDefault="00FE508A" w:rsidRPr="007765C1">
      <w:pPr>
        <w:rPr>
          <w:sz w:val="22"/>
          <w:szCs w:val="22"/>
        </w:rPr>
      </w:pPr>
    </w:p>
    <w:p w14:paraId="04953415" w14:textId="77777777" w:rsidP="00FE508A" w:rsidR="00FE508A" w:rsidRDefault="00FE508A"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r w:rsidRPr="007765C1">
        <w:rPr>
          <w:rFonts w:ascii="Times New Roman" w:cs="Times New Roman" w:hAnsi="Times New Roman"/>
          <w:sz w:val="22"/>
          <w:szCs w:val="22"/>
        </w:rPr>
        <w:t>Pour le Syndicat CFDT,</w:t>
      </w:r>
      <w:r w:rsidRPr="007765C1">
        <w:rPr>
          <w:rFonts w:ascii="Times New Roman" w:cs="Times New Roman" w:hAnsi="Times New Roman"/>
          <w:sz w:val="22"/>
          <w:szCs w:val="22"/>
        </w:rPr>
        <w:tab/>
      </w:r>
      <w:r w:rsidR="00C1690B" w:rsidRPr="007765C1">
        <w:rPr>
          <w:rFonts w:ascii="Times New Roman" w:cs="Times New Roman" w:hAnsi="Times New Roman"/>
          <w:sz w:val="22"/>
          <w:szCs w:val="22"/>
        </w:rPr>
        <w:tab/>
      </w:r>
      <w:r w:rsidR="00C1690B" w:rsidRPr="007765C1">
        <w:rPr>
          <w:rFonts w:ascii="Times New Roman" w:cs="Times New Roman" w:hAnsi="Times New Roman"/>
          <w:sz w:val="22"/>
          <w:szCs w:val="22"/>
        </w:rPr>
        <w:tab/>
      </w:r>
      <w:r w:rsidR="00C1690B" w:rsidRPr="007765C1">
        <w:rPr>
          <w:rFonts w:ascii="Times New Roman" w:cs="Times New Roman" w:hAnsi="Times New Roman"/>
          <w:sz w:val="22"/>
          <w:szCs w:val="22"/>
        </w:rPr>
        <w:tab/>
      </w:r>
      <w:r w:rsidRPr="007765C1">
        <w:rPr>
          <w:rFonts w:ascii="Times New Roman" w:cs="Times New Roman" w:hAnsi="Times New Roman"/>
          <w:sz w:val="22"/>
          <w:szCs w:val="22"/>
        </w:rPr>
        <w:tab/>
      </w:r>
      <w:r w:rsidRPr="007765C1">
        <w:rPr>
          <w:rFonts w:ascii="Times New Roman" w:cs="Times New Roman" w:hAnsi="Times New Roman"/>
          <w:sz w:val="22"/>
          <w:szCs w:val="22"/>
        </w:rPr>
        <w:tab/>
        <w:t>Pour la Direction,</w:t>
      </w:r>
    </w:p>
    <w:p w14:paraId="56B7E4CC" w14:textId="77777777" w:rsidP="00FE508A" w:rsidR="00FE508A" w:rsidRDefault="00FE508A"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67D156B9" w14:textId="77A546E7" w:rsidP="00B3383D" w:rsidR="00FE508A" w:rsidRDefault="00055FC4">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r>
        <w:rPr>
          <w:rFonts w:ascii="Times New Roman" w:cs="Times New Roman" w:hAnsi="Times New Roman"/>
          <w:sz w:val="22"/>
          <w:szCs w:val="22"/>
        </w:rPr>
        <w:t xml:space="preserve">XXXX </w:t>
      </w:r>
      <w:proofErr w:type="spellStart"/>
      <w:r>
        <w:rPr>
          <w:rFonts w:ascii="Times New Roman" w:cs="Times New Roman" w:hAnsi="Times New Roman"/>
          <w:sz w:val="22"/>
          <w:szCs w:val="22"/>
        </w:rPr>
        <w:t>XXXX</w:t>
      </w:r>
      <w:proofErr w:type="spellEnd"/>
      <w:r w:rsidR="00FE508A" w:rsidRPr="007765C1">
        <w:rPr>
          <w:rFonts w:ascii="Times New Roman" w:cs="Times New Roman" w:hAnsi="Times New Roman"/>
          <w:sz w:val="22"/>
          <w:szCs w:val="22"/>
        </w:rPr>
        <w:tab/>
      </w:r>
      <w:r w:rsidR="00C1690B" w:rsidRPr="007765C1">
        <w:rPr>
          <w:rFonts w:ascii="Times New Roman" w:cs="Times New Roman" w:hAnsi="Times New Roman"/>
          <w:sz w:val="22"/>
          <w:szCs w:val="22"/>
        </w:rPr>
        <w:tab/>
      </w:r>
      <w:r w:rsidR="00C1690B" w:rsidRPr="007765C1">
        <w:rPr>
          <w:rFonts w:ascii="Times New Roman" w:cs="Times New Roman" w:hAnsi="Times New Roman"/>
          <w:sz w:val="22"/>
          <w:szCs w:val="22"/>
        </w:rPr>
        <w:tab/>
      </w:r>
      <w:r>
        <w:rPr>
          <w:rFonts w:ascii="Times New Roman" w:cs="Times New Roman" w:hAnsi="Times New Roman"/>
          <w:sz w:val="22"/>
          <w:szCs w:val="22"/>
        </w:rPr>
        <w:tab/>
      </w:r>
      <w:r w:rsidR="00C1690B" w:rsidRPr="007765C1">
        <w:rPr>
          <w:rFonts w:ascii="Times New Roman" w:cs="Times New Roman" w:hAnsi="Times New Roman"/>
          <w:sz w:val="22"/>
          <w:szCs w:val="22"/>
        </w:rPr>
        <w:tab/>
      </w:r>
      <w:r w:rsidR="00C1690B" w:rsidRPr="007765C1">
        <w:rPr>
          <w:rFonts w:ascii="Times New Roman" w:cs="Times New Roman" w:hAnsi="Times New Roman"/>
          <w:sz w:val="22"/>
          <w:szCs w:val="22"/>
        </w:rPr>
        <w:tab/>
      </w:r>
      <w:r w:rsidR="00FE508A" w:rsidRPr="007765C1">
        <w:rPr>
          <w:rFonts w:ascii="Times New Roman" w:cs="Times New Roman" w:hAnsi="Times New Roman"/>
          <w:sz w:val="22"/>
          <w:szCs w:val="22"/>
        </w:rPr>
        <w:tab/>
      </w:r>
      <w:r>
        <w:rPr>
          <w:rFonts w:ascii="Times New Roman" w:cs="Times New Roman" w:hAnsi="Times New Roman"/>
          <w:sz w:val="22"/>
          <w:szCs w:val="22"/>
        </w:rPr>
        <w:t>XXXX</w:t>
      </w:r>
      <w:r w:rsidR="00F56051" w:rsidRPr="007765C1">
        <w:rPr>
          <w:rFonts w:ascii="Times New Roman" w:cs="Times New Roman" w:hAnsi="Times New Roman"/>
          <w:sz w:val="22"/>
          <w:szCs w:val="22"/>
        </w:rPr>
        <w:t xml:space="preserve"> </w:t>
      </w:r>
      <w:proofErr w:type="spellStart"/>
      <w:r>
        <w:rPr>
          <w:rFonts w:ascii="Times New Roman" w:cs="Times New Roman" w:hAnsi="Times New Roman"/>
          <w:sz w:val="22"/>
          <w:szCs w:val="22"/>
        </w:rPr>
        <w:t>XXXX</w:t>
      </w:r>
      <w:proofErr w:type="spellEnd"/>
    </w:p>
    <w:p w14:paraId="0299F756" w14:textId="67B25C48" w:rsidP="00B3383D" w:rsidR="00501D70" w:rsidRDefault="00501D70">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408B1F49" w14:textId="343BF7EE" w:rsidP="00B3383D" w:rsidR="00501D70" w:rsidRDefault="00501D70">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7BA33914" w14:textId="3FD1A961" w:rsidP="00B3383D" w:rsidR="00501D70" w:rsidRDefault="00501D70">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695BC47B" w14:textId="008D7F26" w:rsidP="00B3383D" w:rsidR="00501D70" w:rsidRDefault="00501D70">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p>
    <w:p w14:paraId="4F538DD3" w14:textId="3D606648" w:rsidP="00B3383D" w:rsidR="00501D70" w:rsidRDefault="00055FC4" w:rsidRPr="007765C1">
      <w:pPr>
        <w:shd w:color="000000" w:fill="FFFFFF" w:val="clear"/>
        <w:tabs>
          <w:tab w:pos="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Times New Roman" w:cs="Times New Roman" w:hAnsi="Times New Roman"/>
          <w:sz w:val="22"/>
          <w:szCs w:val="22"/>
        </w:rPr>
      </w:pPr>
      <w:r>
        <w:rPr>
          <w:rFonts w:ascii="Times New Roman" w:cs="Times New Roman" w:hAnsi="Times New Roman"/>
          <w:sz w:val="22"/>
          <w:szCs w:val="22"/>
        </w:rPr>
        <w:t>XXX</w:t>
      </w:r>
      <w:r w:rsidR="00501D70">
        <w:rPr>
          <w:rFonts w:ascii="Times New Roman" w:cs="Times New Roman" w:hAnsi="Times New Roman"/>
          <w:sz w:val="22"/>
          <w:szCs w:val="22"/>
        </w:rPr>
        <w:t xml:space="preserve"> </w:t>
      </w:r>
      <w:proofErr w:type="spellStart"/>
      <w:r>
        <w:rPr>
          <w:rFonts w:ascii="Times New Roman" w:cs="Times New Roman" w:hAnsi="Times New Roman"/>
          <w:sz w:val="22"/>
          <w:szCs w:val="22"/>
        </w:rPr>
        <w:t>XXX</w:t>
      </w:r>
      <w:proofErr w:type="spellEnd"/>
    </w:p>
    <w:sectPr w:rsidR="00501D70" w:rsidRPr="007765C1" w:rsidSect="00B3383D">
      <w:headerReference r:id="rId9" w:type="even"/>
      <w:headerReference r:id="rId10" w:type="default"/>
      <w:footerReference r:id="rId11" w:type="default"/>
      <w:headerReference r:id="rId12" w:type="first"/>
      <w:type w:val="continuous"/>
      <w:pgSz w:h="16838" w:w="11906"/>
      <w:pgMar w:bottom="719" w:footer="708" w:gutter="0" w:header="708" w:left="1417" w:right="1417" w:top="14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1F0C7" w14:textId="77777777" w:rsidR="00FE26FA" w:rsidRDefault="00FE26FA">
      <w:r>
        <w:separator/>
      </w:r>
    </w:p>
  </w:endnote>
  <w:endnote w:type="continuationSeparator" w:id="0">
    <w:p w14:paraId="5E2C9AE1" w14:textId="77777777" w:rsidR="00FE26FA" w:rsidRDefault="00FE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187480551"/>
      <w:docPartObj>
        <w:docPartGallery w:val="Page Numbers (Bottom of Page)"/>
        <w:docPartUnique/>
      </w:docPartObj>
    </w:sdtPr>
    <w:sdtEndPr/>
    <w:sdtContent>
      <w:p w14:paraId="5B271EF9" w14:textId="1AC2DECB" w:rsidR="00A8634F" w:rsidRDefault="00A8634F">
        <w:pPr>
          <w:pStyle w:val="Pieddepage"/>
          <w:jc w:val="center"/>
        </w:pPr>
        <w:r>
          <w:fldChar w:fldCharType="begin"/>
        </w:r>
        <w:r>
          <w:instrText>PAGE   \* MERGEFORMAT</w:instrText>
        </w:r>
        <w:r>
          <w:fldChar w:fldCharType="separate"/>
        </w:r>
        <w:r>
          <w:t>2</w:t>
        </w:r>
        <w:r>
          <w:fldChar w:fldCharType="end"/>
        </w:r>
      </w:p>
    </w:sdtContent>
  </w:sdt>
  <w:p w14:paraId="11000A66" w14:textId="77777777" w:rsidP="00B3383D" w:rsidR="00B40EE8" w:rsidRDefault="00B40EE8" w:rsidRPr="00B3383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19DB3F9" w14:textId="77777777" w:rsidR="00FE26FA" w:rsidRDefault="00FE26FA">
      <w:r>
        <w:separator/>
      </w:r>
    </w:p>
  </w:footnote>
  <w:footnote w:id="0" w:type="continuationSeparator">
    <w:p w14:paraId="39055624" w14:textId="77777777" w:rsidR="00FE26FA" w:rsidRDefault="00FE26FA">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D43ADD9" w14:textId="33AF51F6" w:rsidR="00B40EE8" w:rsidRDefault="00B40EE8">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B4089D8" w14:textId="67E8221B" w:rsidR="00B40EE8" w:rsidRDefault="00B40EE8">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0714C58" w14:textId="6A6805B1" w:rsidR="00B40EE8" w:rsidRDefault="00B40EE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AB85DC2"/>
    <w:multiLevelType w:val="hybridMultilevel"/>
    <w:tmpl w:val="292A7B74"/>
    <w:lvl w:ilvl="0" w:tplc="CE88C5FE">
      <w:start w:val="1"/>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FD636EE"/>
    <w:multiLevelType w:val="hybridMultilevel"/>
    <w:tmpl w:val="A4C8322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A70634A"/>
    <w:multiLevelType w:val="hybridMultilevel"/>
    <w:tmpl w:val="B22EFE64"/>
    <w:lvl w:ilvl="0" w:tplc="290AE610">
      <w:start w:val="3"/>
      <w:numFmt w:val="bullet"/>
      <w:lvlText w:val="-"/>
      <w:lvlJc w:val="left"/>
      <w:pPr>
        <w:ind w:hanging="360" w:left="1080"/>
      </w:pPr>
      <w:rPr>
        <w:rFonts w:ascii="Verdana" w:cs="Helvetica" w:eastAsia="Times New Roman" w:hAnsi="Verdana"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
    <w:nsid w:val="34136C77"/>
    <w:multiLevelType w:val="hybridMultilevel"/>
    <w:tmpl w:val="474E0C98"/>
    <w:lvl w:ilvl="0" w:tplc="5344C09A">
      <w:start w:val="20"/>
      <w:numFmt w:val="bullet"/>
      <w:lvlText w:val="-"/>
      <w:lvlJc w:val="left"/>
      <w:pPr>
        <w:ind w:hanging="360" w:left="720"/>
      </w:pPr>
      <w:rPr>
        <w:rFonts w:ascii="Helvetica" w:eastAsia="Times New Roman" w:hAnsi="Helvetica"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43F1788"/>
    <w:multiLevelType w:val="hybridMultilevel"/>
    <w:tmpl w:val="C4F09FE6"/>
    <w:lvl w:ilvl="0" w:tplc="595C8C52">
      <w:start w:val="1"/>
      <w:numFmt w:val="bullet"/>
      <w:lvlText w:val="-"/>
      <w:lvlJc w:val="left"/>
      <w:pPr>
        <w:ind w:hanging="360" w:left="1080"/>
      </w:pPr>
      <w:rPr>
        <w:rFonts w:ascii="Times New Roman" w:cs="Times New Roman" w:eastAsia="Times New Roman" w:hAnsi="Times New Roman" w:hint="default"/>
      </w:rPr>
    </w:lvl>
    <w:lvl w:ilvl="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5">
    <w:nsid w:val="40D3299A"/>
    <w:multiLevelType w:val="hybridMultilevel"/>
    <w:tmpl w:val="08363CC2"/>
    <w:lvl w:ilvl="0" w:tplc="B8D68294">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BD445D1"/>
    <w:multiLevelType w:val="multilevel"/>
    <w:tmpl w:val="68889CA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7">
    <w:nsid w:val="54BE3199"/>
    <w:multiLevelType w:val="hybridMultilevel"/>
    <w:tmpl w:val="AEAC8808"/>
    <w:lvl w:ilvl="0" w:tplc="C8D8BBBC">
      <w:start w:val="3"/>
      <w:numFmt w:val="bullet"/>
      <w:lvlText w:val="-"/>
      <w:lvlJc w:val="left"/>
      <w:pPr>
        <w:ind w:hanging="360" w:left="720"/>
      </w:pPr>
      <w:rPr>
        <w:rFonts w:ascii="Verdana" w:cs="Helvetica"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7CE24C87"/>
    <w:multiLevelType w:val="hybridMultilevel"/>
    <w:tmpl w:val="B2A04F90"/>
    <w:lvl w:ilvl="0" w:tplc="8EAA7D92">
      <w:start w:val="2"/>
      <w:numFmt w:val="bullet"/>
      <w:lvlText w:val="-"/>
      <w:lvlJc w:val="left"/>
      <w:pPr>
        <w:ind w:hanging="360" w:left="1080"/>
      </w:pPr>
      <w:rPr>
        <w:rFonts w:ascii="Times" w:cs="Times" w:eastAsia="Times New Roman" w:hAnsi="Time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num w:numId="1">
    <w:abstractNumId w:val="3"/>
  </w:num>
  <w:num w:numId="2">
    <w:abstractNumId w:val="7"/>
  </w:num>
  <w:num w:numId="3">
    <w:abstractNumId w:val="2"/>
  </w:num>
  <w:num w:numId="4">
    <w:abstractNumId w:val="8"/>
  </w:num>
  <w:num w:numId="5">
    <w:abstractNumId w:val="5"/>
  </w:num>
  <w:num w:numId="6">
    <w:abstractNumId w:val="0"/>
  </w:num>
  <w:num w:numId="7">
    <w:abstractNumId w:val="4"/>
  </w:num>
  <w:num w:numId="8">
    <w:abstractNumId w:val="6"/>
  </w:num>
  <w:num w:numId="9">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bordersDoNotSurroundHeader/>
  <w:bordersDoNotSurroundFooter/>
  <w:proofState w:grammar="clean" w:spelling="clean"/>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20"/>
    <w:rsid w:val="00007397"/>
    <w:rsid w:val="00014703"/>
    <w:rsid w:val="0001780D"/>
    <w:rsid w:val="00017BEA"/>
    <w:rsid w:val="00022E6A"/>
    <w:rsid w:val="000308A6"/>
    <w:rsid w:val="00033099"/>
    <w:rsid w:val="0004589B"/>
    <w:rsid w:val="00055FC4"/>
    <w:rsid w:val="0006146D"/>
    <w:rsid w:val="00074F67"/>
    <w:rsid w:val="00083D1F"/>
    <w:rsid w:val="00084D44"/>
    <w:rsid w:val="0009254B"/>
    <w:rsid w:val="000A27D7"/>
    <w:rsid w:val="000B2836"/>
    <w:rsid w:val="000B7CC8"/>
    <w:rsid w:val="000C3966"/>
    <w:rsid w:val="000E4D2B"/>
    <w:rsid w:val="000F17B3"/>
    <w:rsid w:val="000F7CB4"/>
    <w:rsid w:val="001101B5"/>
    <w:rsid w:val="0011767A"/>
    <w:rsid w:val="001248BB"/>
    <w:rsid w:val="00125D5B"/>
    <w:rsid w:val="001355F7"/>
    <w:rsid w:val="00137FD3"/>
    <w:rsid w:val="00154535"/>
    <w:rsid w:val="001556C6"/>
    <w:rsid w:val="00155BAC"/>
    <w:rsid w:val="001611DA"/>
    <w:rsid w:val="00173220"/>
    <w:rsid w:val="001867A0"/>
    <w:rsid w:val="001900F0"/>
    <w:rsid w:val="001A4A92"/>
    <w:rsid w:val="001B0A15"/>
    <w:rsid w:val="001B50AB"/>
    <w:rsid w:val="001C301E"/>
    <w:rsid w:val="001E1103"/>
    <w:rsid w:val="001E7996"/>
    <w:rsid w:val="001F0EDC"/>
    <w:rsid w:val="001F2BEE"/>
    <w:rsid w:val="00217357"/>
    <w:rsid w:val="0023382D"/>
    <w:rsid w:val="00235B6D"/>
    <w:rsid w:val="002426B2"/>
    <w:rsid w:val="00243732"/>
    <w:rsid w:val="0024544F"/>
    <w:rsid w:val="002473AB"/>
    <w:rsid w:val="002576F2"/>
    <w:rsid w:val="00273D6B"/>
    <w:rsid w:val="002740B3"/>
    <w:rsid w:val="00285A6E"/>
    <w:rsid w:val="0029520D"/>
    <w:rsid w:val="0029523B"/>
    <w:rsid w:val="002B50F7"/>
    <w:rsid w:val="002C6C96"/>
    <w:rsid w:val="002E02BD"/>
    <w:rsid w:val="002E2CB3"/>
    <w:rsid w:val="002E711E"/>
    <w:rsid w:val="002F0510"/>
    <w:rsid w:val="002F409F"/>
    <w:rsid w:val="002F7F84"/>
    <w:rsid w:val="003260F5"/>
    <w:rsid w:val="00327714"/>
    <w:rsid w:val="00331B59"/>
    <w:rsid w:val="00336DA3"/>
    <w:rsid w:val="003419D1"/>
    <w:rsid w:val="00342876"/>
    <w:rsid w:val="003477AA"/>
    <w:rsid w:val="00355931"/>
    <w:rsid w:val="0036375F"/>
    <w:rsid w:val="00367635"/>
    <w:rsid w:val="00370D59"/>
    <w:rsid w:val="00383436"/>
    <w:rsid w:val="00387E48"/>
    <w:rsid w:val="00393381"/>
    <w:rsid w:val="003A5890"/>
    <w:rsid w:val="003B4DB0"/>
    <w:rsid w:val="003B51F6"/>
    <w:rsid w:val="003B6243"/>
    <w:rsid w:val="003C1A0E"/>
    <w:rsid w:val="003C28F7"/>
    <w:rsid w:val="003D14B2"/>
    <w:rsid w:val="003D22FA"/>
    <w:rsid w:val="003D5278"/>
    <w:rsid w:val="003D7FE7"/>
    <w:rsid w:val="003E089C"/>
    <w:rsid w:val="003E69A0"/>
    <w:rsid w:val="003E75AD"/>
    <w:rsid w:val="00403644"/>
    <w:rsid w:val="004055E8"/>
    <w:rsid w:val="00407C93"/>
    <w:rsid w:val="00412B9D"/>
    <w:rsid w:val="00414501"/>
    <w:rsid w:val="0042014C"/>
    <w:rsid w:val="0043305B"/>
    <w:rsid w:val="00434EF5"/>
    <w:rsid w:val="004431A1"/>
    <w:rsid w:val="004600C7"/>
    <w:rsid w:val="0046085E"/>
    <w:rsid w:val="0046247E"/>
    <w:rsid w:val="00465FE0"/>
    <w:rsid w:val="004678AC"/>
    <w:rsid w:val="00471879"/>
    <w:rsid w:val="00480D4A"/>
    <w:rsid w:val="00487A0C"/>
    <w:rsid w:val="00491CAF"/>
    <w:rsid w:val="00493C92"/>
    <w:rsid w:val="004A10F3"/>
    <w:rsid w:val="004A4098"/>
    <w:rsid w:val="004C02F0"/>
    <w:rsid w:val="004C14D9"/>
    <w:rsid w:val="004C2E36"/>
    <w:rsid w:val="004C7FC1"/>
    <w:rsid w:val="004E2194"/>
    <w:rsid w:val="004E29DF"/>
    <w:rsid w:val="00501D70"/>
    <w:rsid w:val="005026F2"/>
    <w:rsid w:val="005027DE"/>
    <w:rsid w:val="00507BAA"/>
    <w:rsid w:val="00512344"/>
    <w:rsid w:val="00514B42"/>
    <w:rsid w:val="00530567"/>
    <w:rsid w:val="005314CA"/>
    <w:rsid w:val="00537FD7"/>
    <w:rsid w:val="005426DF"/>
    <w:rsid w:val="0054716E"/>
    <w:rsid w:val="00547E2E"/>
    <w:rsid w:val="00552564"/>
    <w:rsid w:val="00554590"/>
    <w:rsid w:val="005560BF"/>
    <w:rsid w:val="005610B0"/>
    <w:rsid w:val="00561868"/>
    <w:rsid w:val="00562DBF"/>
    <w:rsid w:val="00567AC0"/>
    <w:rsid w:val="0057090E"/>
    <w:rsid w:val="005800E4"/>
    <w:rsid w:val="005822E6"/>
    <w:rsid w:val="0058247D"/>
    <w:rsid w:val="00585E57"/>
    <w:rsid w:val="005879F1"/>
    <w:rsid w:val="00597B05"/>
    <w:rsid w:val="005A0F9D"/>
    <w:rsid w:val="005A6313"/>
    <w:rsid w:val="005A7F27"/>
    <w:rsid w:val="005B4EC7"/>
    <w:rsid w:val="005C6F7D"/>
    <w:rsid w:val="005D5A88"/>
    <w:rsid w:val="005E428F"/>
    <w:rsid w:val="005E5756"/>
    <w:rsid w:val="005E781A"/>
    <w:rsid w:val="005F4957"/>
    <w:rsid w:val="005F6414"/>
    <w:rsid w:val="00602A0A"/>
    <w:rsid w:val="00604289"/>
    <w:rsid w:val="00604322"/>
    <w:rsid w:val="006064DD"/>
    <w:rsid w:val="006104D6"/>
    <w:rsid w:val="00620DEA"/>
    <w:rsid w:val="00622AEA"/>
    <w:rsid w:val="0062585F"/>
    <w:rsid w:val="00632CB6"/>
    <w:rsid w:val="00635586"/>
    <w:rsid w:val="00637734"/>
    <w:rsid w:val="00655397"/>
    <w:rsid w:val="006626A7"/>
    <w:rsid w:val="0066297D"/>
    <w:rsid w:val="0066520C"/>
    <w:rsid w:val="0068569B"/>
    <w:rsid w:val="0068777A"/>
    <w:rsid w:val="006A17E1"/>
    <w:rsid w:val="006A62BC"/>
    <w:rsid w:val="006B2E52"/>
    <w:rsid w:val="006D05CE"/>
    <w:rsid w:val="006F516B"/>
    <w:rsid w:val="006F7659"/>
    <w:rsid w:val="00702D21"/>
    <w:rsid w:val="007055C6"/>
    <w:rsid w:val="00707321"/>
    <w:rsid w:val="00720505"/>
    <w:rsid w:val="00721EE9"/>
    <w:rsid w:val="007337BD"/>
    <w:rsid w:val="00735504"/>
    <w:rsid w:val="00736709"/>
    <w:rsid w:val="007372F0"/>
    <w:rsid w:val="00742DD4"/>
    <w:rsid w:val="00743408"/>
    <w:rsid w:val="0076222A"/>
    <w:rsid w:val="00766E66"/>
    <w:rsid w:val="00771981"/>
    <w:rsid w:val="00774905"/>
    <w:rsid w:val="007765C1"/>
    <w:rsid w:val="00780B35"/>
    <w:rsid w:val="00784020"/>
    <w:rsid w:val="007A4623"/>
    <w:rsid w:val="007B1621"/>
    <w:rsid w:val="007B4EC8"/>
    <w:rsid w:val="007B7EA2"/>
    <w:rsid w:val="007F14FC"/>
    <w:rsid w:val="007F1CAC"/>
    <w:rsid w:val="007F4E0D"/>
    <w:rsid w:val="00814FF1"/>
    <w:rsid w:val="00817516"/>
    <w:rsid w:val="0082452D"/>
    <w:rsid w:val="00824BA6"/>
    <w:rsid w:val="00832482"/>
    <w:rsid w:val="008332BF"/>
    <w:rsid w:val="00834AF1"/>
    <w:rsid w:val="00852074"/>
    <w:rsid w:val="00855E16"/>
    <w:rsid w:val="00867377"/>
    <w:rsid w:val="00872B55"/>
    <w:rsid w:val="00877510"/>
    <w:rsid w:val="00877545"/>
    <w:rsid w:val="008804A7"/>
    <w:rsid w:val="008844DA"/>
    <w:rsid w:val="0088666A"/>
    <w:rsid w:val="008866D1"/>
    <w:rsid w:val="00887238"/>
    <w:rsid w:val="00887404"/>
    <w:rsid w:val="008942E0"/>
    <w:rsid w:val="00895A8B"/>
    <w:rsid w:val="008A2DC2"/>
    <w:rsid w:val="008A4F24"/>
    <w:rsid w:val="008A5970"/>
    <w:rsid w:val="008A6D41"/>
    <w:rsid w:val="008B2E67"/>
    <w:rsid w:val="008C571D"/>
    <w:rsid w:val="008C783E"/>
    <w:rsid w:val="008D0CC4"/>
    <w:rsid w:val="008D0CD9"/>
    <w:rsid w:val="008D500D"/>
    <w:rsid w:val="008D5CB1"/>
    <w:rsid w:val="008E063E"/>
    <w:rsid w:val="008E3645"/>
    <w:rsid w:val="008F3F4A"/>
    <w:rsid w:val="008F7B23"/>
    <w:rsid w:val="00902362"/>
    <w:rsid w:val="00904E54"/>
    <w:rsid w:val="00905EC9"/>
    <w:rsid w:val="00916A29"/>
    <w:rsid w:val="0092243A"/>
    <w:rsid w:val="00924CFD"/>
    <w:rsid w:val="00926116"/>
    <w:rsid w:val="00930CC6"/>
    <w:rsid w:val="0093410B"/>
    <w:rsid w:val="0093460E"/>
    <w:rsid w:val="00937CED"/>
    <w:rsid w:val="009469FF"/>
    <w:rsid w:val="0094789E"/>
    <w:rsid w:val="0095188B"/>
    <w:rsid w:val="00954D00"/>
    <w:rsid w:val="00956866"/>
    <w:rsid w:val="0095752C"/>
    <w:rsid w:val="00965D2A"/>
    <w:rsid w:val="0096792D"/>
    <w:rsid w:val="00970940"/>
    <w:rsid w:val="009713E1"/>
    <w:rsid w:val="009723BA"/>
    <w:rsid w:val="00980BF7"/>
    <w:rsid w:val="009862FB"/>
    <w:rsid w:val="00995A6D"/>
    <w:rsid w:val="009B281C"/>
    <w:rsid w:val="009B7000"/>
    <w:rsid w:val="009B76D4"/>
    <w:rsid w:val="009C0DFA"/>
    <w:rsid w:val="009C7CE5"/>
    <w:rsid w:val="009D2CB2"/>
    <w:rsid w:val="009D62DD"/>
    <w:rsid w:val="009E71E7"/>
    <w:rsid w:val="009F1587"/>
    <w:rsid w:val="00A01173"/>
    <w:rsid w:val="00A06376"/>
    <w:rsid w:val="00A0749A"/>
    <w:rsid w:val="00A11D59"/>
    <w:rsid w:val="00A2722F"/>
    <w:rsid w:val="00A32F82"/>
    <w:rsid w:val="00A343F3"/>
    <w:rsid w:val="00A35A48"/>
    <w:rsid w:val="00A44A7A"/>
    <w:rsid w:val="00A530EC"/>
    <w:rsid w:val="00A5577E"/>
    <w:rsid w:val="00A60E92"/>
    <w:rsid w:val="00A7253C"/>
    <w:rsid w:val="00A731D9"/>
    <w:rsid w:val="00A8449C"/>
    <w:rsid w:val="00A8634F"/>
    <w:rsid w:val="00A86E8C"/>
    <w:rsid w:val="00AA0589"/>
    <w:rsid w:val="00AA0B06"/>
    <w:rsid w:val="00AA3CDC"/>
    <w:rsid w:val="00AA73BB"/>
    <w:rsid w:val="00AB327B"/>
    <w:rsid w:val="00AC0CBB"/>
    <w:rsid w:val="00AC6757"/>
    <w:rsid w:val="00AD08A8"/>
    <w:rsid w:val="00AD4A85"/>
    <w:rsid w:val="00AE689B"/>
    <w:rsid w:val="00B00A09"/>
    <w:rsid w:val="00B018A4"/>
    <w:rsid w:val="00B16D23"/>
    <w:rsid w:val="00B3383D"/>
    <w:rsid w:val="00B3658C"/>
    <w:rsid w:val="00B40EE8"/>
    <w:rsid w:val="00B60B96"/>
    <w:rsid w:val="00B72770"/>
    <w:rsid w:val="00B762A0"/>
    <w:rsid w:val="00B80EE2"/>
    <w:rsid w:val="00B826D2"/>
    <w:rsid w:val="00B83B0D"/>
    <w:rsid w:val="00B83BFE"/>
    <w:rsid w:val="00B87CBF"/>
    <w:rsid w:val="00B90FDD"/>
    <w:rsid w:val="00BA4AFB"/>
    <w:rsid w:val="00BA50A0"/>
    <w:rsid w:val="00BB61D1"/>
    <w:rsid w:val="00BB66DA"/>
    <w:rsid w:val="00BC3213"/>
    <w:rsid w:val="00BC5BFB"/>
    <w:rsid w:val="00BE07E5"/>
    <w:rsid w:val="00BF4B5B"/>
    <w:rsid w:val="00C01934"/>
    <w:rsid w:val="00C07EC8"/>
    <w:rsid w:val="00C107A5"/>
    <w:rsid w:val="00C127CA"/>
    <w:rsid w:val="00C14AA9"/>
    <w:rsid w:val="00C15AAF"/>
    <w:rsid w:val="00C16265"/>
    <w:rsid w:val="00C1690B"/>
    <w:rsid w:val="00C20212"/>
    <w:rsid w:val="00C21118"/>
    <w:rsid w:val="00C313A9"/>
    <w:rsid w:val="00C47C31"/>
    <w:rsid w:val="00C555C5"/>
    <w:rsid w:val="00C64107"/>
    <w:rsid w:val="00C80865"/>
    <w:rsid w:val="00C82BED"/>
    <w:rsid w:val="00C938DE"/>
    <w:rsid w:val="00CA0AD9"/>
    <w:rsid w:val="00CA65FB"/>
    <w:rsid w:val="00CB67E6"/>
    <w:rsid w:val="00CD5176"/>
    <w:rsid w:val="00CF3B80"/>
    <w:rsid w:val="00D02C7D"/>
    <w:rsid w:val="00D1182B"/>
    <w:rsid w:val="00D21CF3"/>
    <w:rsid w:val="00D30D22"/>
    <w:rsid w:val="00D36FE9"/>
    <w:rsid w:val="00D37EDC"/>
    <w:rsid w:val="00D4629E"/>
    <w:rsid w:val="00D55592"/>
    <w:rsid w:val="00D64FCE"/>
    <w:rsid w:val="00D66292"/>
    <w:rsid w:val="00D66ABD"/>
    <w:rsid w:val="00D71D68"/>
    <w:rsid w:val="00D75275"/>
    <w:rsid w:val="00D7757C"/>
    <w:rsid w:val="00D83FE7"/>
    <w:rsid w:val="00D903A8"/>
    <w:rsid w:val="00D95192"/>
    <w:rsid w:val="00DB408C"/>
    <w:rsid w:val="00DC6CDD"/>
    <w:rsid w:val="00DC7D7E"/>
    <w:rsid w:val="00DD193D"/>
    <w:rsid w:val="00DD3333"/>
    <w:rsid w:val="00DD4152"/>
    <w:rsid w:val="00DE2092"/>
    <w:rsid w:val="00E10D9D"/>
    <w:rsid w:val="00E12FE5"/>
    <w:rsid w:val="00E2123A"/>
    <w:rsid w:val="00E254BA"/>
    <w:rsid w:val="00E2658E"/>
    <w:rsid w:val="00E31A54"/>
    <w:rsid w:val="00E33DDE"/>
    <w:rsid w:val="00E5490C"/>
    <w:rsid w:val="00E6163F"/>
    <w:rsid w:val="00E652F5"/>
    <w:rsid w:val="00E663A8"/>
    <w:rsid w:val="00E669B4"/>
    <w:rsid w:val="00E7065F"/>
    <w:rsid w:val="00E80253"/>
    <w:rsid w:val="00E825D6"/>
    <w:rsid w:val="00E83807"/>
    <w:rsid w:val="00E83AE4"/>
    <w:rsid w:val="00E84AA3"/>
    <w:rsid w:val="00E907B8"/>
    <w:rsid w:val="00E93804"/>
    <w:rsid w:val="00E9419C"/>
    <w:rsid w:val="00E94222"/>
    <w:rsid w:val="00E953B0"/>
    <w:rsid w:val="00EA4538"/>
    <w:rsid w:val="00EA7E0B"/>
    <w:rsid w:val="00EB7311"/>
    <w:rsid w:val="00ED28B9"/>
    <w:rsid w:val="00ED3751"/>
    <w:rsid w:val="00EE07E1"/>
    <w:rsid w:val="00EE5519"/>
    <w:rsid w:val="00EF0FC8"/>
    <w:rsid w:val="00EF3AF0"/>
    <w:rsid w:val="00F02581"/>
    <w:rsid w:val="00F062B3"/>
    <w:rsid w:val="00F0773A"/>
    <w:rsid w:val="00F204C8"/>
    <w:rsid w:val="00F2268A"/>
    <w:rsid w:val="00F320B8"/>
    <w:rsid w:val="00F328FA"/>
    <w:rsid w:val="00F36A78"/>
    <w:rsid w:val="00F443E8"/>
    <w:rsid w:val="00F56051"/>
    <w:rsid w:val="00F56765"/>
    <w:rsid w:val="00F572BD"/>
    <w:rsid w:val="00F61385"/>
    <w:rsid w:val="00F70E37"/>
    <w:rsid w:val="00F7345F"/>
    <w:rsid w:val="00F73665"/>
    <w:rsid w:val="00F771EC"/>
    <w:rsid w:val="00F967DD"/>
    <w:rsid w:val="00FA195A"/>
    <w:rsid w:val="00FB3B9D"/>
    <w:rsid w:val="00FB7281"/>
    <w:rsid w:val="00FC2D98"/>
    <w:rsid w:val="00FD278F"/>
    <w:rsid w:val="00FD3EEF"/>
    <w:rsid w:val="00FE26FA"/>
    <w:rsid w:val="00FE2C11"/>
    <w:rsid w:val="00FE508A"/>
    <w:rsid w:val="00FF2FA1"/>
    <w:rsid w:val="00FF412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50" v:ext="edit"/>
    <o:shapelayout v:ext="edit">
      <o:idmap data="2" v:ext="edit"/>
    </o:shapelayout>
  </w:shapeDefaults>
  <w:decimalSymbol w:val=","/>
  <w:listSeparator w:val=";"/>
  <w14:docId w14:val="0DF3FCC5"/>
  <w14:defaultImageDpi w14:val="0"/>
  <w15:docId w15:val="{D0BC6BA2-D059-496C-B6AF-AFD60D68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sz w:val="22"/>
        <w:szCs w:val="22"/>
        <w:lang w:bidi="ar-SA" w:eastAsia="fr-FR"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widowControl w:val="0"/>
      <w:autoSpaceDE w:val="0"/>
      <w:autoSpaceDN w:val="0"/>
      <w:adjustRightInd w:val="0"/>
      <w:spacing w:after="0" w:line="240" w:lineRule="auto"/>
    </w:pPr>
    <w:rPr>
      <w:rFonts w:ascii="Times" w:cs="Times" w:hAnsi="Times"/>
      <w:color w:val="000000"/>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000-labo" w:type="paragraph">
    <w:name w:val="000-labo"/>
    <w:basedOn w:val="Normal"/>
    <w:uiPriority w:val="99"/>
  </w:style>
  <w:style w:customStyle="1" w:styleId="001-Direction" w:type="paragraph">
    <w:name w:val="001-Direction"/>
    <w:basedOn w:val="Normal"/>
    <w:uiPriority w:val="99"/>
  </w:style>
  <w:style w:customStyle="1" w:styleId="0011-Qualit" w:type="paragraph">
    <w:name w:val="0011-Qualité"/>
    <w:basedOn w:val="001-Direction"/>
    <w:uiPriority w:val="99"/>
  </w:style>
  <w:style w:customStyle="1" w:styleId="002-DS" w:type="paragraph">
    <w:name w:val="002-DS"/>
    <w:basedOn w:val="001-Direction"/>
    <w:uiPriority w:val="99"/>
  </w:style>
  <w:style w:customStyle="1" w:styleId="0022-usi" w:type="paragraph">
    <w:name w:val="0022-usi"/>
    <w:basedOn w:val="002-DS"/>
    <w:uiPriority w:val="99"/>
  </w:style>
  <w:style w:customStyle="1" w:styleId="0023-prospective" w:type="paragraph">
    <w:name w:val="0023-prospective"/>
    <w:basedOn w:val="002-DS"/>
    <w:uiPriority w:val="99"/>
  </w:style>
  <w:style w:customStyle="1" w:styleId="0024-doc" w:type="paragraph">
    <w:name w:val="0024-doc"/>
    <w:basedOn w:val="002-DS"/>
    <w:uiPriority w:val="99"/>
  </w:style>
  <w:style w:customStyle="1" w:styleId="003-DAF" w:type="paragraph">
    <w:name w:val="003-DAF"/>
    <w:basedOn w:val="001-Direction"/>
    <w:uiPriority w:val="99"/>
  </w:style>
  <w:style w:customStyle="1" w:styleId="0031-gestio-cmpta" w:type="paragraph">
    <w:name w:val="0031-gestio-cmpta"/>
    <w:basedOn w:val="003-DAF"/>
    <w:uiPriority w:val="99"/>
  </w:style>
  <w:style w:customStyle="1" w:styleId="0032-Personnel" w:type="paragraph">
    <w:name w:val="0032-Personnel"/>
    <w:basedOn w:val="003-DAF"/>
    <w:uiPriority w:val="99"/>
  </w:style>
  <w:style w:customStyle="1" w:styleId="0033-Services-Generaux" w:type="paragraph">
    <w:name w:val="0033-Services-Generaux"/>
    <w:basedOn w:val="003-DAF"/>
    <w:uiPriority w:val="99"/>
  </w:style>
  <w:style w:customStyle="1" w:styleId="004-MIC" w:type="paragraph">
    <w:name w:val="004-MIC"/>
    <w:basedOn w:val="001-Direction"/>
    <w:uiPriority w:val="99"/>
  </w:style>
  <w:style w:customStyle="1" w:styleId="0041-Editions" w:type="paragraph">
    <w:name w:val="0041-Editions"/>
    <w:basedOn w:val="004-MIC"/>
    <w:uiPriority w:val="99"/>
  </w:style>
  <w:style w:customStyle="1" w:styleId="0042-Diffusion" w:type="paragraph">
    <w:name w:val="0042-Diffusion"/>
    <w:basedOn w:val="004-MIC"/>
    <w:uiPriority w:val="99"/>
  </w:style>
  <w:style w:customStyle="1" w:styleId="0043-Presse" w:type="paragraph">
    <w:name w:val="0043-Presse"/>
    <w:basedOn w:val="004-MIC"/>
    <w:uiPriority w:val="99"/>
  </w:style>
  <w:style w:customStyle="1" w:styleId="005-DER" w:type="paragraph">
    <w:name w:val="005-DER"/>
    <w:basedOn w:val="001-Direction"/>
    <w:uiPriority w:val="99"/>
  </w:style>
  <w:style w:customStyle="1" w:styleId="0051-Agro-var" w:type="paragraph">
    <w:name w:val="0051-Agro-var"/>
    <w:basedOn w:val="005-DER"/>
    <w:uiPriority w:val="99"/>
  </w:style>
  <w:style w:customStyle="1" w:styleId="0052-ProtectionCultures" w:type="paragraph">
    <w:name w:val="0052-ProtectionCultures"/>
    <w:basedOn w:val="005-DER"/>
    <w:uiPriority w:val="99"/>
  </w:style>
  <w:style w:customStyle="1" w:styleId="006-DED" w:type="paragraph">
    <w:name w:val="006-DED"/>
    <w:basedOn w:val="001-Direction"/>
    <w:uiPriority w:val="99"/>
  </w:style>
  <w:style w:customStyle="1" w:styleId="0061-zone-ouest" w:type="paragraph">
    <w:name w:val="0061-zone-ouest"/>
    <w:basedOn w:val="006-DED"/>
    <w:uiPriority w:val="99"/>
  </w:style>
  <w:style w:customStyle="1" w:styleId="01-type-programme" w:type="paragraph">
    <w:name w:val="01 - type-programme"/>
    <w:basedOn w:val="Normal"/>
    <w:uiPriority w:val="99"/>
    <w:pPr>
      <w:spacing w:after="282"/>
      <w:jc w:val="center"/>
    </w:pPr>
    <w:rPr>
      <w:rFonts w:ascii="Palatino" w:cs="Palatino" w:hAnsi="Palatino"/>
      <w:b/>
      <w:bCs/>
      <w:sz w:val="28"/>
      <w:szCs w:val="28"/>
      <w:u w:val="single"/>
    </w:rPr>
  </w:style>
  <w:style w:customStyle="1" w:styleId="010-type-fichereclamation" w:type="paragraph">
    <w:name w:val="010- type-fiche reclamation"/>
    <w:basedOn w:val="01-type-programme"/>
    <w:uiPriority w:val="99"/>
  </w:style>
  <w:style w:customStyle="1" w:styleId="011-type-plan-qualite" w:type="paragraph">
    <w:name w:val="011- type-plan-qualite"/>
    <w:basedOn w:val="01-type-programme"/>
    <w:uiPriority w:val="99"/>
  </w:style>
  <w:style w:customStyle="1" w:styleId="012-type-Notice-utilisation" w:type="paragraph">
    <w:name w:val="012- type-Notice-utilisation"/>
    <w:basedOn w:val="01-type-programme"/>
    <w:uiPriority w:val="99"/>
  </w:style>
  <w:style w:customStyle="1" w:styleId="013-type-Inventaire" w:type="paragraph">
    <w:name w:val="013- type-Inventaire"/>
    <w:basedOn w:val="01-type-programme"/>
    <w:uiPriority w:val="99"/>
  </w:style>
  <w:style w:customStyle="1" w:styleId="02-type-fiche-controle" w:type="paragraph">
    <w:name w:val="02- type-fiche-controle"/>
    <w:basedOn w:val="01-type-programme"/>
    <w:uiPriority w:val="99"/>
  </w:style>
  <w:style w:customStyle="1" w:styleId="03-type-procedure" w:type="paragraph">
    <w:name w:val="03- type-procedure"/>
    <w:basedOn w:val="01-type-programme"/>
    <w:uiPriority w:val="99"/>
  </w:style>
  <w:style w:customStyle="1" w:styleId="04-type-fiche-technique" w:type="paragraph">
    <w:name w:val="04- type-fiche-technique"/>
    <w:basedOn w:val="01-type-programme"/>
    <w:uiPriority w:val="99"/>
  </w:style>
  <w:style w:customStyle="1" w:styleId="05-type-mode-operatoire" w:type="paragraph">
    <w:name w:val="05- type-mode-operatoire"/>
    <w:basedOn w:val="01-type-programme"/>
    <w:uiPriority w:val="99"/>
  </w:style>
  <w:style w:customStyle="1" w:styleId="06-type-fichedesecurite" w:type="paragraph">
    <w:name w:val="06- type-fiche de securite"/>
    <w:basedOn w:val="01-type-programme"/>
    <w:uiPriority w:val="99"/>
  </w:style>
  <w:style w:customStyle="1" w:styleId="07-type-fichedintervention" w:type="paragraph">
    <w:name w:val="07- type-fiche d'intervention"/>
    <w:basedOn w:val="01-type-programme"/>
    <w:uiPriority w:val="99"/>
  </w:style>
  <w:style w:customStyle="1" w:styleId="08-type-fichedanomalie" w:type="paragraph">
    <w:name w:val="08- type-fiche d'anomalie"/>
    <w:basedOn w:val="01-type-programme"/>
    <w:uiPriority w:val="99"/>
  </w:style>
  <w:style w:customStyle="1" w:styleId="09-type-fichederogation" w:type="paragraph">
    <w:name w:val="09- type-fiche derogation"/>
    <w:basedOn w:val="01-type-programme"/>
    <w:uiPriority w:val="99"/>
  </w:style>
  <w:style w:customStyle="1" w:styleId="10-Titre" w:type="paragraph">
    <w:name w:val="10 -Titre"/>
    <w:basedOn w:val="Normal"/>
    <w:uiPriority w:val="99"/>
    <w:pPr>
      <w:spacing w:after="282"/>
      <w:jc w:val="center"/>
    </w:pPr>
    <w:rPr>
      <w:rFonts w:ascii="Palatino" w:cs="Palatino" w:hAnsi="Palatino"/>
      <w:b/>
      <w:bCs/>
      <w:sz w:val="28"/>
      <w:szCs w:val="28"/>
      <w:u w:val="single"/>
    </w:rPr>
  </w:style>
  <w:style w:customStyle="1" w:styleId="11-Sous-titre" w:type="paragraph">
    <w:name w:val="11 -Sous-titre"/>
    <w:basedOn w:val="10-Titre"/>
    <w:uiPriority w:val="99"/>
    <w:pPr>
      <w:spacing w:after="226"/>
    </w:pPr>
    <w:rPr>
      <w:sz w:val="24"/>
      <w:szCs w:val="24"/>
      <w:u w:val="none"/>
    </w:rPr>
  </w:style>
  <w:style w:customStyle="1" w:styleId="20-ChapitreNiveau1" w:type="paragraph">
    <w:name w:val="20 - Chapitre Niveau 1"/>
    <w:basedOn w:val="Normal"/>
    <w:uiPriority w:val="99"/>
    <w:pPr>
      <w:spacing w:before="282"/>
      <w:ind w:hanging="509" w:left="509"/>
    </w:pPr>
    <w:rPr>
      <w:rFonts w:ascii="Helvetica" w:cs="Helvetica" w:hAnsi="Helvetica"/>
      <w:b/>
      <w:bCs/>
      <w:u w:val="single"/>
    </w:rPr>
  </w:style>
  <w:style w:customStyle="1" w:styleId="21-Paragraphe-ChapNiv1" w:type="paragraph">
    <w:name w:val="21 - Paragraphe - Chap Niv.1"/>
    <w:basedOn w:val="Normal"/>
    <w:uiPriority w:val="99"/>
    <w:pPr>
      <w:spacing w:before="112"/>
      <w:ind w:left="565"/>
    </w:pPr>
    <w:rPr>
      <w:rFonts w:ascii="Helvetica" w:cs="Helvetica" w:hAnsi="Helvetica"/>
    </w:rPr>
  </w:style>
  <w:style w:customStyle="1" w:styleId="22-ParaPuce-ChapNiv1" w:type="paragraph">
    <w:name w:val="22 - Para Puce- Chap Niv.1"/>
    <w:basedOn w:val="21-Paragraphe-ChapNiv1"/>
    <w:uiPriority w:val="99"/>
    <w:pPr>
      <w:spacing w:before="0"/>
      <w:ind w:hanging="284" w:left="849"/>
    </w:pPr>
  </w:style>
  <w:style w:customStyle="1" w:styleId="23-SousChapitreNiv1" w:type="paragraph">
    <w:name w:val="23 - Sous Chapitre Niv.1"/>
    <w:basedOn w:val="21-Paragraphe-ChapNiv1"/>
    <w:uiPriority w:val="99"/>
    <w:pPr>
      <w:ind w:hanging="849" w:left="849"/>
    </w:pPr>
  </w:style>
  <w:style w:customStyle="1" w:styleId="30-ChapitreNiveau2" w:type="paragraph">
    <w:name w:val="30 - Chapitre Niveau 2"/>
    <w:basedOn w:val="Normal"/>
    <w:uiPriority w:val="99"/>
    <w:pPr>
      <w:spacing w:before="282"/>
      <w:ind w:hanging="623" w:left="1343"/>
    </w:pPr>
    <w:rPr>
      <w:b/>
      <w:bCs/>
    </w:rPr>
  </w:style>
  <w:style w:customStyle="1" w:styleId="31-Paragraphe-ChapNiv2" w:type="paragraph">
    <w:name w:val="31 - Paragraphe - Chap Niv.2"/>
    <w:basedOn w:val="Normal"/>
    <w:uiPriority w:val="99"/>
    <w:pPr>
      <w:spacing w:before="112"/>
      <w:ind w:left="1285"/>
    </w:pPr>
  </w:style>
  <w:style w:customStyle="1" w:styleId="32-ParaPuce-ChapNiv2" w:type="paragraph">
    <w:name w:val="32 - Para Puce - Chap Niv.2"/>
    <w:basedOn w:val="31-Paragraphe-ChapNiv2"/>
    <w:uiPriority w:val="99"/>
    <w:pPr>
      <w:spacing w:before="0"/>
      <w:ind w:hanging="284" w:left="849"/>
    </w:pPr>
  </w:style>
  <w:style w:customStyle="1" w:styleId="33-SousChapitreNiv2" w:type="paragraph">
    <w:name w:val="33 - Sous Chapitre Niv.2"/>
    <w:basedOn w:val="31-Paragraphe-ChapNiv2"/>
    <w:uiPriority w:val="99"/>
    <w:pPr>
      <w:ind w:hanging="283" w:left="1416"/>
    </w:pPr>
  </w:style>
  <w:style w:customStyle="1" w:styleId="40-ChapitreNiveau3" w:type="paragraph">
    <w:name w:val="40 - Chapitre Niveau 3"/>
    <w:basedOn w:val="Normal"/>
    <w:uiPriority w:val="99"/>
    <w:pPr>
      <w:spacing w:before="282"/>
      <w:ind w:hanging="849" w:left="2289"/>
    </w:pPr>
    <w:rPr>
      <w:b/>
      <w:bCs/>
      <w:i/>
      <w:iCs/>
    </w:rPr>
  </w:style>
  <w:style w:customStyle="1" w:styleId="41-Paragraphe-ChapNiv3" w:type="paragraph">
    <w:name w:val="41 - Paragraphe - Chap Niv.3"/>
    <w:basedOn w:val="Normal"/>
    <w:uiPriority w:val="99"/>
    <w:pPr>
      <w:spacing w:before="112"/>
      <w:ind w:left="2289"/>
    </w:pPr>
  </w:style>
  <w:style w:customStyle="1" w:styleId="42-ParaPuce-ChapNiv3" w:type="paragraph">
    <w:name w:val="42 - Para Puce - Chap Niv.3"/>
    <w:basedOn w:val="41-Paragraphe-ChapNiv3"/>
    <w:uiPriority w:val="99"/>
    <w:pPr>
      <w:spacing w:before="0"/>
      <w:ind w:hanging="284" w:left="1133"/>
    </w:pPr>
  </w:style>
  <w:style w:customStyle="1" w:styleId="43-SousChapitreNiv3" w:type="paragraph">
    <w:name w:val="43 - Sous Chapitre Niv.3"/>
    <w:basedOn w:val="41-Paragraphe-ChapNiv3"/>
    <w:uiPriority w:val="99"/>
    <w:pPr>
      <w:ind w:hanging="284" w:left="2266"/>
    </w:pPr>
  </w:style>
  <w:style w:customStyle="1" w:styleId="50-ChapitreNiveau4" w:type="paragraph">
    <w:name w:val="50 - Chapitre Niveau 4"/>
    <w:basedOn w:val="Normal"/>
    <w:uiPriority w:val="99"/>
    <w:pPr>
      <w:spacing w:before="282"/>
      <w:ind w:hanging="849" w:left="3009"/>
    </w:pPr>
    <w:rPr>
      <w:i/>
      <w:iCs/>
    </w:rPr>
  </w:style>
  <w:style w:customStyle="1" w:styleId="51-Paragraphe-ChapNiv4" w:type="paragraph">
    <w:name w:val="51 - Paragraphe - Chap Niv.4"/>
    <w:basedOn w:val="Normal"/>
    <w:uiPriority w:val="99"/>
    <w:pPr>
      <w:spacing w:before="112"/>
      <w:ind w:left="3009"/>
    </w:pPr>
  </w:style>
  <w:style w:customStyle="1" w:styleId="52-ParaPuce-ChapNiv4" w:type="paragraph">
    <w:name w:val="52 - Para Puce - Chap Niv.4"/>
    <w:basedOn w:val="51-Paragraphe-ChapNiv4"/>
    <w:uiPriority w:val="99"/>
    <w:pPr>
      <w:spacing w:before="0"/>
      <w:ind w:hanging="284" w:left="1133"/>
    </w:pPr>
  </w:style>
  <w:style w:customStyle="1" w:styleId="53-SousChapitreNiv4" w:type="paragraph">
    <w:name w:val="53 - Sous Chapitre Niv.4"/>
    <w:basedOn w:val="51-Paragraphe-ChapNiv4"/>
    <w:uiPriority w:val="99"/>
    <w:pPr>
      <w:ind w:hanging="283" w:left="2833"/>
    </w:pPr>
  </w:style>
  <w:style w:customStyle="1" w:styleId="A-FigureNumrote" w:type="paragraph">
    <w:name w:val="A - Figure Numérotée"/>
    <w:basedOn w:val="Normal"/>
    <w:uiPriority w:val="99"/>
    <w:pPr>
      <w:spacing w:after="282" w:before="282"/>
      <w:jc w:val="center"/>
    </w:pPr>
    <w:rPr>
      <w:position w:val="12"/>
    </w:rPr>
  </w:style>
  <w:style w:customStyle="1" w:styleId="B-Entete" w:type="paragraph">
    <w:name w:val="B - Entete"/>
    <w:basedOn w:val="Normal"/>
    <w:uiPriority w:val="99"/>
    <w:pPr>
      <w:pBdr>
        <w:bottom w:color="000000" w:space="2" w:sz="2" w:val="single"/>
      </w:pBdr>
      <w:tabs>
        <w:tab w:pos="10771" w:val="right"/>
      </w:tabs>
    </w:pPr>
  </w:style>
  <w:style w:customStyle="1" w:styleId="C-Pieddepage" w:type="paragraph">
    <w:name w:val="C - Pied de page"/>
    <w:basedOn w:val="Normal"/>
    <w:uiPriority w:val="99"/>
    <w:pPr>
      <w:jc w:val="right"/>
    </w:pPr>
    <w:rPr>
      <w:sz w:val="20"/>
      <w:szCs w:val="20"/>
    </w:rPr>
  </w:style>
  <w:style w:customStyle="1" w:styleId="Cellule" w:type="paragraph">
    <w:name w:val="Cellule"/>
    <w:basedOn w:val="Normal"/>
    <w:uiPriority w:val="99"/>
  </w:style>
  <w:style w:customStyle="1" w:styleId="EnTtePiedDePage" w:type="paragraph">
    <w:name w:val="EnTêtePiedDePage"/>
    <w:basedOn w:val="Normal"/>
    <w:uiPriority w:val="99"/>
    <w:pPr>
      <w:tabs>
        <w:tab w:pos="5040" w:val="center"/>
        <w:tab w:pos="10080" w:val="right"/>
        <w:tab w:pos="13680" w:val="right"/>
      </w:tabs>
    </w:pPr>
  </w:style>
  <w:style w:customStyle="1" w:styleId="NoteDeBasDePage" w:type="paragraph">
    <w:name w:val="NoteDeBasDePage"/>
    <w:basedOn w:val="Normal"/>
    <w:uiPriority w:val="99"/>
  </w:style>
  <w:style w:styleId="En-tte" w:type="paragraph">
    <w:name w:val="header"/>
    <w:basedOn w:val="Normal"/>
    <w:link w:val="En-tteCar"/>
    <w:unhideWhenUsed/>
    <w:rsid w:val="00E254BA"/>
    <w:pPr>
      <w:tabs>
        <w:tab w:pos="4536" w:val="center"/>
        <w:tab w:pos="9072" w:val="right"/>
      </w:tabs>
    </w:pPr>
  </w:style>
  <w:style w:customStyle="1" w:styleId="En-tteCar" w:type="character">
    <w:name w:val="En-tête Car"/>
    <w:basedOn w:val="Policepardfaut"/>
    <w:link w:val="En-tte"/>
    <w:rsid w:val="00E254BA"/>
    <w:rPr>
      <w:rFonts w:ascii="Times" w:cs="Times" w:hAnsi="Times"/>
      <w:noProof/>
      <w:color w:val="000000"/>
      <w:sz w:val="24"/>
      <w:szCs w:val="24"/>
    </w:rPr>
  </w:style>
  <w:style w:styleId="Pieddepage" w:type="paragraph">
    <w:name w:val="footer"/>
    <w:basedOn w:val="Normal"/>
    <w:link w:val="PieddepageCar"/>
    <w:uiPriority w:val="99"/>
    <w:unhideWhenUsed/>
    <w:rsid w:val="00E254BA"/>
    <w:pPr>
      <w:tabs>
        <w:tab w:pos="4536" w:val="center"/>
        <w:tab w:pos="9072" w:val="right"/>
      </w:tabs>
    </w:pPr>
  </w:style>
  <w:style w:customStyle="1" w:styleId="PieddepageCar" w:type="character">
    <w:name w:val="Pied de page Car"/>
    <w:basedOn w:val="Policepardfaut"/>
    <w:link w:val="Pieddepage"/>
    <w:uiPriority w:val="99"/>
    <w:rsid w:val="00E254BA"/>
    <w:rPr>
      <w:rFonts w:ascii="Times" w:cs="Times" w:hAnsi="Times"/>
      <w:noProof/>
      <w:color w:val="000000"/>
      <w:sz w:val="24"/>
      <w:szCs w:val="24"/>
    </w:rPr>
  </w:style>
  <w:style w:styleId="Textedebulles" w:type="paragraph">
    <w:name w:val="Balloon Text"/>
    <w:basedOn w:val="Normal"/>
    <w:link w:val="TextedebullesCar"/>
    <w:uiPriority w:val="99"/>
    <w:semiHidden/>
    <w:unhideWhenUsed/>
    <w:rsid w:val="00C127CA"/>
    <w:rPr>
      <w:rFonts w:ascii="Tahoma" w:cs="Tahoma" w:hAnsi="Tahoma"/>
      <w:sz w:val="16"/>
      <w:szCs w:val="16"/>
    </w:rPr>
  </w:style>
  <w:style w:customStyle="1" w:styleId="TextedebullesCar" w:type="character">
    <w:name w:val="Texte de bulles Car"/>
    <w:basedOn w:val="Policepardfaut"/>
    <w:link w:val="Textedebulles"/>
    <w:uiPriority w:val="99"/>
    <w:semiHidden/>
    <w:rsid w:val="00C127CA"/>
    <w:rPr>
      <w:rFonts w:ascii="Tahoma" w:cs="Tahoma" w:hAnsi="Tahoma"/>
      <w:noProof/>
      <w:color w:val="000000"/>
      <w:sz w:val="16"/>
      <w:szCs w:val="16"/>
    </w:rPr>
  </w:style>
  <w:style w:styleId="Grilledutableau" w:type="table">
    <w:name w:val="Table Grid"/>
    <w:basedOn w:val="TableauNormal"/>
    <w:uiPriority w:val="59"/>
    <w:rsid w:val="00C127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moyenne1-Accent3" w:type="table">
    <w:name w:val="Medium List 1 Accent 3"/>
    <w:basedOn w:val="TableauNormal"/>
    <w:uiPriority w:val="65"/>
    <w:rsid w:val="00C127CA"/>
    <w:pPr>
      <w:spacing w:after="0" w:line="240" w:lineRule="auto"/>
    </w:pPr>
    <w:rPr>
      <w:color w:themeColor="text1" w:val="639027"/>
    </w:rPr>
    <w:tblPr>
      <w:tblStyleRowBandSize w:val="1"/>
      <w:tblStyleColBandSize w:val="1"/>
      <w:tblBorders>
        <w:top w:color="639027" w:space="0" w:sz="8" w:themeColor="accent3" w:val="single"/>
        <w:bottom w:color="639027" w:space="0" w:sz="8" w:themeColor="accent3" w:val="single"/>
      </w:tblBorders>
    </w:tblPr>
    <w:tblStylePr w:type="firstRow">
      <w:rPr>
        <w:rFonts w:asciiTheme="majorHAnsi" w:cstheme="majorBidi" w:eastAsiaTheme="majorEastAsia" w:hAnsiTheme="majorHAnsi"/>
      </w:rPr>
      <w:tblPr/>
      <w:tcPr>
        <w:tcBorders>
          <w:top w:val="nil"/>
          <w:bottom w:color="639027" w:space="0" w:sz="8" w:themeColor="accent3" w:val="single"/>
        </w:tcBorders>
      </w:tcPr>
    </w:tblStylePr>
    <w:tblStylePr w:type="lastRow">
      <w:rPr>
        <w:b/>
        <w:bCs/>
        <w:color w:themeColor="text2" w:val="6E1415"/>
      </w:rPr>
      <w:tblPr/>
      <w:tcPr>
        <w:tcBorders>
          <w:top w:color="639027" w:space="0" w:sz="8" w:themeColor="accent3" w:val="single"/>
          <w:bottom w:color="639027" w:space="0" w:sz="8" w:themeColor="accent3" w:val="single"/>
        </w:tcBorders>
      </w:tcPr>
    </w:tblStylePr>
    <w:tblStylePr w:type="firstCol">
      <w:rPr>
        <w:b/>
        <w:bCs/>
      </w:rPr>
    </w:tblStylePr>
    <w:tblStylePr w:type="lastCol">
      <w:rPr>
        <w:b/>
        <w:bCs/>
      </w:rPr>
      <w:tblPr/>
      <w:tcPr>
        <w:tcBorders>
          <w:top w:color="639027" w:space="0" w:sz="8" w:themeColor="accent3" w:val="single"/>
          <w:bottom w:color="639027" w:space="0" w:sz="8" w:themeColor="accent3" w:val="single"/>
        </w:tcBorders>
      </w:tcPr>
    </w:tblStylePr>
    <w:tblStylePr w:type="band1Vert">
      <w:tblPr/>
      <w:tcPr>
        <w:shd w:color="auto" w:fill="D9EDBF" w:themeFill="accent3" w:themeFillTint="3F" w:val="clear"/>
      </w:tcPr>
    </w:tblStylePr>
    <w:tblStylePr w:type="band1Horz">
      <w:tblPr/>
      <w:tcPr>
        <w:shd w:color="auto" w:fill="D9EDBF" w:themeFill="accent3" w:themeFillTint="3F" w:val="clear"/>
      </w:tcPr>
    </w:tblStylePr>
  </w:style>
  <w:style w:styleId="Grilleclaire-Accent3" w:type="table">
    <w:name w:val="Light Grid Accent 3"/>
    <w:basedOn w:val="TableauNormal"/>
    <w:uiPriority w:val="62"/>
    <w:rsid w:val="00C127CA"/>
    <w:pPr>
      <w:spacing w:after="0" w:line="240" w:lineRule="auto"/>
    </w:pPr>
    <w:tblPr>
      <w:tblStyleRowBandSize w:val="1"/>
      <w:tblStyleColBandSize w:val="1"/>
      <w:tblBorders>
        <w:top w:color="639027" w:space="0" w:sz="8" w:themeColor="accent3" w:val="single"/>
        <w:left w:color="639027" w:space="0" w:sz="8" w:themeColor="accent3" w:val="single"/>
        <w:bottom w:color="639027" w:space="0" w:sz="8" w:themeColor="accent3" w:val="single"/>
        <w:right w:color="639027" w:space="0" w:sz="8" w:themeColor="accent3" w:val="single"/>
        <w:insideH w:color="639027" w:space="0" w:sz="8" w:themeColor="accent3" w:val="single"/>
        <w:insideV w:color="639027"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639027" w:space="0" w:sz="8" w:themeColor="accent3" w:val="single"/>
          <w:left w:color="639027" w:space="0" w:sz="8" w:themeColor="accent3" w:val="single"/>
          <w:bottom w:color="639027" w:space="0" w:sz="18" w:themeColor="accent3" w:val="single"/>
          <w:right w:color="639027" w:space="0" w:sz="8" w:themeColor="accent3" w:val="single"/>
          <w:insideH w:val="nil"/>
          <w:insideV w:color="639027"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639027" w:space="0" w:sz="6" w:themeColor="accent3" w:val="double"/>
          <w:left w:color="639027" w:space="0" w:sz="8" w:themeColor="accent3" w:val="single"/>
          <w:bottom w:color="639027" w:space="0" w:sz="8" w:themeColor="accent3" w:val="single"/>
          <w:right w:color="639027" w:space="0" w:sz="8" w:themeColor="accent3" w:val="single"/>
          <w:insideH w:val="nil"/>
          <w:insideV w:color="639027"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639027" w:space="0" w:sz="8" w:themeColor="accent3" w:val="single"/>
          <w:left w:color="639027" w:space="0" w:sz="8" w:themeColor="accent3" w:val="single"/>
          <w:bottom w:color="639027" w:space="0" w:sz="8" w:themeColor="accent3" w:val="single"/>
          <w:right w:color="639027" w:space="0" w:sz="8" w:themeColor="accent3" w:val="single"/>
        </w:tcBorders>
      </w:tcPr>
    </w:tblStylePr>
    <w:tblStylePr w:type="band1Vert">
      <w:tblPr/>
      <w:tcPr>
        <w:tcBorders>
          <w:top w:color="639027" w:space="0" w:sz="8" w:themeColor="accent3" w:val="single"/>
          <w:left w:color="639027" w:space="0" w:sz="8" w:themeColor="accent3" w:val="single"/>
          <w:bottom w:color="639027" w:space="0" w:sz="8" w:themeColor="accent3" w:val="single"/>
          <w:right w:color="639027" w:space="0" w:sz="8" w:themeColor="accent3" w:val="single"/>
        </w:tcBorders>
        <w:shd w:color="auto" w:fill="D9EDBF" w:themeFill="accent3" w:themeFillTint="3F" w:val="clear"/>
      </w:tcPr>
    </w:tblStylePr>
    <w:tblStylePr w:type="band1Horz">
      <w:tblPr/>
      <w:tcPr>
        <w:tcBorders>
          <w:top w:color="639027" w:space="0" w:sz="8" w:themeColor="accent3" w:val="single"/>
          <w:left w:color="639027" w:space="0" w:sz="8" w:themeColor="accent3" w:val="single"/>
          <w:bottom w:color="639027" w:space="0" w:sz="8" w:themeColor="accent3" w:val="single"/>
          <w:right w:color="639027" w:space="0" w:sz="8" w:themeColor="accent3" w:val="single"/>
          <w:insideV w:color="639027" w:space="0" w:sz="8" w:themeColor="accent3" w:val="single"/>
        </w:tcBorders>
        <w:shd w:color="auto" w:fill="D9EDBF" w:themeFill="accent3" w:themeFillTint="3F" w:val="clear"/>
      </w:tcPr>
    </w:tblStylePr>
    <w:tblStylePr w:type="band2Horz">
      <w:tblPr/>
      <w:tcPr>
        <w:tcBorders>
          <w:top w:color="639027" w:space="0" w:sz="8" w:themeColor="accent3" w:val="single"/>
          <w:left w:color="639027" w:space="0" w:sz="8" w:themeColor="accent3" w:val="single"/>
          <w:bottom w:color="639027" w:space="0" w:sz="8" w:themeColor="accent3" w:val="single"/>
          <w:right w:color="639027" w:space="0" w:sz="8" w:themeColor="accent3" w:val="single"/>
          <w:insideV w:color="639027" w:space="0" w:sz="8" w:themeColor="accent3" w:val="single"/>
        </w:tcBorders>
      </w:tcPr>
    </w:tblStylePr>
  </w:style>
  <w:style w:styleId="Ombrageclair" w:type="table">
    <w:name w:val="Light Shading"/>
    <w:basedOn w:val="TableauNormal"/>
    <w:uiPriority w:val="60"/>
    <w:rsid w:val="00C20212"/>
    <w:pPr>
      <w:spacing w:after="0" w:line="240" w:lineRule="auto"/>
    </w:pPr>
    <w:rPr>
      <w:color w:themeColor="text1" w:themeShade="BF" w:val="496B1D"/>
    </w:rPr>
    <w:tblPr>
      <w:tblStyleRowBandSize w:val="1"/>
      <w:tblStyleColBandSize w:val="1"/>
      <w:tblBorders>
        <w:top w:color="639027" w:space="0" w:sz="8" w:themeColor="text1" w:val="single"/>
        <w:bottom w:color="639027" w:space="0" w:sz="8" w:themeColor="text1" w:val="single"/>
      </w:tblBorders>
    </w:tblPr>
    <w:tblStylePr w:type="firstRow">
      <w:pPr>
        <w:spacing w:after="0" w:before="0" w:line="240" w:lineRule="auto"/>
      </w:pPr>
      <w:rPr>
        <w:b/>
        <w:bCs/>
      </w:rPr>
      <w:tblPr/>
      <w:tcPr>
        <w:tcBorders>
          <w:top w:color="639027" w:space="0" w:sz="8" w:themeColor="text1" w:val="single"/>
          <w:left w:val="nil"/>
          <w:bottom w:color="639027" w:space="0" w:sz="8" w:themeColor="text1" w:val="single"/>
          <w:right w:val="nil"/>
          <w:insideH w:val="nil"/>
          <w:insideV w:val="nil"/>
        </w:tcBorders>
      </w:tcPr>
    </w:tblStylePr>
    <w:tblStylePr w:type="lastRow">
      <w:pPr>
        <w:spacing w:after="0" w:before="0" w:line="240" w:lineRule="auto"/>
      </w:pPr>
      <w:rPr>
        <w:b/>
        <w:bCs/>
      </w:rPr>
      <w:tblPr/>
      <w:tcPr>
        <w:tcBorders>
          <w:top w:color="639027" w:space="0" w:sz="8" w:themeColor="text1" w:val="single"/>
          <w:left w:val="nil"/>
          <w:bottom w:color="639027"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9EDBF" w:themeFill="text1" w:themeFillTint="3F" w:val="clear"/>
      </w:tcPr>
    </w:tblStylePr>
    <w:tblStylePr w:type="band1Horz">
      <w:tblPr/>
      <w:tcPr>
        <w:tcBorders>
          <w:left w:val="nil"/>
          <w:right w:val="nil"/>
          <w:insideH w:val="nil"/>
          <w:insideV w:val="nil"/>
        </w:tcBorders>
        <w:shd w:color="auto" w:fill="D9EDBF" w:themeFill="text1" w:themeFillTint="3F" w:val="clear"/>
      </w:tcPr>
    </w:tblStylePr>
  </w:style>
  <w:style w:styleId="Grillemoyenne3-Accent1" w:type="table">
    <w:name w:val="Medium Grid 3 Accent 1"/>
    <w:basedOn w:val="TableauNormal"/>
    <w:uiPriority w:val="69"/>
    <w:rsid w:val="00C2021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EF8B7"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73B310"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73B310"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73B310"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73B31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EF26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EF26E" w:themeFill="accent1" w:themeFillTint="7F" w:val="clear"/>
      </w:tcPr>
    </w:tblStylePr>
  </w:style>
  <w:style w:styleId="Trameclaire-Accent2" w:type="table">
    <w:name w:val="Light Shading Accent 2"/>
    <w:basedOn w:val="TableauNormal"/>
    <w:uiPriority w:val="60"/>
    <w:rsid w:val="00C20212"/>
    <w:pPr>
      <w:spacing w:after="0" w:line="240" w:lineRule="auto"/>
    </w:pPr>
    <w:rPr>
      <w:color w:themeColor="accent2" w:themeShade="BF" w:val="3D5513"/>
    </w:rPr>
    <w:tblPr>
      <w:tblStyleRowBandSize w:val="1"/>
      <w:tblStyleColBandSize w:val="1"/>
      <w:tblBorders>
        <w:top w:color="53721A" w:space="0" w:sz="8" w:themeColor="accent2" w:val="single"/>
        <w:bottom w:color="53721A" w:space="0" w:sz="8" w:themeColor="accent2" w:val="single"/>
      </w:tblBorders>
    </w:tblPr>
    <w:tblStylePr w:type="firstRow">
      <w:pPr>
        <w:spacing w:after="0" w:before="0" w:line="240" w:lineRule="auto"/>
      </w:pPr>
      <w:rPr>
        <w:b/>
        <w:bCs/>
      </w:rPr>
      <w:tblPr/>
      <w:tcPr>
        <w:tcBorders>
          <w:top w:color="53721A" w:space="0" w:sz="8" w:themeColor="accent2" w:val="single"/>
          <w:left w:val="nil"/>
          <w:bottom w:color="53721A" w:space="0" w:sz="8" w:themeColor="accent2" w:val="single"/>
          <w:right w:val="nil"/>
          <w:insideH w:val="nil"/>
          <w:insideV w:val="nil"/>
        </w:tcBorders>
      </w:tcPr>
    </w:tblStylePr>
    <w:tblStylePr w:type="lastRow">
      <w:pPr>
        <w:spacing w:after="0" w:before="0" w:line="240" w:lineRule="auto"/>
      </w:pPr>
      <w:rPr>
        <w:b/>
        <w:bCs/>
      </w:rPr>
      <w:tblPr/>
      <w:tcPr>
        <w:tcBorders>
          <w:top w:color="53721A" w:space="0" w:sz="8" w:themeColor="accent2" w:val="single"/>
          <w:left w:val="nil"/>
          <w:bottom w:color="53721A"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9EEB4" w:themeFill="accent2" w:themeFillTint="3F" w:val="clear"/>
      </w:tcPr>
    </w:tblStylePr>
    <w:tblStylePr w:type="band1Horz">
      <w:tblPr/>
      <w:tcPr>
        <w:tcBorders>
          <w:left w:val="nil"/>
          <w:right w:val="nil"/>
          <w:insideH w:val="nil"/>
          <w:insideV w:val="nil"/>
        </w:tcBorders>
        <w:shd w:color="auto" w:fill="D9EEB4" w:themeFill="accent2" w:themeFillTint="3F" w:val="clear"/>
      </w:tcPr>
    </w:tblStylePr>
  </w:style>
  <w:style w:styleId="Paragraphedeliste" w:type="paragraph">
    <w:name w:val="List Paragraph"/>
    <w:basedOn w:val="Normal"/>
    <w:uiPriority w:val="34"/>
    <w:qFormat/>
    <w:rsid w:val="00507BAA"/>
    <w:pPr>
      <w:ind w:left="720"/>
      <w:contextualSpacing/>
    </w:pPr>
  </w:style>
  <w:style w:styleId="Trameclaire-Accent3" w:type="table">
    <w:name w:val="Light Shading Accent 3"/>
    <w:basedOn w:val="TableauNormal"/>
    <w:uiPriority w:val="60"/>
    <w:rsid w:val="0054716E"/>
    <w:pPr>
      <w:spacing w:after="0" w:line="240" w:lineRule="auto"/>
    </w:pPr>
    <w:rPr>
      <w:color w:themeColor="accent3" w:themeShade="BF" w:val="496B1D"/>
    </w:rPr>
    <w:tblPr>
      <w:tblStyleRowBandSize w:val="1"/>
      <w:tblStyleColBandSize w:val="1"/>
      <w:tblBorders>
        <w:top w:color="639027" w:space="0" w:sz="8" w:themeColor="accent3" w:val="single"/>
        <w:bottom w:color="639027" w:space="0" w:sz="8" w:themeColor="accent3" w:val="single"/>
      </w:tblBorders>
    </w:tblPr>
    <w:tblStylePr w:type="firstRow">
      <w:pPr>
        <w:spacing w:after="0" w:before="0" w:line="240" w:lineRule="auto"/>
      </w:pPr>
      <w:rPr>
        <w:b/>
        <w:bCs/>
      </w:rPr>
      <w:tblPr/>
      <w:tcPr>
        <w:tcBorders>
          <w:top w:color="639027" w:space="0" w:sz="8" w:themeColor="accent3" w:val="single"/>
          <w:left w:val="nil"/>
          <w:bottom w:color="639027" w:space="0" w:sz="8" w:themeColor="accent3" w:val="single"/>
          <w:right w:val="nil"/>
          <w:insideH w:val="nil"/>
          <w:insideV w:val="nil"/>
        </w:tcBorders>
      </w:tcPr>
    </w:tblStylePr>
    <w:tblStylePr w:type="lastRow">
      <w:pPr>
        <w:spacing w:after="0" w:before="0" w:line="240" w:lineRule="auto"/>
      </w:pPr>
      <w:rPr>
        <w:b/>
        <w:bCs/>
      </w:rPr>
      <w:tblPr/>
      <w:tcPr>
        <w:tcBorders>
          <w:top w:color="639027" w:space="0" w:sz="8" w:themeColor="accent3" w:val="single"/>
          <w:left w:val="nil"/>
          <w:bottom w:color="639027"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9EDBF" w:themeFill="accent3" w:themeFillTint="3F" w:val="clear"/>
      </w:tcPr>
    </w:tblStylePr>
    <w:tblStylePr w:type="band1Horz">
      <w:tblPr/>
      <w:tcPr>
        <w:tcBorders>
          <w:left w:val="nil"/>
          <w:right w:val="nil"/>
          <w:insideH w:val="nil"/>
          <w:insideV w:val="nil"/>
        </w:tcBorders>
        <w:shd w:color="auto" w:fill="D9EDBF" w:themeFill="accent3" w:themeFillTint="3F" w:val="clear"/>
      </w:tcPr>
    </w:tblStylePr>
  </w:style>
  <w:style w:styleId="Tramemoyenne1-Accent4" w:type="table">
    <w:name w:val="Medium Shading 1 Accent 4"/>
    <w:basedOn w:val="TableauNormal"/>
    <w:uiPriority w:val="63"/>
    <w:rsid w:val="0054716E"/>
    <w:pPr>
      <w:spacing w:after="0" w:line="240" w:lineRule="auto"/>
    </w:pPr>
    <w:tblPr>
      <w:tblStyleRowBandSize w:val="1"/>
      <w:tblStyleColBandSize w:val="1"/>
      <w:tblBorders>
        <w:top w:color="FFC034" w:space="0" w:sz="8" w:themeColor="accent4" w:themeTint="BF" w:val="single"/>
        <w:left w:color="FFC034" w:space="0" w:sz="8" w:themeColor="accent4" w:themeTint="BF" w:val="single"/>
        <w:bottom w:color="FFC034" w:space="0" w:sz="8" w:themeColor="accent4" w:themeTint="BF" w:val="single"/>
        <w:right w:color="FFC034" w:space="0" w:sz="8" w:themeColor="accent4" w:themeTint="BF" w:val="single"/>
        <w:insideH w:color="FFC034" w:space="0" w:sz="8" w:themeColor="accent4" w:themeTint="BF" w:val="single"/>
      </w:tblBorders>
    </w:tblPr>
    <w:tblStylePr w:type="firstRow">
      <w:pPr>
        <w:spacing w:after="0" w:before="0" w:line="240" w:lineRule="auto"/>
      </w:pPr>
      <w:rPr>
        <w:b/>
        <w:bCs/>
        <w:color w:themeColor="background1" w:val="FFFFFF"/>
      </w:rPr>
      <w:tblPr/>
      <w:tcPr>
        <w:tcBorders>
          <w:top w:color="FFC034" w:space="0" w:sz="8" w:themeColor="accent4" w:themeTint="BF" w:val="single"/>
          <w:left w:color="FFC034" w:space="0" w:sz="8" w:themeColor="accent4" w:themeTint="BF" w:val="single"/>
          <w:bottom w:color="FFC034" w:space="0" w:sz="8" w:themeColor="accent4" w:themeTint="BF" w:val="single"/>
          <w:right w:color="FFC034" w:space="0" w:sz="8" w:themeColor="accent4" w:themeTint="BF" w:val="single"/>
          <w:insideH w:val="nil"/>
          <w:insideV w:val="nil"/>
        </w:tcBorders>
        <w:shd w:color="auto" w:fill="EFA500" w:themeFill="accent4" w:val="clear"/>
      </w:tcPr>
    </w:tblStylePr>
    <w:tblStylePr w:type="lastRow">
      <w:pPr>
        <w:spacing w:after="0" w:before="0" w:line="240" w:lineRule="auto"/>
      </w:pPr>
      <w:rPr>
        <w:b/>
        <w:bCs/>
      </w:rPr>
      <w:tblPr/>
      <w:tcPr>
        <w:tcBorders>
          <w:top w:color="FFC034" w:space="0" w:sz="6" w:themeColor="accent4" w:themeTint="BF" w:val="double"/>
          <w:left w:color="FFC034" w:space="0" w:sz="8" w:themeColor="accent4" w:themeTint="BF" w:val="single"/>
          <w:bottom w:color="FFC034" w:space="0" w:sz="8" w:themeColor="accent4" w:themeTint="BF" w:val="single"/>
          <w:right w:color="FFC034"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FFEABC" w:themeFill="accent4" w:themeFillTint="3F" w:val="clear"/>
      </w:tcPr>
    </w:tblStylePr>
    <w:tblStylePr w:type="band1Horz">
      <w:tblPr/>
      <w:tcPr>
        <w:tcBorders>
          <w:insideH w:val="nil"/>
          <w:insideV w:val="nil"/>
        </w:tcBorders>
        <w:shd w:color="auto" w:fill="FFEABC" w:themeFill="accent4" w:themeFillTint="3F" w:val="clear"/>
      </w:tcPr>
    </w:tblStylePr>
    <w:tblStylePr w:type="band2Horz">
      <w:tblPr/>
      <w:tcPr>
        <w:tcBorders>
          <w:insideH w:val="nil"/>
          <w:insideV w:val="nil"/>
        </w:tcBorders>
      </w:tcPr>
    </w:tblStylePr>
  </w:style>
  <w:style w:customStyle="1" w:styleId="document" w:type="paragraph">
    <w:name w:val="document"/>
    <w:basedOn w:val="Normal"/>
    <w:rsid w:val="00CD5176"/>
    <w:pPr>
      <w:tabs>
        <w:tab w:pos="646" w:val="left"/>
        <w:tab w:pos="1294" w:val="left"/>
        <w:tab w:pos="1942" w:val="left"/>
        <w:tab w:pos="2590" w:val="left"/>
        <w:tab w:pos="3238" w:val="left"/>
        <w:tab w:pos="3435" w:val="left"/>
        <w:tab w:pos="3886" w:val="left"/>
        <w:tab w:pos="4534" w:val="left"/>
        <w:tab w:pos="4921" w:val="left"/>
        <w:tab w:pos="5182" w:val="left"/>
        <w:tab w:pos="5830" w:val="left"/>
        <w:tab w:pos="6478" w:val="left"/>
        <w:tab w:pos="7126" w:val="left"/>
        <w:tab w:pos="7774" w:val="left"/>
        <w:tab w:pos="8422" w:val="left"/>
      </w:tabs>
    </w:pPr>
  </w:style>
  <w:style w:customStyle="1" w:styleId="document1" w:type="paragraph">
    <w:name w:val="document(1)"/>
    <w:basedOn w:val="Normal"/>
    <w:rsid w:val="00CD5176"/>
  </w:style>
  <w:style w:customStyle="1" w:styleId="para" w:type="paragraph">
    <w:name w:val="para"/>
    <w:basedOn w:val="Normal"/>
    <w:rsid w:val="00CD5176"/>
    <w:pPr>
      <w:tabs>
        <w:tab w:pos="646" w:val="left"/>
        <w:tab w:pos="1294" w:val="left"/>
        <w:tab w:pos="1942" w:val="left"/>
        <w:tab w:pos="2590" w:val="left"/>
        <w:tab w:pos="3238" w:val="left"/>
        <w:tab w:pos="3435" w:val="left"/>
        <w:tab w:pos="3886" w:val="left"/>
        <w:tab w:pos="4534" w:val="left"/>
        <w:tab w:pos="4921" w:val="left"/>
        <w:tab w:pos="5182" w:val="left"/>
        <w:tab w:pos="5830" w:val="left"/>
        <w:tab w:pos="6478" w:val="left"/>
        <w:tab w:pos="7126" w:val="left"/>
        <w:tab w:pos="7774" w:val="left"/>
        <w:tab w:pos="8422" w:val="left"/>
      </w:tabs>
      <w:spacing w:after="224"/>
      <w:jc w:val="both"/>
    </w:pPr>
  </w:style>
  <w:style w:customStyle="1" w:styleId="point2" w:type="paragraph">
    <w:name w:val="point(2)"/>
    <w:basedOn w:val="Normal"/>
    <w:rsid w:val="00CD5176"/>
    <w:pPr>
      <w:tabs>
        <w:tab w:pos="470" w:val="left"/>
        <w:tab w:pos="1118" w:val="left"/>
        <w:tab w:pos="1766" w:val="left"/>
        <w:tab w:pos="2414" w:val="left"/>
        <w:tab w:pos="2610" w:val="left"/>
        <w:tab w:pos="3062" w:val="left"/>
        <w:tab w:pos="3710" w:val="left"/>
        <w:tab w:pos="4096" w:val="left"/>
        <w:tab w:pos="4358" w:val="left"/>
        <w:tab w:pos="5006" w:val="left"/>
        <w:tab w:pos="5654" w:val="left"/>
        <w:tab w:pos="6302" w:val="left"/>
        <w:tab w:pos="6950" w:val="left"/>
        <w:tab w:pos="7598" w:val="left"/>
      </w:tabs>
      <w:spacing w:after="224"/>
      <w:ind w:left="470"/>
      <w:jc w:val="both"/>
    </w:pPr>
  </w:style>
  <w:style w:customStyle="1" w:styleId="listenum2" w:type="paragraph">
    <w:name w:val="liste num.(2)"/>
    <w:basedOn w:val="Normal"/>
    <w:rsid w:val="00CD5176"/>
    <w:pPr>
      <w:tabs>
        <w:tab w:pos="298" w:val="left"/>
        <w:tab w:pos="946" w:val="left"/>
        <w:tab w:pos="1594" w:val="left"/>
        <w:tab w:pos="2242" w:val="left"/>
        <w:tab w:pos="2890" w:val="left"/>
        <w:tab w:pos="3085" w:val="left"/>
        <w:tab w:pos="3538" w:val="left"/>
        <w:tab w:pos="4186" w:val="left"/>
        <w:tab w:pos="4572" w:val="left"/>
        <w:tab w:pos="4834" w:val="left"/>
        <w:tab w:pos="5482" w:val="left"/>
        <w:tab w:pos="6130" w:val="left"/>
        <w:tab w:pos="6778" w:val="left"/>
        <w:tab w:pos="7426" w:val="left"/>
        <w:tab w:pos="8074" w:val="left"/>
      </w:tabs>
      <w:spacing w:after="224"/>
      <w:ind w:left="296"/>
      <w:jc w:val="both"/>
    </w:pPr>
  </w:style>
  <w:style w:customStyle="1" w:styleId="2col2" w:type="paragraph">
    <w:name w:val="2 col(2)"/>
    <w:basedOn w:val="Normal"/>
    <w:rsid w:val="00CD5176"/>
    <w:pPr>
      <w:tabs>
        <w:tab w:pos="226" w:val="left"/>
        <w:tab w:pos="612" w:val="left"/>
        <w:tab w:pos="874" w:val="left"/>
        <w:tab w:pos="1522" w:val="left"/>
        <w:tab w:pos="2170" w:val="left"/>
        <w:tab w:pos="2818" w:val="left"/>
        <w:tab w:pos="3466" w:val="left"/>
        <w:tab w:pos="4114" w:val="left"/>
      </w:tabs>
      <w:spacing w:after="224"/>
      <w:ind w:left="226"/>
    </w:pPr>
  </w:style>
  <w:style w:customStyle="1" w:styleId="titre" w:type="paragraph">
    <w:name w:val="titre"/>
    <w:basedOn w:val="Normal"/>
    <w:rsid w:val="00CD5176"/>
    <w:pPr>
      <w:tabs>
        <w:tab w:pos="646" w:val="left"/>
        <w:tab w:pos="1294" w:val="left"/>
        <w:tab w:pos="1942" w:val="left"/>
        <w:tab w:pos="2590" w:val="left"/>
        <w:tab w:pos="3238" w:val="left"/>
        <w:tab w:pos="3435" w:val="left"/>
        <w:tab w:pos="3886" w:val="left"/>
        <w:tab w:pos="4534" w:val="left"/>
        <w:tab w:pos="4921" w:val="left"/>
        <w:tab w:pos="5182" w:val="left"/>
        <w:tab w:pos="5830" w:val="left"/>
        <w:tab w:pos="6478" w:val="left"/>
        <w:tab w:pos="7126" w:val="left"/>
        <w:tab w:pos="7774" w:val="left"/>
        <w:tab w:pos="8422" w:val="left"/>
      </w:tabs>
      <w:spacing w:after="224"/>
      <w:jc w:val="center"/>
    </w:pPr>
    <w:rPr>
      <w:b/>
      <w:bCs/>
      <w:sz w:val="28"/>
      <w:szCs w:val="28"/>
    </w:rPr>
  </w:style>
  <w:style w:customStyle="1" w:styleId="sous-titre" w:type="paragraph">
    <w:name w:val="sous-titre"/>
    <w:basedOn w:val="Normal"/>
    <w:rsid w:val="00CD5176"/>
    <w:pPr>
      <w:tabs>
        <w:tab w:pos="646" w:val="left"/>
        <w:tab w:pos="1294" w:val="left"/>
        <w:tab w:pos="1942" w:val="left"/>
        <w:tab w:pos="2590" w:val="left"/>
        <w:tab w:pos="3238" w:val="left"/>
        <w:tab w:pos="3435" w:val="left"/>
        <w:tab w:pos="3886" w:val="left"/>
        <w:tab w:pos="4534" w:val="left"/>
        <w:tab w:pos="4921" w:val="left"/>
        <w:tab w:pos="5182" w:val="left"/>
        <w:tab w:pos="5830" w:val="left"/>
        <w:tab w:pos="6478" w:val="left"/>
        <w:tab w:pos="7126" w:val="left"/>
        <w:tab w:pos="7774" w:val="left"/>
        <w:tab w:pos="8422" w:val="left"/>
      </w:tabs>
      <w:spacing w:after="224"/>
      <w:jc w:val="both"/>
    </w:pPr>
    <w:rPr>
      <w:rFonts w:ascii="Helvetica" w:cs="Helvetica" w:hAnsi="Helvetica"/>
      <w:b/>
      <w:bCs/>
    </w:rPr>
  </w:style>
  <w:style w:styleId="Titre0" w:type="paragraph">
    <w:name w:val="Title"/>
    <w:basedOn w:val="Normal"/>
    <w:next w:val="Normal"/>
    <w:link w:val="TitreCar"/>
    <w:qFormat/>
    <w:rsid w:val="00DC7D7E"/>
    <w:rPr>
      <w:rFonts w:ascii="Times New Roman" w:cs="Times New Roman" w:hAnsi="Times New Roman"/>
      <w:color w:val="auto"/>
    </w:rPr>
  </w:style>
  <w:style w:customStyle="1" w:styleId="TitreCar" w:type="character">
    <w:name w:val="Titre Car"/>
    <w:basedOn w:val="Policepardfaut"/>
    <w:link w:val="Titre0"/>
    <w:rsid w:val="00DC7D7E"/>
    <w:rPr>
      <w:sz w:val="24"/>
      <w:szCs w:val="24"/>
    </w:rPr>
  </w:style>
  <w:style w:customStyle="1" w:styleId="simple" w:type="paragraph">
    <w:name w:val="simple"/>
    <w:basedOn w:val="Normal"/>
    <w:rsid w:val="00DC7D7E"/>
    <w:pPr>
      <w:spacing w:after="224"/>
    </w:pPr>
    <w:rPr>
      <w:rFonts w:cs="Times New Roman"/>
    </w:rPr>
  </w:style>
  <w:style w:styleId="Corpsdetexte" w:type="paragraph">
    <w:name w:val="Body Text"/>
    <w:basedOn w:val="Normal"/>
    <w:link w:val="CorpsdetexteCar"/>
    <w:rsid w:val="00E663A8"/>
    <w:pPr>
      <w:widowControl/>
      <w:jc w:val="both"/>
    </w:pPr>
    <w:rPr>
      <w:rFonts w:ascii="Times New Roman" w:hAnsi="Times New Roman"/>
    </w:rPr>
  </w:style>
  <w:style w:customStyle="1" w:styleId="CorpsdetexteCar" w:type="character">
    <w:name w:val="Corps de texte Car"/>
    <w:basedOn w:val="Policepardfaut"/>
    <w:link w:val="Corpsdetexte"/>
    <w:rsid w:val="00E663A8"/>
    <w:rPr>
      <w:rFonts w:cs="Times"/>
      <w:noProof/>
      <w:color w:val="000000"/>
      <w:sz w:val="24"/>
      <w:szCs w:val="24"/>
    </w:rPr>
  </w:style>
  <w:style w:styleId="Marquedecommentaire" w:type="character">
    <w:name w:val="annotation reference"/>
    <w:basedOn w:val="Policepardfaut"/>
    <w:uiPriority w:val="99"/>
    <w:semiHidden/>
    <w:unhideWhenUsed/>
    <w:rsid w:val="003B6243"/>
    <w:rPr>
      <w:sz w:val="16"/>
      <w:szCs w:val="16"/>
    </w:rPr>
  </w:style>
  <w:style w:styleId="Commentaire" w:type="paragraph">
    <w:name w:val="annotation text"/>
    <w:basedOn w:val="Normal"/>
    <w:link w:val="CommentaireCar"/>
    <w:uiPriority w:val="99"/>
    <w:semiHidden/>
    <w:unhideWhenUsed/>
    <w:rsid w:val="003B6243"/>
    <w:rPr>
      <w:sz w:val="20"/>
      <w:szCs w:val="20"/>
    </w:rPr>
  </w:style>
  <w:style w:customStyle="1" w:styleId="CommentaireCar" w:type="character">
    <w:name w:val="Commentaire Car"/>
    <w:basedOn w:val="Policepardfaut"/>
    <w:link w:val="Commentaire"/>
    <w:uiPriority w:val="99"/>
    <w:semiHidden/>
    <w:rsid w:val="003B6243"/>
    <w:rPr>
      <w:rFonts w:ascii="Times" w:cs="Times" w:hAnsi="Times"/>
      <w:noProof/>
      <w:color w:val="000000"/>
      <w:sz w:val="20"/>
      <w:szCs w:val="20"/>
    </w:rPr>
  </w:style>
  <w:style w:styleId="Objetducommentaire" w:type="paragraph">
    <w:name w:val="annotation subject"/>
    <w:basedOn w:val="Commentaire"/>
    <w:next w:val="Commentaire"/>
    <w:link w:val="ObjetducommentaireCar"/>
    <w:uiPriority w:val="99"/>
    <w:semiHidden/>
    <w:unhideWhenUsed/>
    <w:rsid w:val="003B6243"/>
    <w:rPr>
      <w:b/>
      <w:bCs/>
    </w:rPr>
  </w:style>
  <w:style w:customStyle="1" w:styleId="ObjetducommentaireCar" w:type="character">
    <w:name w:val="Objet du commentaire Car"/>
    <w:basedOn w:val="CommentaireCar"/>
    <w:link w:val="Objetducommentaire"/>
    <w:uiPriority w:val="99"/>
    <w:semiHidden/>
    <w:rsid w:val="003B6243"/>
    <w:rPr>
      <w:rFonts w:ascii="Times" w:cs="Times" w:hAnsi="Times"/>
      <w:b/>
      <w:bCs/>
      <w:noProof/>
      <w:color w:val="000000"/>
      <w:sz w:val="20"/>
      <w:szCs w:val="20"/>
    </w:rPr>
  </w:style>
  <w:style w:styleId="NormalWeb" w:type="paragraph">
    <w:name w:val="Normal (Web)"/>
    <w:basedOn w:val="Normal"/>
    <w:uiPriority w:val="99"/>
    <w:semiHidden/>
    <w:unhideWhenUsed/>
    <w:rsid w:val="0043305B"/>
    <w:pPr>
      <w:widowControl/>
      <w:autoSpaceDE/>
      <w:autoSpaceDN/>
      <w:adjustRightInd/>
      <w:spacing w:after="100" w:afterAutospacing="1" w:before="100" w:beforeAutospacing="1"/>
    </w:pPr>
    <w:rPr>
      <w:rFonts w:ascii="Times New Roman" w:cs="Times New Roman" w:hAnsi="Times New Roman"/>
      <w:color w:val="auto"/>
    </w:rPr>
  </w:style>
  <w:style w:styleId="Lienhypertexte" w:type="character">
    <w:name w:val="Hyperlink"/>
    <w:basedOn w:val="Policepardfaut"/>
    <w:uiPriority w:val="99"/>
    <w:semiHidden/>
    <w:unhideWhenUsed/>
    <w:rsid w:val="009B281C"/>
    <w:rPr>
      <w:color w:val="0000FF"/>
      <w:u w:val="single"/>
    </w:rPr>
  </w:style>
  <w:style w:customStyle="1" w:styleId="hgkelc" w:type="character">
    <w:name w:val="hgkelc"/>
    <w:basedOn w:val="Policepardfaut"/>
    <w:rsid w:val="009B281C"/>
  </w:style>
  <w:style w:styleId="Rvision" w:type="paragraph">
    <w:name w:val="Revision"/>
    <w:hidden/>
    <w:uiPriority w:val="99"/>
    <w:semiHidden/>
    <w:rsid w:val="003B4DB0"/>
    <w:pPr>
      <w:spacing w:after="0" w:line="240" w:lineRule="auto"/>
    </w:pPr>
    <w:rPr>
      <w:rFonts w:ascii="Times" w:cs="Times" w:hAnsi="Time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495">
      <w:bodyDiv w:val="1"/>
      <w:marLeft w:val="0"/>
      <w:marRight w:val="0"/>
      <w:marTop w:val="0"/>
      <w:marBottom w:val="0"/>
      <w:divBdr>
        <w:top w:val="none" w:sz="0" w:space="0" w:color="auto"/>
        <w:left w:val="none" w:sz="0" w:space="0" w:color="auto"/>
        <w:bottom w:val="none" w:sz="0" w:space="0" w:color="auto"/>
        <w:right w:val="none" w:sz="0" w:space="0" w:color="auto"/>
      </w:divBdr>
    </w:div>
    <w:div w:id="324431142">
      <w:bodyDiv w:val="1"/>
      <w:marLeft w:val="0"/>
      <w:marRight w:val="0"/>
      <w:marTop w:val="0"/>
      <w:marBottom w:val="0"/>
      <w:divBdr>
        <w:top w:val="none" w:sz="0" w:space="0" w:color="auto"/>
        <w:left w:val="none" w:sz="0" w:space="0" w:color="auto"/>
        <w:bottom w:val="none" w:sz="0" w:space="0" w:color="auto"/>
        <w:right w:val="none" w:sz="0" w:space="0" w:color="auto"/>
      </w:divBdr>
    </w:div>
    <w:div w:id="652371880">
      <w:bodyDiv w:val="1"/>
      <w:marLeft w:val="0"/>
      <w:marRight w:val="0"/>
      <w:marTop w:val="0"/>
      <w:marBottom w:val="0"/>
      <w:divBdr>
        <w:top w:val="none" w:sz="0" w:space="0" w:color="auto"/>
        <w:left w:val="none" w:sz="0" w:space="0" w:color="auto"/>
        <w:bottom w:val="none" w:sz="0" w:space="0" w:color="auto"/>
        <w:right w:val="none" w:sz="0" w:space="0" w:color="auto"/>
      </w:divBdr>
    </w:div>
    <w:div w:id="1635283289">
      <w:bodyDiv w:val="1"/>
      <w:marLeft w:val="0"/>
      <w:marRight w:val="0"/>
      <w:marTop w:val="0"/>
      <w:marBottom w:val="0"/>
      <w:divBdr>
        <w:top w:val="none" w:sz="0" w:space="0" w:color="auto"/>
        <w:left w:val="none" w:sz="0" w:space="0" w:color="auto"/>
        <w:bottom w:val="none" w:sz="0" w:space="0" w:color="auto"/>
        <w:right w:val="none" w:sz="0" w:space="0" w:color="auto"/>
      </w:divBdr>
      <w:divsChild>
        <w:div w:id="779909331">
          <w:marLeft w:val="0"/>
          <w:marRight w:val="0"/>
          <w:marTop w:val="0"/>
          <w:marBottom w:val="0"/>
          <w:divBdr>
            <w:top w:val="none" w:sz="0" w:space="0" w:color="auto"/>
            <w:left w:val="none" w:sz="0" w:space="0" w:color="auto"/>
            <w:bottom w:val="none" w:sz="0" w:space="0" w:color="auto"/>
            <w:right w:val="none" w:sz="0" w:space="0" w:color="auto"/>
          </w:divBdr>
          <w:divsChild>
            <w:div w:id="1751806601">
              <w:marLeft w:val="0"/>
              <w:marRight w:val="0"/>
              <w:marTop w:val="0"/>
              <w:marBottom w:val="0"/>
              <w:divBdr>
                <w:top w:val="none" w:sz="0" w:space="0" w:color="auto"/>
                <w:left w:val="none" w:sz="0" w:space="0" w:color="auto"/>
                <w:bottom w:val="none" w:sz="0" w:space="0" w:color="auto"/>
                <w:right w:val="none" w:sz="0" w:space="0" w:color="auto"/>
              </w:divBdr>
              <w:divsChild>
                <w:div w:id="352416021">
                  <w:marLeft w:val="0"/>
                  <w:marRight w:val="0"/>
                  <w:marTop w:val="0"/>
                  <w:marBottom w:val="0"/>
                  <w:divBdr>
                    <w:top w:val="none" w:sz="0" w:space="0" w:color="auto"/>
                    <w:left w:val="none" w:sz="0" w:space="0" w:color="auto"/>
                    <w:bottom w:val="none" w:sz="0" w:space="0" w:color="auto"/>
                    <w:right w:val="none" w:sz="0" w:space="0" w:color="auto"/>
                  </w:divBdr>
                  <w:divsChild>
                    <w:div w:id="16927042">
                      <w:marLeft w:val="0"/>
                      <w:marRight w:val="0"/>
                      <w:marTop w:val="0"/>
                      <w:marBottom w:val="0"/>
                      <w:divBdr>
                        <w:top w:val="none" w:sz="0" w:space="0" w:color="auto"/>
                        <w:left w:val="none" w:sz="0" w:space="0" w:color="auto"/>
                        <w:bottom w:val="none" w:sz="0" w:space="0" w:color="auto"/>
                        <w:right w:val="none" w:sz="0" w:space="0" w:color="auto"/>
                      </w:divBdr>
                      <w:divsChild>
                        <w:div w:id="1508669265">
                          <w:marLeft w:val="0"/>
                          <w:marRight w:val="0"/>
                          <w:marTop w:val="0"/>
                          <w:marBottom w:val="0"/>
                          <w:divBdr>
                            <w:top w:val="none" w:sz="0" w:space="0" w:color="auto"/>
                            <w:left w:val="none" w:sz="0" w:space="0" w:color="auto"/>
                            <w:bottom w:val="none" w:sz="0" w:space="0" w:color="auto"/>
                            <w:right w:val="none" w:sz="0" w:space="0" w:color="auto"/>
                          </w:divBdr>
                          <w:divsChild>
                            <w:div w:id="935674720">
                              <w:marLeft w:val="0"/>
                              <w:marRight w:val="0"/>
                              <w:marTop w:val="0"/>
                              <w:marBottom w:val="0"/>
                              <w:divBdr>
                                <w:top w:val="none" w:sz="0" w:space="0" w:color="auto"/>
                                <w:left w:val="none" w:sz="0" w:space="0" w:color="auto"/>
                                <w:bottom w:val="none" w:sz="0" w:space="0" w:color="auto"/>
                                <w:right w:val="none" w:sz="0" w:space="0" w:color="auto"/>
                              </w:divBdr>
                              <w:divsChild>
                                <w:div w:id="1441025888">
                                  <w:marLeft w:val="0"/>
                                  <w:marRight w:val="0"/>
                                  <w:marTop w:val="0"/>
                                  <w:marBottom w:val="0"/>
                                  <w:divBdr>
                                    <w:top w:val="none" w:sz="0" w:space="0" w:color="auto"/>
                                    <w:left w:val="none" w:sz="0" w:space="0" w:color="auto"/>
                                    <w:bottom w:val="none" w:sz="0" w:space="0" w:color="auto"/>
                                    <w:right w:val="none" w:sz="0" w:space="0" w:color="auto"/>
                                  </w:divBdr>
                                  <w:divsChild>
                                    <w:div w:id="5227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133585">
          <w:marLeft w:val="0"/>
          <w:marRight w:val="0"/>
          <w:marTop w:val="0"/>
          <w:marBottom w:val="0"/>
          <w:divBdr>
            <w:top w:val="none" w:sz="0" w:space="0" w:color="auto"/>
            <w:left w:val="none" w:sz="0" w:space="0" w:color="auto"/>
            <w:bottom w:val="none" w:sz="0" w:space="0" w:color="auto"/>
            <w:right w:val="none" w:sz="0" w:space="0" w:color="auto"/>
          </w:divBdr>
          <w:divsChild>
            <w:div w:id="232354878">
              <w:marLeft w:val="0"/>
              <w:marRight w:val="0"/>
              <w:marTop w:val="0"/>
              <w:marBottom w:val="0"/>
              <w:divBdr>
                <w:top w:val="none" w:sz="0" w:space="0" w:color="auto"/>
                <w:left w:val="none" w:sz="0" w:space="0" w:color="auto"/>
                <w:bottom w:val="none" w:sz="0" w:space="0" w:color="auto"/>
                <w:right w:val="none" w:sz="0" w:space="0" w:color="auto"/>
              </w:divBdr>
              <w:divsChild>
                <w:div w:id="1538733794">
                  <w:marLeft w:val="0"/>
                  <w:marRight w:val="0"/>
                  <w:marTop w:val="0"/>
                  <w:marBottom w:val="0"/>
                  <w:divBdr>
                    <w:top w:val="none" w:sz="0" w:space="0" w:color="auto"/>
                    <w:left w:val="none" w:sz="0" w:space="0" w:color="auto"/>
                    <w:bottom w:val="none" w:sz="0" w:space="0" w:color="auto"/>
                    <w:right w:val="none" w:sz="0" w:space="0" w:color="auto"/>
                  </w:divBdr>
                  <w:divsChild>
                    <w:div w:id="2124227659">
                      <w:marLeft w:val="0"/>
                      <w:marRight w:val="0"/>
                      <w:marTop w:val="0"/>
                      <w:marBottom w:val="0"/>
                      <w:divBdr>
                        <w:top w:val="none" w:sz="0" w:space="0" w:color="auto"/>
                        <w:left w:val="none" w:sz="0" w:space="0" w:color="auto"/>
                        <w:bottom w:val="none" w:sz="0" w:space="0" w:color="auto"/>
                        <w:right w:val="none" w:sz="0" w:space="0" w:color="auto"/>
                      </w:divBdr>
                      <w:divsChild>
                        <w:div w:id="15433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816181">
      <w:bodyDiv w:val="1"/>
      <w:marLeft w:val="0"/>
      <w:marRight w:val="0"/>
      <w:marTop w:val="0"/>
      <w:marBottom w:val="0"/>
      <w:divBdr>
        <w:top w:val="none" w:sz="0" w:space="0" w:color="auto"/>
        <w:left w:val="none" w:sz="0" w:space="0" w:color="auto"/>
        <w:bottom w:val="none" w:sz="0" w:space="0" w:color="auto"/>
        <w:right w:val="none" w:sz="0" w:space="0" w:color="auto"/>
      </w:divBdr>
    </w:div>
    <w:div w:id="214539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terres inovia">
      <a:dk1>
        <a:srgbClr val="639027"/>
      </a:dk1>
      <a:lt1>
        <a:sysClr val="window" lastClr="FFFFFF"/>
      </a:lt1>
      <a:dk2>
        <a:srgbClr val="6E1415"/>
      </a:dk2>
      <a:lt2>
        <a:srgbClr val="EEECE1"/>
      </a:lt2>
      <a:accent1>
        <a:srgbClr val="73B310"/>
      </a:accent1>
      <a:accent2>
        <a:srgbClr val="53721A"/>
      </a:accent2>
      <a:accent3>
        <a:srgbClr val="639027"/>
      </a:accent3>
      <a:accent4>
        <a:srgbClr val="EFA500"/>
      </a:accent4>
      <a:accent5>
        <a:srgbClr val="CDD63E"/>
      </a:accent5>
      <a:accent6>
        <a:srgbClr val="FFCC00"/>
      </a:accent6>
      <a:hlink>
        <a:srgbClr val="366092"/>
      </a:hlink>
      <a:folHlink>
        <a:srgbClr val="5F006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45F21-DAC5-4E1A-A515-401A6BEA5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1442</Words>
  <Characters>7980</Characters>
  <Application>Microsoft Office Word</Application>
  <DocSecurity>0</DocSecurity>
  <Lines>66</Lines>
  <Paragraphs>18</Paragraphs>
  <ScaleCrop>false</ScaleCrop>
  <HeadingPairs>
    <vt:vector baseType="variant" size="2">
      <vt:variant>
        <vt:lpstr>Titre</vt:lpstr>
      </vt:variant>
      <vt:variant>
        <vt:i4>1</vt:i4>
      </vt:variant>
    </vt:vector>
  </HeadingPairs>
  <TitlesOfParts>
    <vt:vector baseType="lpstr" size="1">
      <vt:lpstr>ax21048w.aw</vt:lpstr>
    </vt:vector>
  </TitlesOfParts>
  <Company>Cetiom</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2023-03-21T14:36:00Z</dcterms:created>
  <dc:description>Created by ApplixWare Release 4.42 (build 1021.544.260) #17  RTF Export Filter</dc:description>
  <cp:lastPrinted>2023-03-14T10:50:00Z</cp:lastPrinted>
  <dcterms:modified xsi:type="dcterms:W3CDTF">2023-03-22T14:42:00Z</dcterms:modified>
  <cp:revision>3</cp:revision>
  <dc:title>ax21048w.aw</dc:title>
</cp:coreProperties>
</file>