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omTo"/>
        <w:numPr>
          <w:ilvl w:val="0"/>
          <w:numId w:val="0"/>
        </w:numPr>
        <w:rPr>
          <w:rFonts w:ascii="Vinci Sans;Times New Roman" w:hAnsi="Vinci Sans;Times New Roman" w:cs="Arial"/>
        </w:rPr>
      </w:pPr>
      <w:r>
        <w:rPr>
          <w:rFonts w:cs="Arial" w:ascii="Vinci Sans;Times New Roman" w:hAnsi="Vinci Sans;Times New Roman"/>
        </w:rPr>
      </w:r>
    </w:p>
    <w:tbl>
      <w:tblPr>
        <w:tblW w:w="9393" w:type="dxa"/>
        <w:jc w:val="left"/>
        <w:tblInd w:w="-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0" w:type="dxa"/>
          <w:left w:w="-2" w:type="dxa"/>
          <w:bottom w:w="0" w:type="dxa"/>
          <w:right w:w="0" w:type="dxa"/>
        </w:tblCellMar>
      </w:tblPr>
      <w:tblGrid>
        <w:gridCol w:w="9393"/>
      </w:tblGrid>
      <w:tr>
        <w:trPr>
          <w:trHeight w:val="335" w:hRule="exact"/>
          <w:cantSplit w:val="true"/>
        </w:trPr>
        <w:tc>
          <w:tcPr>
            <w:tcW w:w="9393"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auto" w:val="clear"/>
            <w:tcMar>
              <w:left w:w="-2" w:type="dxa"/>
            </w:tcMar>
          </w:tcPr>
          <w:p>
            <w:pPr>
              <w:pStyle w:val="End"/>
              <w:snapToGrid w:val="false"/>
              <w:rPr>
                <w:rFonts w:cs="Arial"/>
              </w:rPr>
            </w:pPr>
            <w:r>
              <w:rPr>
                <w:rFonts w:cs="Arial"/>
              </w:rPr>
            </w:r>
          </w:p>
        </w:tc>
      </w:tr>
    </w:tbl>
    <w:p>
      <w:pPr>
        <w:pStyle w:val="Normal"/>
        <w:pBdr>
          <w:top w:val="thickThinSmallGap" w:sz="24" w:space="1" w:color="000000"/>
          <w:left w:val="thickThinSmallGap" w:sz="24" w:space="4" w:color="000000"/>
          <w:bottom w:val="thickThinSmallGap" w:sz="24" w:space="1" w:color="000000"/>
          <w:right w:val="thickThinSmallGap" w:sz="24" w:space="4" w:color="000000"/>
        </w:pBdr>
        <w:jc w:val="center"/>
        <w:rPr>
          <w:rFonts w:cs="Arial"/>
          <w:b/>
          <w:b/>
          <w:sz w:val="28"/>
        </w:rPr>
      </w:pPr>
      <w:r>
        <w:rPr>
          <w:rFonts w:cs="Arial"/>
          <w:b/>
          <w:sz w:val="28"/>
        </w:rPr>
      </w:r>
    </w:p>
    <w:p>
      <w:pPr>
        <w:pStyle w:val="Normal"/>
        <w:pBdr>
          <w:top w:val="thickThinSmallGap" w:sz="24" w:space="1" w:color="000000"/>
          <w:left w:val="thickThinSmallGap" w:sz="24" w:space="4" w:color="000000"/>
          <w:bottom w:val="thickThinSmallGap" w:sz="24" w:space="1" w:color="000000"/>
          <w:right w:val="thickThinSmallGap" w:sz="24" w:space="4" w:color="000000"/>
        </w:pBdr>
        <w:jc w:val="center"/>
        <w:rPr>
          <w:rFonts w:cs="Arial"/>
          <w:b/>
          <w:b/>
          <w:sz w:val="32"/>
          <w:szCs w:val="32"/>
        </w:rPr>
      </w:pPr>
      <w:r>
        <w:rPr>
          <w:rFonts w:cs="Arial"/>
          <w:b/>
          <w:sz w:val="32"/>
          <w:szCs w:val="32"/>
        </w:rPr>
        <w:t>PROCES-VERBAL D’ACCORD</w:t>
      </w:r>
    </w:p>
    <w:p>
      <w:pPr>
        <w:pStyle w:val="Normal"/>
        <w:pBdr>
          <w:top w:val="thickThinSmallGap" w:sz="24" w:space="1" w:color="000000"/>
          <w:left w:val="thickThinSmallGap" w:sz="24" w:space="4" w:color="000000"/>
          <w:bottom w:val="thickThinSmallGap" w:sz="24" w:space="1" w:color="000000"/>
          <w:right w:val="thickThinSmallGap" w:sz="24" w:space="4" w:color="000000"/>
        </w:pBdr>
        <w:jc w:val="center"/>
        <w:rPr>
          <w:rFonts w:cs="Arial"/>
          <w:b/>
          <w:b/>
          <w:sz w:val="32"/>
          <w:szCs w:val="32"/>
        </w:rPr>
      </w:pPr>
      <w:r>
        <w:rPr>
          <w:rFonts w:cs="Arial"/>
          <w:b/>
          <w:sz w:val="32"/>
          <w:szCs w:val="32"/>
        </w:rPr>
        <w:t>NEGOCIATIONS ANNUELLES OBLIGATOIRES 2022</w:t>
      </w:r>
    </w:p>
    <w:p>
      <w:pPr>
        <w:pStyle w:val="Normal"/>
        <w:pBdr>
          <w:top w:val="thickThinSmallGap" w:sz="24" w:space="1" w:color="000000"/>
          <w:left w:val="thickThinSmallGap" w:sz="24" w:space="4" w:color="000000"/>
          <w:bottom w:val="thickThinSmallGap" w:sz="24" w:space="1" w:color="000000"/>
          <w:right w:val="thickThinSmallGap" w:sz="24" w:space="4" w:color="000000"/>
        </w:pBdr>
        <w:rPr>
          <w:rFonts w:cs="Arial"/>
          <w:b/>
          <w:b/>
          <w:sz w:val="28"/>
          <w:szCs w:val="32"/>
        </w:rPr>
      </w:pPr>
      <w:r>
        <w:rPr>
          <w:rFonts w:cs="Arial"/>
          <w:b/>
          <w:sz w:val="28"/>
          <w:szCs w:val="32"/>
        </w:rPr>
      </w:r>
    </w:p>
    <w:p>
      <w:pPr>
        <w:pStyle w:val="Normal"/>
        <w:jc w:val="both"/>
        <w:rPr>
          <w:rFonts w:cs="Arial"/>
          <w:b/>
          <w:b/>
          <w:sz w:val="24"/>
        </w:rPr>
      </w:pPr>
      <w:r>
        <w:rPr>
          <w:rFonts w:cs="Arial"/>
          <w:b/>
          <w:sz w:val="24"/>
        </w:rPr>
      </w:r>
    </w:p>
    <w:p>
      <w:pPr>
        <w:pStyle w:val="Normal"/>
        <w:jc w:val="both"/>
        <w:rPr>
          <w:rFonts w:cs="Arial"/>
          <w:sz w:val="24"/>
        </w:rPr>
      </w:pPr>
      <w:r>
        <w:rPr>
          <w:rFonts w:cs="Arial"/>
          <w:sz w:val="24"/>
        </w:rPr>
      </w:r>
    </w:p>
    <w:p>
      <w:pPr>
        <w:pStyle w:val="TextBody"/>
        <w:rPr>
          <w:rFonts w:ascii="Vinci Sans;Times New Roman" w:hAnsi="Vinci Sans;Times New Roman" w:cs="Arial"/>
          <w:iCs/>
          <w:sz w:val="22"/>
          <w:szCs w:val="22"/>
        </w:rPr>
      </w:pPr>
      <w:r>
        <w:rPr>
          <w:rFonts w:cs="Arial" w:ascii="Vinci Sans;Times New Roman" w:hAnsi="Vinci Sans;Times New Roman"/>
          <w:sz w:val="22"/>
          <w:szCs w:val="22"/>
        </w:rPr>
        <w:t>La Direction de la société SOGEA NORD OUEST, représentée par xxx, et les partenaires sociaux, représentés par Messieurs xxx (Délégué syndical CFDT), et xxxx (Délégué Syndical CGT) se sont rencontrés dans le cadre des négociations annuelles obligatoires</w:t>
      </w:r>
      <w:r>
        <w:rPr>
          <w:rFonts w:cs="Arial" w:ascii="Vinci Sans;Times New Roman" w:hAnsi="Vinci Sans;Times New Roman"/>
          <w:i/>
          <w:sz w:val="22"/>
          <w:szCs w:val="22"/>
        </w:rPr>
        <w:t xml:space="preserve"> </w:t>
      </w:r>
      <w:r>
        <w:rPr>
          <w:rFonts w:cs="Arial" w:ascii="Vinci Sans;Times New Roman" w:hAnsi="Vinci Sans;Times New Roman"/>
          <w:iCs/>
          <w:sz w:val="22"/>
          <w:szCs w:val="22"/>
        </w:rPr>
        <w:t>(NAO) telles que prévues à l’article L 2242-8 et suivants du Code du travail.</w:t>
      </w:r>
    </w:p>
    <w:p>
      <w:pPr>
        <w:pStyle w:val="TextBody"/>
        <w:rPr>
          <w:rFonts w:ascii="Vinci Sans;Times New Roman" w:hAnsi="Vinci Sans;Times New Roman" w:cs="Arial"/>
          <w:iCs/>
          <w:sz w:val="22"/>
          <w:szCs w:val="22"/>
        </w:rPr>
      </w:pPr>
      <w:r>
        <w:rPr>
          <w:rFonts w:cs="Arial" w:ascii="Vinci Sans;Times New Roman" w:hAnsi="Vinci Sans;Times New Roman"/>
          <w:iCs/>
          <w:sz w:val="22"/>
          <w:szCs w:val="22"/>
        </w:rPr>
      </w:r>
    </w:p>
    <w:p>
      <w:pPr>
        <w:pStyle w:val="TextBody"/>
        <w:rPr>
          <w:rFonts w:ascii="Vinci Sans;Times New Roman" w:hAnsi="Vinci Sans;Times New Roman" w:cs="Arial"/>
          <w:iCs/>
          <w:sz w:val="22"/>
          <w:szCs w:val="22"/>
        </w:rPr>
      </w:pPr>
      <w:r>
        <w:rPr>
          <w:rFonts w:cs="Arial" w:ascii="Vinci Sans;Times New Roman" w:hAnsi="Vinci Sans;Times New Roman"/>
          <w:iCs/>
          <w:sz w:val="22"/>
          <w:szCs w:val="22"/>
        </w:rPr>
        <w:t>Le calendrier de négociation, défini le 6 janvier 2022, a notamment porté sur les augmentations de salaire, accessoires de salaire, les indemnités de déplacement.</w:t>
      </w:r>
    </w:p>
    <w:p>
      <w:pPr>
        <w:pStyle w:val="TextBody"/>
        <w:rPr>
          <w:rFonts w:ascii="Vinci Sans;Times New Roman" w:hAnsi="Vinci Sans;Times New Roman" w:cs="Arial"/>
          <w:iCs/>
          <w:sz w:val="22"/>
          <w:szCs w:val="22"/>
        </w:rPr>
      </w:pPr>
      <w:r>
        <w:rPr>
          <w:rFonts w:cs="Arial" w:ascii="Vinci Sans;Times New Roman" w:hAnsi="Vinci Sans;Times New Roman"/>
          <w:iCs/>
          <w:sz w:val="22"/>
          <w:szCs w:val="22"/>
        </w:rPr>
      </w:r>
    </w:p>
    <w:p>
      <w:pPr>
        <w:pStyle w:val="Paragraphedeliste"/>
        <w:ind w:left="0" w:hanging="0"/>
        <w:rPr/>
      </w:pPr>
      <w:r>
        <w:rPr>
          <w:rFonts w:cs="Vinci Sans;Times New Roman" w:ascii="Vinci Sans;Times New Roman" w:hAnsi="Vinci Sans;Times New Roman"/>
        </w:rPr>
        <w:t xml:space="preserve">Dans la mesure où l’entreprise est déjà couverte par un accord d’entreprise sur l’aménagement du temps de travail ainsi que par des accords de Groupe concernant l’épargne salariale et la retraite supplémentaire, les parties conviennent que ces sujets ne seront pas évoqués dans le cadre de cette négociation annuelle. </w:t>
      </w:r>
    </w:p>
    <w:p>
      <w:pPr>
        <w:pStyle w:val="Paragraphedeliste"/>
        <w:ind w:left="0" w:hanging="0"/>
        <w:rPr>
          <w:rFonts w:ascii="Vinci Sans;Times New Roman" w:hAnsi="Vinci Sans;Times New Roman" w:cs="Vinci Sans;Times New Roman"/>
        </w:rPr>
      </w:pPr>
      <w:r>
        <w:rPr>
          <w:rFonts w:cs="Vinci Sans;Times New Roman" w:ascii="Vinci Sans;Times New Roman" w:hAnsi="Vinci Sans;Times New Roman"/>
        </w:rPr>
      </w:r>
    </w:p>
    <w:p>
      <w:pPr>
        <w:pStyle w:val="Paragraphedeliste"/>
        <w:ind w:left="0" w:hanging="0"/>
        <w:rPr>
          <w:rFonts w:ascii="Vinci Sans;Times New Roman" w:hAnsi="Vinci Sans;Times New Roman" w:cs="Vinci Sans;Times New Roman"/>
        </w:rPr>
      </w:pPr>
      <w:r>
        <w:rPr>
          <w:rFonts w:cs="Vinci Sans;Times New Roman" w:ascii="Vinci Sans;Times New Roman" w:hAnsi="Vinci Sans;Times New Roman"/>
        </w:rPr>
        <w:t xml:space="preserve">Concernant l’intéressement et la participation, l’entreprise est couverte par des accords spécifiques répondant à leurs propres modalités et périodicité de négociation. Dès lors, les parties conviennent que ces sujets ne seront pas non plus abordés dans le cadre de cette négociation annuelle.  </w:t>
      </w:r>
    </w:p>
    <w:p>
      <w:pPr>
        <w:pStyle w:val="TextBody"/>
        <w:rPr>
          <w:rFonts w:ascii="Vinci Sans;Times New Roman" w:hAnsi="Vinci Sans;Times New Roman" w:cs="Arial"/>
          <w:iCs/>
          <w:sz w:val="22"/>
          <w:szCs w:val="22"/>
        </w:rPr>
      </w:pPr>
      <w:r>
        <w:rPr>
          <w:rFonts w:cs="Arial" w:ascii="Vinci Sans;Times New Roman" w:hAnsi="Vinci Sans;Times New Roman"/>
          <w:iCs/>
          <w:sz w:val="22"/>
          <w:szCs w:val="22"/>
        </w:rPr>
      </w:r>
    </w:p>
    <w:p>
      <w:pPr>
        <w:pStyle w:val="TextBody"/>
        <w:rPr>
          <w:rFonts w:ascii="Vinci Sans;Times New Roman" w:hAnsi="Vinci Sans;Times New Roman" w:cs="Arial"/>
          <w:iCs/>
          <w:sz w:val="22"/>
          <w:szCs w:val="22"/>
        </w:rPr>
      </w:pPr>
      <w:r>
        <w:rPr>
          <w:rFonts w:cs="Arial" w:ascii="Vinci Sans;Times New Roman" w:hAnsi="Vinci Sans;Times New Roman"/>
          <w:iCs/>
          <w:sz w:val="22"/>
          <w:szCs w:val="22"/>
        </w:rPr>
      </w:r>
    </w:p>
    <w:p>
      <w:pPr>
        <w:pStyle w:val="TextBody"/>
        <w:rPr/>
      </w:pPr>
      <w:r>
        <w:rPr>
          <w:rFonts w:cs="Arial" w:ascii="Vinci Sans;Times New Roman" w:hAnsi="Vinci Sans;Times New Roman"/>
          <w:iCs/>
          <w:sz w:val="22"/>
          <w:szCs w:val="22"/>
        </w:rPr>
        <w:t>Les réunions se sont tenues les 6, 12 ,14, 19, 24 janvier 2022.</w:t>
      </w:r>
    </w:p>
    <w:p>
      <w:pPr>
        <w:pStyle w:val="TextBody"/>
        <w:rPr>
          <w:rFonts w:ascii="Vinci Sans;Times New Roman" w:hAnsi="Vinci Sans;Times New Roman" w:cs="Arial"/>
          <w:iCs/>
          <w:sz w:val="22"/>
          <w:szCs w:val="22"/>
        </w:rPr>
      </w:pPr>
      <w:r>
        <w:rPr>
          <w:rFonts w:cs="Arial" w:ascii="Vinci Sans;Times New Roman" w:hAnsi="Vinci Sans;Times New Roman"/>
          <w:iCs/>
          <w:sz w:val="22"/>
          <w:szCs w:val="22"/>
        </w:rPr>
      </w:r>
    </w:p>
    <w:p>
      <w:pPr>
        <w:pStyle w:val="Normal"/>
        <w:jc w:val="both"/>
        <w:rPr>
          <w:rFonts w:ascii="Vinci Sans;Times New Roman" w:hAnsi="Vinci Sans;Times New Roman" w:cs="Arial"/>
          <w:b/>
          <w:b/>
          <w:iCs/>
          <w:sz w:val="24"/>
          <w:szCs w:val="22"/>
          <w:u w:val="single"/>
        </w:rPr>
      </w:pPr>
      <w:r>
        <w:rPr>
          <w:rFonts w:cs="Arial"/>
          <w:b/>
          <w:iCs/>
          <w:sz w:val="24"/>
          <w:szCs w:val="22"/>
          <w:u w:val="single"/>
        </w:rPr>
      </w:r>
    </w:p>
    <w:p>
      <w:pPr>
        <w:pStyle w:val="Normal"/>
        <w:jc w:val="both"/>
        <w:rPr>
          <w:rFonts w:cs="Arial"/>
          <w:sz w:val="24"/>
        </w:rPr>
      </w:pPr>
      <w:r>
        <w:rPr>
          <w:rFonts w:cs="Arial"/>
          <w:b/>
          <w:sz w:val="24"/>
          <w:u w:val="single"/>
        </w:rPr>
        <w:t>1 – DEMANDES FORMEES PAR LES ORGANISATIONS SYNDICALES</w:t>
      </w:r>
    </w:p>
    <w:p>
      <w:pPr>
        <w:pStyle w:val="TextBody"/>
        <w:rPr>
          <w:rFonts w:ascii="Vinci Sans;Times New Roman" w:hAnsi="Vinci Sans;Times New Roman" w:cs="Arial"/>
          <w:iCs/>
          <w:sz w:val="24"/>
        </w:rPr>
      </w:pPr>
      <w:r>
        <w:rPr>
          <w:rFonts w:cs="Arial" w:ascii="Vinci Sans;Times New Roman" w:hAnsi="Vinci Sans;Times New Roman"/>
          <w:iCs/>
          <w:sz w:val="24"/>
        </w:rPr>
      </w:r>
    </w:p>
    <w:p>
      <w:pPr>
        <w:pStyle w:val="Normal"/>
        <w:numPr>
          <w:ilvl w:val="0"/>
          <w:numId w:val="3"/>
        </w:numPr>
        <w:jc w:val="both"/>
        <w:rPr>
          <w:rFonts w:cs="Arial"/>
          <w:b/>
          <w:b/>
          <w:sz w:val="24"/>
        </w:rPr>
      </w:pPr>
      <w:r>
        <w:rPr>
          <w:rFonts w:cs="Arial"/>
          <w:b/>
          <w:sz w:val="24"/>
        </w:rPr>
        <w:t xml:space="preserve">Pour la CFDT </w:t>
      </w:r>
    </w:p>
    <w:p>
      <w:pPr>
        <w:pStyle w:val="Normal"/>
        <w:ind w:left="360" w:hanging="0"/>
        <w:jc w:val="both"/>
        <w:rPr>
          <w:rFonts w:cs="Arial"/>
          <w:b/>
          <w:b/>
          <w:sz w:val="24"/>
        </w:rPr>
      </w:pPr>
      <w:r>
        <w:rPr>
          <w:rFonts w:cs="Arial"/>
          <w:b/>
          <w:sz w:val="24"/>
        </w:rPr>
      </w:r>
    </w:p>
    <w:p>
      <w:pPr>
        <w:pStyle w:val="Normal"/>
        <w:numPr>
          <w:ilvl w:val="1"/>
          <w:numId w:val="3"/>
        </w:numPr>
        <w:tabs>
          <w:tab w:val="left" w:pos="1364" w:leader="none"/>
        </w:tabs>
        <w:ind w:left="1364" w:hanging="360"/>
        <w:jc w:val="both"/>
        <w:rPr>
          <w:rFonts w:cs="Arial"/>
        </w:rPr>
      </w:pPr>
      <w:r>
        <w:rPr>
          <w:rFonts w:cs="Arial"/>
        </w:rPr>
        <w:t>Augmentation de xxx% sur les salaires Ouvriers, Etam et Cadres.</w:t>
      </w:r>
    </w:p>
    <w:p>
      <w:pPr>
        <w:pStyle w:val="Normal"/>
        <w:numPr>
          <w:ilvl w:val="1"/>
          <w:numId w:val="3"/>
        </w:numPr>
        <w:tabs>
          <w:tab w:val="left" w:pos="1364" w:leader="none"/>
        </w:tabs>
        <w:ind w:left="1364" w:hanging="360"/>
        <w:jc w:val="both"/>
        <w:rPr/>
      </w:pPr>
      <w:r>
        <w:rPr>
          <w:rFonts w:cs="Arial"/>
        </w:rPr>
        <w:t>Augmentation des IGD à :</w:t>
      </w:r>
    </w:p>
    <w:p>
      <w:pPr>
        <w:pStyle w:val="Normal"/>
        <w:numPr>
          <w:ilvl w:val="2"/>
          <w:numId w:val="3"/>
        </w:numPr>
        <w:jc w:val="both"/>
        <w:rPr>
          <w:rFonts w:cs="Arial"/>
        </w:rPr>
      </w:pPr>
      <w:r>
        <w:rPr>
          <w:rFonts w:cs="Arial"/>
        </w:rPr>
        <w:t>xxx euros du Lundi au jeudi, pour tout déplacement en région Normandie ou départements limitrophes.</w:t>
      </w:r>
    </w:p>
    <w:p>
      <w:pPr>
        <w:pStyle w:val="Normal"/>
        <w:numPr>
          <w:ilvl w:val="2"/>
          <w:numId w:val="3"/>
        </w:numPr>
        <w:jc w:val="both"/>
        <w:rPr>
          <w:rFonts w:cs="Arial"/>
        </w:rPr>
      </w:pPr>
      <w:r>
        <w:rPr>
          <w:rFonts w:cs="Arial"/>
        </w:rPr>
        <w:t>xxx euros du Lundi au jeudi, pour tout déplacement en région Parisienne.</w:t>
      </w:r>
    </w:p>
    <w:p>
      <w:pPr>
        <w:pStyle w:val="Normal"/>
        <w:numPr>
          <w:ilvl w:val="2"/>
          <w:numId w:val="3"/>
        </w:numPr>
        <w:jc w:val="both"/>
        <w:rPr>
          <w:rFonts w:cs="Arial"/>
        </w:rPr>
      </w:pPr>
      <w:r>
        <w:rPr>
          <w:rFonts w:cs="Arial"/>
        </w:rPr>
        <w:t>xxx € pour le vendredi jour de retour.</w:t>
      </w:r>
    </w:p>
    <w:p>
      <w:pPr>
        <w:pStyle w:val="Normal"/>
        <w:numPr>
          <w:ilvl w:val="1"/>
          <w:numId w:val="3"/>
        </w:numPr>
        <w:tabs>
          <w:tab w:val="left" w:pos="1364" w:leader="none"/>
        </w:tabs>
        <w:ind w:left="1364" w:hanging="360"/>
        <w:jc w:val="both"/>
        <w:rPr>
          <w:rFonts w:cs="Arial"/>
        </w:rPr>
      </w:pPr>
      <w:r>
        <w:rPr>
          <w:rFonts w:cs="Arial"/>
        </w:rPr>
        <w:t>Augmentation du panier repas des compagnons à xxx €.</w:t>
      </w:r>
    </w:p>
    <w:p>
      <w:pPr>
        <w:pStyle w:val="Normal"/>
        <w:numPr>
          <w:ilvl w:val="1"/>
          <w:numId w:val="3"/>
        </w:numPr>
        <w:tabs>
          <w:tab w:val="left" w:pos="1364" w:leader="none"/>
        </w:tabs>
        <w:ind w:left="1364" w:hanging="360"/>
        <w:jc w:val="both"/>
        <w:rPr>
          <w:rFonts w:cs="Arial"/>
        </w:rPr>
      </w:pPr>
      <w:r>
        <w:rPr>
          <w:rFonts w:cs="Arial"/>
        </w:rPr>
        <w:t>Augmentation de la part patronale des titres restaurant selon (plafond URSSAF 2021).</w:t>
      </w:r>
    </w:p>
    <w:p>
      <w:pPr>
        <w:pStyle w:val="Normal"/>
        <w:numPr>
          <w:ilvl w:val="1"/>
          <w:numId w:val="3"/>
        </w:numPr>
        <w:tabs>
          <w:tab w:val="left" w:pos="1364" w:leader="none"/>
        </w:tabs>
        <w:ind w:left="1364" w:hanging="360"/>
        <w:jc w:val="both"/>
        <w:rPr/>
      </w:pPr>
      <w:r>
        <w:rPr>
          <w:rFonts w:cs="Arial"/>
        </w:rPr>
        <w:t>Reconduction de la journée enfant malade autorisée rémunérée, par année civile, sur présentation d’un justificatif du médecin.</w:t>
      </w:r>
    </w:p>
    <w:p>
      <w:pPr>
        <w:pStyle w:val="Normal"/>
        <w:numPr>
          <w:ilvl w:val="1"/>
          <w:numId w:val="3"/>
        </w:numPr>
        <w:tabs>
          <w:tab w:val="left" w:pos="1364" w:leader="none"/>
        </w:tabs>
        <w:ind w:left="1364" w:hanging="360"/>
        <w:jc w:val="both"/>
        <w:rPr>
          <w:rFonts w:cs="Arial"/>
        </w:rPr>
      </w:pPr>
      <w:r>
        <w:rPr>
          <w:rFonts w:cs="Arial"/>
        </w:rPr>
        <w:t>L’indice INSEE : l’inflation est à 2.8%, c’est un point qu’il faut prendre en considération.</w:t>
      </w:r>
    </w:p>
    <w:p>
      <w:pPr>
        <w:pStyle w:val="TextBody"/>
        <w:rPr>
          <w:rFonts w:ascii="Vinci Sans;Times New Roman" w:hAnsi="Vinci Sans;Times New Roman" w:cs="Arial"/>
          <w:iCs/>
        </w:rPr>
      </w:pPr>
      <w:r>
        <w:rPr>
          <w:rFonts w:cs="Arial" w:ascii="Vinci Sans;Times New Roman" w:hAnsi="Vinci Sans;Times New Roman"/>
          <w:iCs/>
        </w:rPr>
      </w:r>
    </w:p>
    <w:p>
      <w:pPr>
        <w:pStyle w:val="Normal"/>
        <w:numPr>
          <w:ilvl w:val="0"/>
          <w:numId w:val="3"/>
        </w:numPr>
        <w:rPr/>
      </w:pPr>
      <w:r>
        <w:rPr>
          <w:rFonts w:cs="Arial"/>
          <w:b/>
          <w:sz w:val="24"/>
        </w:rPr>
        <w:t>Pour CGT :</w:t>
        <w:br/>
      </w:r>
    </w:p>
    <w:p>
      <w:pPr>
        <w:pStyle w:val="Normal"/>
        <w:numPr>
          <w:ilvl w:val="1"/>
          <w:numId w:val="3"/>
        </w:numPr>
        <w:jc w:val="both"/>
        <w:rPr>
          <w:rFonts w:cs="Arial"/>
          <w:b/>
          <w:b/>
          <w:szCs w:val="22"/>
        </w:rPr>
      </w:pPr>
      <w:r>
        <w:rPr>
          <w:rFonts w:cs="Arial"/>
          <w:szCs w:val="22"/>
        </w:rPr>
        <w:t>Augmentation générale des salaires de xxx% pour les ouvriers et ETAM.</w:t>
      </w:r>
    </w:p>
    <w:p>
      <w:pPr>
        <w:pStyle w:val="Normal"/>
        <w:numPr>
          <w:ilvl w:val="1"/>
          <w:numId w:val="3"/>
        </w:numPr>
        <w:jc w:val="both"/>
        <w:rPr>
          <w:rFonts w:cs="Arial"/>
          <w:b/>
          <w:b/>
          <w:szCs w:val="22"/>
        </w:rPr>
      </w:pPr>
      <w:r>
        <w:rPr>
          <w:rFonts w:cs="Arial"/>
          <w:szCs w:val="22"/>
        </w:rPr>
        <w:t>Augmentation du Grand déplacement afin de garantir le second logement, le petit déjeuner, le déjeuner et le dîner.</w:t>
      </w:r>
    </w:p>
    <w:p>
      <w:pPr>
        <w:pStyle w:val="Normal"/>
        <w:numPr>
          <w:ilvl w:val="1"/>
          <w:numId w:val="3"/>
        </w:numPr>
        <w:jc w:val="both"/>
        <w:rPr>
          <w:rFonts w:cs="Arial"/>
          <w:b/>
          <w:b/>
          <w:szCs w:val="22"/>
        </w:rPr>
      </w:pPr>
      <w:r>
        <w:rPr>
          <w:rFonts w:cs="Arial"/>
          <w:szCs w:val="22"/>
        </w:rPr>
        <w:t>Revalorisation de la prime de nettoyage des vêtements de travail.</w:t>
      </w:r>
    </w:p>
    <w:p>
      <w:pPr>
        <w:pStyle w:val="Normal"/>
        <w:numPr>
          <w:ilvl w:val="1"/>
          <w:numId w:val="3"/>
        </w:numPr>
        <w:jc w:val="both"/>
        <w:rPr>
          <w:rFonts w:cs="Arial"/>
          <w:iCs/>
        </w:rPr>
      </w:pPr>
      <w:r>
        <w:rPr>
          <w:rFonts w:cs="Arial"/>
          <w:szCs w:val="22"/>
        </w:rPr>
        <w:t xml:space="preserve">Reconduction de la journée enfant malade et mise en place d’une deuxième journée. </w:t>
      </w:r>
    </w:p>
    <w:p>
      <w:pPr>
        <w:pStyle w:val="TextBody"/>
        <w:rPr>
          <w:rFonts w:ascii="Vinci Sans;Times New Roman" w:hAnsi="Vinci Sans;Times New Roman" w:cs="Arial"/>
          <w:iCs/>
        </w:rPr>
      </w:pPr>
      <w:r>
        <w:rPr>
          <w:rFonts w:cs="Arial" w:ascii="Vinci Sans;Times New Roman" w:hAnsi="Vinci Sans;Times New Roman"/>
          <w:iCs/>
        </w:rPr>
      </w:r>
    </w:p>
    <w:p>
      <w:pPr>
        <w:pStyle w:val="Normal"/>
        <w:jc w:val="both"/>
        <w:rPr>
          <w:rFonts w:ascii="Vinci Sans;Times New Roman" w:hAnsi="Vinci Sans;Times New Roman" w:cs="Arial"/>
          <w:iCs/>
        </w:rPr>
      </w:pPr>
      <w:r>
        <w:rPr>
          <w:rFonts w:cs="Arial"/>
          <w:iCs/>
        </w:rPr>
      </w:r>
    </w:p>
    <w:p>
      <w:pPr>
        <w:pStyle w:val="Normal"/>
        <w:jc w:val="both"/>
        <w:rPr>
          <w:rFonts w:cs="Arial"/>
          <w:b/>
          <w:b/>
          <w:szCs w:val="22"/>
          <w:u w:val="single"/>
        </w:rPr>
      </w:pPr>
      <w:r>
        <w:rPr>
          <w:rFonts w:cs="Arial"/>
          <w:b/>
          <w:szCs w:val="22"/>
          <w:u w:val="single"/>
        </w:rPr>
        <w:t>2 – PROPOSITIONS DE LA DIRECTION</w:t>
      </w:r>
    </w:p>
    <w:p>
      <w:pPr>
        <w:pStyle w:val="Normal"/>
        <w:jc w:val="both"/>
        <w:rPr>
          <w:rFonts w:cs="Arial"/>
          <w:b/>
          <w:b/>
          <w:szCs w:val="22"/>
          <w:u w:val="single"/>
        </w:rPr>
      </w:pPr>
      <w:r>
        <w:rPr>
          <w:rFonts w:cs="Arial"/>
          <w:b/>
          <w:szCs w:val="22"/>
          <w:u w:val="single"/>
        </w:rPr>
      </w:r>
    </w:p>
    <w:p>
      <w:pPr>
        <w:pStyle w:val="Normal"/>
        <w:numPr>
          <w:ilvl w:val="1"/>
          <w:numId w:val="3"/>
        </w:numPr>
        <w:tabs>
          <w:tab w:val="left" w:pos="1364" w:leader="none"/>
        </w:tabs>
        <w:ind w:left="1364" w:hanging="360"/>
        <w:jc w:val="both"/>
        <w:rPr>
          <w:rFonts w:cs="Arial"/>
          <w:szCs w:val="24"/>
        </w:rPr>
      </w:pPr>
      <w:r>
        <w:rPr>
          <w:rFonts w:cs="Arial"/>
          <w:szCs w:val="24"/>
        </w:rPr>
        <w:t>Les  revalorisations salariales individuelles correspondent à  une enveloppe de xxx % des salaires bruts de base des salariés Ouvriers, ETAM, Cadre, présents/présents.</w:t>
      </w:r>
    </w:p>
    <w:p>
      <w:pPr>
        <w:pStyle w:val="Normal"/>
        <w:ind w:left="1364" w:hanging="0"/>
        <w:jc w:val="both"/>
        <w:rPr>
          <w:rFonts w:cs="Arial"/>
          <w:szCs w:val="24"/>
        </w:rPr>
      </w:pPr>
      <w:r>
        <w:rPr>
          <w:rFonts w:cs="Arial"/>
          <w:szCs w:val="24"/>
        </w:rPr>
        <w:t xml:space="preserve">L’appréciation de la rémunération minimale est faite selon les dispositions conventionnelles en la matière  </w:t>
      </w:r>
    </w:p>
    <w:p>
      <w:pPr>
        <w:pStyle w:val="Normal"/>
        <w:numPr>
          <w:ilvl w:val="1"/>
          <w:numId w:val="3"/>
        </w:numPr>
        <w:tabs>
          <w:tab w:val="left" w:pos="1364" w:leader="none"/>
        </w:tabs>
        <w:ind w:left="1364" w:hanging="360"/>
        <w:jc w:val="both"/>
        <w:rPr>
          <w:rFonts w:cs="Arial"/>
          <w:szCs w:val="24"/>
        </w:rPr>
      </w:pPr>
      <w:r>
        <w:rPr>
          <w:rFonts w:cs="Arial"/>
          <w:szCs w:val="24"/>
        </w:rPr>
        <w:t>Application des barèmes IPD de la FRTP Normandie 2022 ;</w:t>
      </w:r>
    </w:p>
    <w:p>
      <w:pPr>
        <w:pStyle w:val="Normal"/>
        <w:numPr>
          <w:ilvl w:val="1"/>
          <w:numId w:val="3"/>
        </w:numPr>
        <w:tabs>
          <w:tab w:val="left" w:pos="1364" w:leader="none"/>
        </w:tabs>
        <w:ind w:left="1364" w:hanging="360"/>
        <w:jc w:val="both"/>
        <w:rPr>
          <w:rFonts w:cs="Arial"/>
          <w:szCs w:val="24"/>
        </w:rPr>
      </w:pPr>
      <w:r>
        <w:rPr>
          <w:rFonts w:cs="Arial"/>
          <w:szCs w:val="24"/>
        </w:rPr>
        <w:t>Revalorisation des indemnités dites paniers pour les Ouvriers non sédentaires, de xxx € à xxx €.</w:t>
      </w:r>
    </w:p>
    <w:p>
      <w:pPr>
        <w:pStyle w:val="Normal"/>
        <w:numPr>
          <w:ilvl w:val="1"/>
          <w:numId w:val="3"/>
        </w:numPr>
        <w:tabs>
          <w:tab w:val="left" w:pos="1364" w:leader="none"/>
        </w:tabs>
        <w:ind w:left="1364" w:hanging="360"/>
        <w:jc w:val="both"/>
        <w:rPr/>
      </w:pPr>
      <w:r>
        <w:rPr>
          <w:rFonts w:cs="Arial"/>
          <w:szCs w:val="24"/>
        </w:rPr>
        <w:t>Maintien des indemnités dites paniers pour les ETAM, Cadres dits « Chantiers », non sédentaires, de xxx €.</w:t>
      </w:r>
    </w:p>
    <w:p>
      <w:pPr>
        <w:pStyle w:val="Normal"/>
        <w:numPr>
          <w:ilvl w:val="1"/>
          <w:numId w:val="3"/>
        </w:numPr>
        <w:tabs>
          <w:tab w:val="left" w:pos="1364" w:leader="none"/>
        </w:tabs>
        <w:ind w:left="1364" w:hanging="360"/>
        <w:jc w:val="both"/>
        <w:rPr>
          <w:rFonts w:cs="Arial"/>
          <w:szCs w:val="24"/>
        </w:rPr>
      </w:pPr>
      <w:r>
        <w:rPr>
          <w:rFonts w:cs="Arial"/>
          <w:szCs w:val="24"/>
        </w:rPr>
        <w:t xml:space="preserve">La valeur faciale du Titre-restaurant pour les ETAM et Cadre dits « sédentaires », est revalorisée à xxx €, revalorisation de la part patronale à xxx € (plafond URSSAF, répartition 60/40), dès lors la part salariale serait de xxx €. </w:t>
      </w:r>
    </w:p>
    <w:p>
      <w:pPr>
        <w:pStyle w:val="Normal"/>
        <w:numPr>
          <w:ilvl w:val="1"/>
          <w:numId w:val="3"/>
        </w:numPr>
        <w:tabs>
          <w:tab w:val="left" w:pos="1364" w:leader="none"/>
        </w:tabs>
        <w:ind w:left="1364" w:hanging="360"/>
        <w:jc w:val="both"/>
        <w:rPr>
          <w:rFonts w:cs="Arial"/>
          <w:szCs w:val="24"/>
        </w:rPr>
      </w:pPr>
      <w:r>
        <w:rPr>
          <w:rFonts w:cs="Arial"/>
          <w:szCs w:val="24"/>
        </w:rPr>
        <w:t>Maintien de l’indemnité de grand déplacement pour les Ouvriers non sédentaires :</w:t>
      </w:r>
    </w:p>
    <w:p>
      <w:pPr>
        <w:pStyle w:val="Normal"/>
        <w:numPr>
          <w:ilvl w:val="2"/>
          <w:numId w:val="3"/>
        </w:numPr>
        <w:jc w:val="both"/>
        <w:rPr>
          <w:rFonts w:cs="Arial"/>
          <w:szCs w:val="24"/>
        </w:rPr>
      </w:pPr>
      <w:r>
        <w:rPr>
          <w:rFonts w:cs="Arial"/>
          <w:szCs w:val="24"/>
        </w:rPr>
        <w:t>xxx € par jour travaillé (sauf retour) sur attestation de découchage</w:t>
      </w:r>
    </w:p>
    <w:p>
      <w:pPr>
        <w:pStyle w:val="Normal"/>
        <w:numPr>
          <w:ilvl w:val="2"/>
          <w:numId w:val="3"/>
        </w:numPr>
        <w:jc w:val="both"/>
        <w:rPr>
          <w:rFonts w:cs="Arial"/>
          <w:szCs w:val="24"/>
        </w:rPr>
      </w:pPr>
      <w:r>
        <w:rPr>
          <w:rFonts w:cs="Arial"/>
          <w:szCs w:val="24"/>
        </w:rPr>
        <w:t xml:space="preserve">xxx € le retour </w:t>
      </w:r>
    </w:p>
    <w:p>
      <w:pPr>
        <w:pStyle w:val="Normal"/>
        <w:numPr>
          <w:ilvl w:val="1"/>
          <w:numId w:val="3"/>
        </w:numPr>
        <w:tabs>
          <w:tab w:val="left" w:pos="1364" w:leader="none"/>
        </w:tabs>
        <w:ind w:left="1364" w:hanging="360"/>
        <w:jc w:val="both"/>
        <w:rPr>
          <w:rFonts w:cs="Arial"/>
          <w:szCs w:val="24"/>
        </w:rPr>
      </w:pPr>
      <w:r>
        <w:rPr>
          <w:rFonts w:cs="Arial"/>
          <w:szCs w:val="24"/>
        </w:rPr>
        <w:t>Maintien IGD au cas par cas, selon le lieu de travail pour les zones dites « chères » suivantes : Paris et région parisienne et les zones touristiques d’affluence exceptionnelle. IGD sur validation du Directeur d’agence. Cette IGD sera octroyée pour les ouvriers affectés à un même chantier et étant dans des conditions de logement similaires (sur présentation de justificatifs). Une note sera émise auprès de l’encadrement de chantier afin de rappeler ces règles.</w:t>
      </w:r>
    </w:p>
    <w:p>
      <w:pPr>
        <w:pStyle w:val="Normal"/>
        <w:numPr>
          <w:ilvl w:val="1"/>
          <w:numId w:val="3"/>
        </w:numPr>
        <w:tabs>
          <w:tab w:val="left" w:pos="1364" w:leader="none"/>
        </w:tabs>
        <w:ind w:left="1364" w:hanging="360"/>
        <w:jc w:val="both"/>
        <w:rPr>
          <w:rFonts w:cs="Arial"/>
          <w:szCs w:val="24"/>
        </w:rPr>
      </w:pPr>
      <w:r>
        <w:rPr>
          <w:rFonts w:cs="Arial"/>
          <w:szCs w:val="24"/>
        </w:rPr>
        <w:t>Maintien de l’octroi d’une journée par année civile, payée, par salarié, pour enfant mineur de moins de 16 ans à charge malade sur présentation de certificat médical. Cette disposition est reconduite pour une durée d’un an, sur l’année 2022.</w:t>
      </w:r>
    </w:p>
    <w:p>
      <w:pPr>
        <w:pStyle w:val="Normal"/>
        <w:numPr>
          <w:ilvl w:val="1"/>
          <w:numId w:val="3"/>
        </w:numPr>
        <w:tabs>
          <w:tab w:val="left" w:pos="1364" w:leader="none"/>
        </w:tabs>
        <w:jc w:val="both"/>
        <w:rPr>
          <w:rFonts w:cs="Arial"/>
        </w:rPr>
      </w:pPr>
      <w:r>
        <w:rPr>
          <w:rFonts w:cs="Arial"/>
        </w:rPr>
        <w:t>Refus des autres propositions syndicales. Il est fait application de la règlementation du travail et des usages en vigueur.</w:t>
      </w:r>
    </w:p>
    <w:p>
      <w:pPr>
        <w:pStyle w:val="Normal"/>
        <w:jc w:val="both"/>
        <w:rPr>
          <w:rFonts w:cs="Arial"/>
          <w:szCs w:val="24"/>
        </w:rPr>
      </w:pPr>
      <w:r>
        <w:rPr>
          <w:rFonts w:cs="Arial"/>
          <w:szCs w:val="24"/>
        </w:rPr>
      </w:r>
    </w:p>
    <w:p>
      <w:pPr>
        <w:pStyle w:val="Normal"/>
        <w:jc w:val="both"/>
        <w:rPr>
          <w:rFonts w:cs="Arial"/>
          <w:szCs w:val="24"/>
        </w:rPr>
      </w:pPr>
      <w:r>
        <w:rPr>
          <w:rFonts w:cs="Arial"/>
          <w:szCs w:val="24"/>
        </w:rPr>
      </w:r>
    </w:p>
    <w:p>
      <w:pPr>
        <w:pStyle w:val="Normal"/>
        <w:jc w:val="both"/>
        <w:rPr>
          <w:rFonts w:cs="Arial"/>
          <w:szCs w:val="24"/>
        </w:rPr>
      </w:pPr>
      <w:r>
        <w:rPr>
          <w:rFonts w:cs="Arial"/>
          <w:iCs/>
          <w:szCs w:val="24"/>
        </w:rPr>
        <w:t>A la suite des réunions de négociations, les parties en présence se sont accordées sur les mesures suivantes.</w:t>
      </w:r>
    </w:p>
    <w:p>
      <w:pPr>
        <w:pStyle w:val="Normal"/>
        <w:jc w:val="both"/>
        <w:rPr>
          <w:rFonts w:cs="Arial"/>
          <w:b/>
          <w:b/>
          <w:sz w:val="24"/>
          <w:szCs w:val="24"/>
          <w:u w:val="single"/>
        </w:rPr>
      </w:pPr>
      <w:r>
        <w:rPr>
          <w:rFonts w:cs="Arial"/>
          <w:b/>
          <w:sz w:val="24"/>
          <w:szCs w:val="24"/>
          <w:u w:val="single"/>
        </w:rPr>
      </w:r>
      <w:r>
        <w:br w:type="page"/>
      </w:r>
    </w:p>
    <w:p>
      <w:pPr>
        <w:pStyle w:val="Normal"/>
        <w:jc w:val="both"/>
        <w:rPr>
          <w:rFonts w:cs="Arial"/>
          <w:b/>
          <w:b/>
          <w:sz w:val="24"/>
          <w:u w:val="single"/>
        </w:rPr>
      </w:pPr>
      <w:r>
        <w:rPr>
          <w:rFonts w:cs="Arial"/>
          <w:b/>
          <w:sz w:val="24"/>
          <w:u w:val="single"/>
        </w:rPr>
      </w:r>
    </w:p>
    <w:p>
      <w:pPr>
        <w:pStyle w:val="Normal"/>
        <w:jc w:val="both"/>
        <w:rPr>
          <w:rFonts w:cs="Arial"/>
          <w:sz w:val="24"/>
        </w:rPr>
      </w:pPr>
      <w:r>
        <w:rPr>
          <w:rFonts w:cs="Arial"/>
          <w:b/>
          <w:sz w:val="24"/>
          <w:u w:val="single"/>
        </w:rPr>
        <w:t xml:space="preserve">3 – </w:t>
      </w:r>
      <w:r>
        <w:rPr>
          <w:rFonts w:cs="Arial"/>
          <w:b/>
          <w:caps/>
          <w:sz w:val="24"/>
          <w:u w:val="single"/>
        </w:rPr>
        <w:t xml:space="preserve">accord DES PARTIES SUR LES MESURES SUIVANTES : </w:t>
      </w:r>
    </w:p>
    <w:p>
      <w:pPr>
        <w:pStyle w:val="Normal"/>
        <w:jc w:val="both"/>
        <w:rPr>
          <w:rFonts w:cs="Arial"/>
          <w:sz w:val="24"/>
          <w:szCs w:val="22"/>
        </w:rPr>
      </w:pPr>
      <w:r>
        <w:rPr>
          <w:rFonts w:cs="Arial"/>
          <w:sz w:val="24"/>
          <w:szCs w:val="22"/>
        </w:rPr>
      </w:r>
    </w:p>
    <w:p>
      <w:pPr>
        <w:pStyle w:val="Normal"/>
        <w:jc w:val="both"/>
        <w:rPr>
          <w:rFonts w:cs="Arial"/>
          <w:szCs w:val="22"/>
        </w:rPr>
      </w:pPr>
      <w:r>
        <w:rPr>
          <w:rFonts w:cs="Arial"/>
          <w:szCs w:val="22"/>
        </w:rPr>
        <w:t>Les négociations ont permis d’aboutir :</w:t>
      </w:r>
    </w:p>
    <w:p>
      <w:pPr>
        <w:pStyle w:val="Normal"/>
        <w:jc w:val="both"/>
        <w:rPr>
          <w:rFonts w:cs="Arial"/>
          <w:szCs w:val="22"/>
        </w:rPr>
      </w:pPr>
      <w:r>
        <w:rPr>
          <w:rFonts w:cs="Arial"/>
          <w:szCs w:val="22"/>
        </w:rPr>
      </w:r>
    </w:p>
    <w:p>
      <w:pPr>
        <w:pStyle w:val="Normal"/>
        <w:numPr>
          <w:ilvl w:val="0"/>
          <w:numId w:val="4"/>
        </w:numPr>
        <w:jc w:val="both"/>
        <w:rPr>
          <w:rFonts w:cs="Arial"/>
          <w:szCs w:val="22"/>
        </w:rPr>
      </w:pPr>
      <w:r>
        <w:rPr>
          <w:rFonts w:cs="Arial"/>
          <w:szCs w:val="22"/>
        </w:rPr>
        <w:t xml:space="preserve">SALAIRES </w:t>
      </w:r>
    </w:p>
    <w:p>
      <w:pPr>
        <w:pStyle w:val="Normal"/>
        <w:jc w:val="both"/>
        <w:rPr>
          <w:rFonts w:cs="Arial"/>
          <w:szCs w:val="22"/>
        </w:rPr>
      </w:pPr>
      <w:r>
        <w:rPr>
          <w:rFonts w:cs="Arial"/>
          <w:szCs w:val="22"/>
        </w:rPr>
      </w:r>
    </w:p>
    <w:p>
      <w:pPr>
        <w:pStyle w:val="Normal"/>
        <w:numPr>
          <w:ilvl w:val="1"/>
          <w:numId w:val="3"/>
        </w:numPr>
        <w:tabs>
          <w:tab w:val="left" w:pos="1364" w:leader="none"/>
        </w:tabs>
        <w:ind w:left="1364" w:hanging="360"/>
        <w:jc w:val="both"/>
        <w:rPr>
          <w:rFonts w:cs="Arial"/>
          <w:szCs w:val="24"/>
        </w:rPr>
      </w:pPr>
      <w:r>
        <w:rPr>
          <w:rFonts w:cs="Arial"/>
          <w:szCs w:val="24"/>
        </w:rPr>
        <w:t xml:space="preserve">Augmentation individualisée au mérite dont l’enveloppe correspond à </w:t>
      </w:r>
      <w:r>
        <w:rPr>
          <w:rFonts w:cs="Arial"/>
          <w:b/>
          <w:bCs/>
          <w:szCs w:val="24"/>
        </w:rPr>
        <w:t>xxx %</w:t>
      </w:r>
      <w:r>
        <w:rPr>
          <w:rFonts w:cs="Arial"/>
          <w:szCs w:val="24"/>
        </w:rPr>
        <w:t xml:space="preserve"> des salaires bruts de base  Ouvriers, ETAM, Cadre, présents/présents au 31 /12/2021</w:t>
      </w:r>
    </w:p>
    <w:p>
      <w:pPr>
        <w:pStyle w:val="Normal"/>
        <w:ind w:left="1364" w:hanging="0"/>
        <w:jc w:val="both"/>
        <w:rPr>
          <w:rFonts w:cs="Arial"/>
          <w:szCs w:val="24"/>
        </w:rPr>
      </w:pPr>
      <w:r>
        <w:rPr>
          <w:rFonts w:cs="Arial"/>
          <w:szCs w:val="24"/>
        </w:rPr>
        <w:t>L’appréciation de la rémunération minimale est faite selon les dispositions conventionnelles en la matière.</w:t>
      </w:r>
    </w:p>
    <w:p>
      <w:pPr>
        <w:pStyle w:val="Normal"/>
        <w:ind w:left="1364" w:hanging="0"/>
        <w:jc w:val="both"/>
        <w:rPr>
          <w:rFonts w:cs="Arial"/>
          <w:szCs w:val="24"/>
        </w:rPr>
      </w:pPr>
      <w:r>
        <w:rPr>
          <w:rFonts w:cs="Arial"/>
          <w:szCs w:val="24"/>
        </w:rPr>
      </w:r>
    </w:p>
    <w:p>
      <w:pPr>
        <w:pStyle w:val="Normal"/>
        <w:numPr>
          <w:ilvl w:val="0"/>
          <w:numId w:val="4"/>
        </w:numPr>
        <w:jc w:val="both"/>
        <w:rPr>
          <w:rFonts w:cs="Arial"/>
          <w:szCs w:val="22"/>
        </w:rPr>
      </w:pPr>
      <w:r>
        <w:rPr>
          <w:rFonts w:cs="Arial"/>
          <w:szCs w:val="22"/>
        </w:rPr>
        <w:t>ACCESSOIRES DE SALAIRE</w:t>
      </w:r>
    </w:p>
    <w:p>
      <w:pPr>
        <w:pStyle w:val="Normal"/>
        <w:ind w:left="2145" w:hanging="0"/>
        <w:jc w:val="both"/>
        <w:rPr>
          <w:rFonts w:cs="Arial"/>
          <w:szCs w:val="22"/>
        </w:rPr>
      </w:pPr>
      <w:r>
        <w:rPr>
          <w:rFonts w:cs="Arial"/>
          <w:szCs w:val="22"/>
        </w:rPr>
      </w:r>
    </w:p>
    <w:p>
      <w:pPr>
        <w:pStyle w:val="Normal"/>
        <w:numPr>
          <w:ilvl w:val="0"/>
          <w:numId w:val="2"/>
        </w:numPr>
        <w:jc w:val="both"/>
        <w:rPr>
          <w:rFonts w:cs="Arial"/>
          <w:szCs w:val="24"/>
        </w:rPr>
      </w:pPr>
      <w:r>
        <w:rPr>
          <w:rFonts w:cs="Arial"/>
          <w:szCs w:val="24"/>
        </w:rPr>
        <w:t>REPAS</w:t>
      </w:r>
    </w:p>
    <w:p>
      <w:pPr>
        <w:pStyle w:val="Normal"/>
        <w:numPr>
          <w:ilvl w:val="1"/>
          <w:numId w:val="3"/>
        </w:numPr>
        <w:tabs>
          <w:tab w:val="left" w:pos="1364" w:leader="none"/>
        </w:tabs>
        <w:ind w:left="1364" w:hanging="360"/>
        <w:jc w:val="both"/>
        <w:rPr/>
      </w:pPr>
      <w:r>
        <w:rPr>
          <w:rFonts w:cs="Arial"/>
          <w:szCs w:val="24"/>
        </w:rPr>
        <w:t xml:space="preserve">Revalorisation des indemnités dites paniers pour les Ouvriers non sédentaires, de xxx € à </w:t>
      </w:r>
      <w:r>
        <w:rPr>
          <w:rFonts w:cs="Arial"/>
          <w:b/>
          <w:bCs/>
          <w:szCs w:val="24"/>
        </w:rPr>
        <w:t>xxx €</w:t>
      </w:r>
      <w:r>
        <w:rPr>
          <w:rFonts w:cs="Arial"/>
          <w:szCs w:val="24"/>
        </w:rPr>
        <w:t>.</w:t>
      </w:r>
    </w:p>
    <w:p>
      <w:pPr>
        <w:pStyle w:val="Normal"/>
        <w:numPr>
          <w:ilvl w:val="1"/>
          <w:numId w:val="3"/>
        </w:numPr>
        <w:tabs>
          <w:tab w:val="left" w:pos="1364" w:leader="none"/>
        </w:tabs>
        <w:ind w:left="1364" w:hanging="360"/>
        <w:jc w:val="both"/>
        <w:rPr>
          <w:rFonts w:cs="Arial"/>
          <w:szCs w:val="24"/>
        </w:rPr>
      </w:pPr>
      <w:r>
        <w:rPr>
          <w:rFonts w:cs="Arial"/>
          <w:szCs w:val="24"/>
        </w:rPr>
        <w:t xml:space="preserve">Maintien des indemnités dites paniers pour les ETAM, Cadres dits « Chantiers », non sédentaires, à </w:t>
      </w:r>
      <w:r>
        <w:rPr>
          <w:rFonts w:cs="Arial"/>
          <w:b/>
          <w:bCs/>
          <w:szCs w:val="24"/>
        </w:rPr>
        <w:t>xxxx €</w:t>
      </w:r>
      <w:r>
        <w:rPr>
          <w:rFonts w:cs="Arial"/>
          <w:szCs w:val="24"/>
        </w:rPr>
        <w:t>.</w:t>
      </w:r>
    </w:p>
    <w:p>
      <w:pPr>
        <w:pStyle w:val="Normal"/>
        <w:numPr>
          <w:ilvl w:val="1"/>
          <w:numId w:val="3"/>
        </w:numPr>
        <w:tabs>
          <w:tab w:val="left" w:pos="1364" w:leader="none"/>
        </w:tabs>
        <w:ind w:left="1364" w:hanging="360"/>
        <w:jc w:val="both"/>
        <w:rPr>
          <w:rFonts w:cs="Arial"/>
          <w:szCs w:val="24"/>
        </w:rPr>
      </w:pPr>
      <w:r>
        <w:rPr>
          <w:rFonts w:cs="Arial"/>
          <w:szCs w:val="24"/>
        </w:rPr>
        <w:t xml:space="preserve">La valeur faciale du Titre-restaurant pour les ETAM et Cadre dit « sédentaires » est revalorisée à </w:t>
      </w:r>
      <w:r>
        <w:rPr>
          <w:rFonts w:cs="Arial"/>
          <w:b/>
          <w:bCs/>
          <w:szCs w:val="24"/>
        </w:rPr>
        <w:t xml:space="preserve">xxx € </w:t>
      </w:r>
      <w:r>
        <w:rPr>
          <w:rFonts w:cs="Arial"/>
          <w:szCs w:val="24"/>
        </w:rPr>
        <w:t>prenant en compte la revalorisation de la part patronale à xxxx</w:t>
      </w:r>
      <w:r>
        <w:rPr>
          <w:rFonts w:cs="Arial"/>
          <w:b/>
          <w:bCs/>
          <w:szCs w:val="24"/>
        </w:rPr>
        <w:t xml:space="preserve"> €</w:t>
      </w:r>
      <w:r>
        <w:rPr>
          <w:rFonts w:cs="Arial"/>
          <w:szCs w:val="24"/>
        </w:rPr>
        <w:t xml:space="preserve"> (plafond URSSAF, répartition 60/40), dès lors, la part salariale serait de xxx €. </w:t>
      </w:r>
    </w:p>
    <w:p>
      <w:pPr>
        <w:pStyle w:val="Normal"/>
        <w:ind w:left="1364" w:hanging="0"/>
        <w:jc w:val="both"/>
        <w:rPr>
          <w:rFonts w:cs="Arial"/>
          <w:szCs w:val="24"/>
        </w:rPr>
      </w:pPr>
      <w:r>
        <w:rPr>
          <w:rFonts w:cs="Arial"/>
          <w:szCs w:val="24"/>
        </w:rPr>
      </w:r>
    </w:p>
    <w:p>
      <w:pPr>
        <w:pStyle w:val="Normal"/>
        <w:numPr>
          <w:ilvl w:val="0"/>
          <w:numId w:val="2"/>
        </w:numPr>
        <w:jc w:val="both"/>
        <w:rPr>
          <w:rFonts w:cs="Arial"/>
          <w:szCs w:val="24"/>
        </w:rPr>
      </w:pPr>
      <w:r>
        <w:rPr>
          <w:rFonts w:cs="Arial"/>
          <w:szCs w:val="24"/>
        </w:rPr>
        <w:t xml:space="preserve">GRAND DEPLACEMENT </w:t>
      </w:r>
    </w:p>
    <w:p>
      <w:pPr>
        <w:pStyle w:val="Normal"/>
        <w:ind w:left="1364" w:hanging="0"/>
        <w:jc w:val="both"/>
        <w:rPr>
          <w:rFonts w:cs="Arial"/>
          <w:szCs w:val="24"/>
        </w:rPr>
      </w:pPr>
      <w:r>
        <w:rPr>
          <w:rFonts w:cs="Arial"/>
          <w:szCs w:val="24"/>
        </w:rPr>
      </w:r>
    </w:p>
    <w:p>
      <w:pPr>
        <w:pStyle w:val="Normal"/>
        <w:numPr>
          <w:ilvl w:val="1"/>
          <w:numId w:val="3"/>
        </w:numPr>
        <w:tabs>
          <w:tab w:val="left" w:pos="1364" w:leader="none"/>
        </w:tabs>
        <w:ind w:left="1364" w:hanging="360"/>
        <w:jc w:val="both"/>
        <w:rPr/>
      </w:pPr>
      <w:r>
        <w:rPr>
          <w:rFonts w:cs="Arial"/>
          <w:szCs w:val="24"/>
        </w:rPr>
        <w:t>Maintien de l’indemnité de grand déplacement pour les Ouvriers non sédentaires :</w:t>
      </w:r>
    </w:p>
    <w:p>
      <w:pPr>
        <w:pStyle w:val="Normal"/>
        <w:numPr>
          <w:ilvl w:val="2"/>
          <w:numId w:val="3"/>
        </w:numPr>
        <w:jc w:val="both"/>
        <w:rPr>
          <w:rFonts w:cs="Arial"/>
          <w:szCs w:val="24"/>
        </w:rPr>
      </w:pPr>
      <w:r>
        <w:rPr>
          <w:rFonts w:cs="Arial"/>
          <w:b/>
          <w:bCs/>
          <w:szCs w:val="24"/>
        </w:rPr>
        <w:t>xxx €</w:t>
      </w:r>
      <w:r>
        <w:rPr>
          <w:rFonts w:cs="Arial"/>
          <w:szCs w:val="24"/>
        </w:rPr>
        <w:t xml:space="preserve"> par jour travaillé (sauf retour)</w:t>
      </w:r>
    </w:p>
    <w:p>
      <w:pPr>
        <w:pStyle w:val="Normal"/>
        <w:numPr>
          <w:ilvl w:val="2"/>
          <w:numId w:val="3"/>
        </w:numPr>
        <w:jc w:val="both"/>
        <w:rPr/>
      </w:pPr>
      <w:r>
        <w:rPr>
          <w:rFonts w:cs="Arial"/>
          <w:szCs w:val="24"/>
        </w:rPr>
        <w:t xml:space="preserve">Maintien à </w:t>
      </w:r>
      <w:r>
        <w:rPr>
          <w:rFonts w:cs="Arial"/>
          <w:b/>
          <w:bCs/>
          <w:szCs w:val="24"/>
        </w:rPr>
        <w:t>xxxx</w:t>
      </w:r>
      <w:r>
        <w:rPr>
          <w:rFonts w:cs="Arial"/>
          <w:szCs w:val="24"/>
        </w:rPr>
        <w:t xml:space="preserve"> € le retour</w:t>
      </w:r>
    </w:p>
    <w:p>
      <w:pPr>
        <w:pStyle w:val="Normal"/>
        <w:numPr>
          <w:ilvl w:val="2"/>
          <w:numId w:val="3"/>
        </w:numPr>
        <w:jc w:val="both"/>
        <w:rPr>
          <w:rFonts w:cs="Arial"/>
          <w:szCs w:val="24"/>
        </w:rPr>
      </w:pPr>
      <w:r>
        <w:rPr>
          <w:rFonts w:cs="Arial"/>
          <w:szCs w:val="24"/>
        </w:rPr>
        <w:t>Application des règles conventionnelles du calendaire</w:t>
      </w:r>
    </w:p>
    <w:p>
      <w:pPr>
        <w:pStyle w:val="Normal"/>
        <w:numPr>
          <w:ilvl w:val="1"/>
          <w:numId w:val="3"/>
        </w:numPr>
        <w:tabs>
          <w:tab w:val="left" w:pos="1364" w:leader="none"/>
        </w:tabs>
        <w:ind w:left="1364" w:hanging="360"/>
        <w:jc w:val="both"/>
        <w:rPr>
          <w:rFonts w:cs="Arial"/>
          <w:szCs w:val="24"/>
        </w:rPr>
      </w:pPr>
      <w:r>
        <w:rPr>
          <w:rFonts w:cs="Arial"/>
          <w:szCs w:val="24"/>
        </w:rPr>
        <w:t xml:space="preserve">Maintien IGD au cas par cas, selon le lieu de travail pour les zones dites « chères » suivantes : Paris et région parisienne et les zones touristiques d’affluence exceptionnelle. IGD sur validation du Directeur d’agence. Cette IGD sera octroyée pour les ouvriers affectés à un même chantier et étant dans des conditions de logement similaires (sur présentation de justificatifs). </w:t>
      </w:r>
    </w:p>
    <w:p>
      <w:pPr>
        <w:pStyle w:val="Normal"/>
        <w:ind w:left="1364" w:hanging="0"/>
        <w:jc w:val="both"/>
        <w:rPr>
          <w:rFonts w:cs="Arial"/>
          <w:szCs w:val="24"/>
        </w:rPr>
      </w:pPr>
      <w:r>
        <w:rPr>
          <w:rFonts w:cs="Arial"/>
          <w:szCs w:val="24"/>
        </w:rPr>
      </w:r>
    </w:p>
    <w:p>
      <w:pPr>
        <w:pStyle w:val="Normal"/>
        <w:numPr>
          <w:ilvl w:val="0"/>
          <w:numId w:val="2"/>
        </w:numPr>
        <w:jc w:val="both"/>
        <w:rPr>
          <w:rFonts w:cs="Arial"/>
          <w:szCs w:val="24"/>
        </w:rPr>
      </w:pPr>
      <w:r>
        <w:rPr>
          <w:rFonts w:cs="Arial"/>
          <w:szCs w:val="24"/>
        </w:rPr>
        <w:t xml:space="preserve">PETIT DEPLACEMENT </w:t>
      </w:r>
    </w:p>
    <w:p>
      <w:pPr>
        <w:pStyle w:val="Normal"/>
        <w:ind w:left="1364" w:hanging="0"/>
        <w:jc w:val="both"/>
        <w:rPr>
          <w:rFonts w:cs="Arial"/>
          <w:szCs w:val="24"/>
        </w:rPr>
      </w:pPr>
      <w:r>
        <w:rPr>
          <w:rFonts w:cs="Arial"/>
          <w:szCs w:val="24"/>
        </w:rPr>
      </w:r>
    </w:p>
    <w:p>
      <w:pPr>
        <w:pStyle w:val="Normal"/>
        <w:numPr>
          <w:ilvl w:val="1"/>
          <w:numId w:val="3"/>
        </w:numPr>
        <w:tabs>
          <w:tab w:val="left" w:pos="1364" w:leader="none"/>
        </w:tabs>
        <w:ind w:left="1364" w:hanging="360"/>
        <w:jc w:val="both"/>
        <w:rPr>
          <w:rFonts w:cs="Arial"/>
          <w:szCs w:val="24"/>
        </w:rPr>
      </w:pPr>
      <w:r>
        <w:rPr>
          <w:rFonts w:cs="Arial"/>
          <w:szCs w:val="24"/>
        </w:rPr>
        <w:t>Application des barèmes Indemnités de Petits Déplacements de la FRTP Normandie 2022 ;</w:t>
      </w:r>
    </w:p>
    <w:p>
      <w:pPr>
        <w:pStyle w:val="Normal"/>
        <w:ind w:left="1364" w:hanging="0"/>
        <w:jc w:val="both"/>
        <w:rPr>
          <w:rFonts w:cs="Arial"/>
          <w:szCs w:val="24"/>
        </w:rPr>
      </w:pPr>
      <w:r>
        <w:rPr>
          <w:rFonts w:cs="Arial"/>
          <w:szCs w:val="24"/>
        </w:rPr>
      </w:r>
    </w:p>
    <w:p>
      <w:pPr>
        <w:pStyle w:val="Normal"/>
        <w:numPr>
          <w:ilvl w:val="0"/>
          <w:numId w:val="2"/>
        </w:numPr>
        <w:jc w:val="both"/>
        <w:rPr>
          <w:rFonts w:cs="Arial"/>
          <w:szCs w:val="24"/>
        </w:rPr>
      </w:pPr>
      <w:r>
        <w:rPr>
          <w:rFonts w:cs="Arial"/>
          <w:szCs w:val="24"/>
        </w:rPr>
        <w:t xml:space="preserve">INDEMNITE DE NETTOYAGE DE VETEMENT </w:t>
      </w:r>
    </w:p>
    <w:p>
      <w:pPr>
        <w:pStyle w:val="Normal"/>
        <w:ind w:left="1416" w:hanging="0"/>
        <w:jc w:val="both"/>
        <w:rPr>
          <w:rFonts w:cs="Arial"/>
          <w:szCs w:val="24"/>
          <w:highlight w:val="yellow"/>
        </w:rPr>
      </w:pPr>
      <w:r>
        <w:rPr>
          <w:rFonts w:cs="Arial"/>
          <w:szCs w:val="24"/>
        </w:rPr>
        <w:t xml:space="preserve">Indemnité de nettoyage de vêtement maintenue à </w:t>
      </w:r>
      <w:r>
        <w:rPr>
          <w:rFonts w:cs="Arial"/>
          <w:b/>
          <w:bCs/>
          <w:szCs w:val="24"/>
        </w:rPr>
        <w:t>xxx €</w:t>
      </w:r>
      <w:r>
        <w:rPr>
          <w:rFonts w:cs="Arial"/>
          <w:szCs w:val="24"/>
        </w:rPr>
        <w:t xml:space="preserve"> par mois au prorata du temps de présence pour le personnel ayant une tenue de travail.</w:t>
      </w:r>
    </w:p>
    <w:p>
      <w:pPr>
        <w:pStyle w:val="Normal"/>
        <w:ind w:left="1440" w:hanging="0"/>
        <w:jc w:val="both"/>
        <w:rPr>
          <w:rFonts w:cs="Arial"/>
          <w:szCs w:val="24"/>
          <w:highlight w:val="yellow"/>
        </w:rPr>
      </w:pPr>
      <w:r>
        <w:rPr>
          <w:rFonts w:cs="Arial"/>
          <w:szCs w:val="24"/>
          <w:highlight w:val="yellow"/>
        </w:rPr>
      </w:r>
    </w:p>
    <w:p>
      <w:pPr>
        <w:pStyle w:val="Normal"/>
        <w:numPr>
          <w:ilvl w:val="0"/>
          <w:numId w:val="4"/>
        </w:numPr>
        <w:jc w:val="both"/>
        <w:rPr>
          <w:rFonts w:cs="Arial"/>
          <w:szCs w:val="22"/>
        </w:rPr>
      </w:pPr>
      <w:r>
        <w:rPr>
          <w:rFonts w:cs="Arial"/>
          <w:szCs w:val="22"/>
        </w:rPr>
        <w:t xml:space="preserve">MEDAILLES </w:t>
      </w:r>
    </w:p>
    <w:p>
      <w:pPr>
        <w:pStyle w:val="Normal"/>
        <w:ind w:left="1416" w:hanging="0"/>
        <w:jc w:val="both"/>
        <w:rPr>
          <w:rFonts w:cs="Arial"/>
          <w:szCs w:val="24"/>
        </w:rPr>
      </w:pPr>
      <w:r>
        <w:rPr>
          <w:rFonts w:cs="Arial"/>
          <w:szCs w:val="24"/>
        </w:rPr>
        <w:t>Maintien des dispositions en vigueurs :</w:t>
      </w:r>
    </w:p>
    <w:p>
      <w:pPr>
        <w:pStyle w:val="Normal"/>
        <w:ind w:left="1416" w:hanging="0"/>
        <w:jc w:val="both"/>
        <w:rPr>
          <w:rFonts w:cs="Arial"/>
          <w:szCs w:val="24"/>
        </w:rPr>
      </w:pPr>
      <w:r>
        <w:rPr>
          <w:rFonts w:cs="Arial"/>
          <w:szCs w:val="24"/>
        </w:rPr>
      </w:r>
    </w:p>
    <w:p>
      <w:pPr>
        <w:pStyle w:val="Normal"/>
        <w:numPr>
          <w:ilvl w:val="2"/>
          <w:numId w:val="3"/>
        </w:numPr>
        <w:tabs>
          <w:tab w:val="left" w:pos="2084" w:leader="none"/>
        </w:tabs>
        <w:ind w:left="2084" w:hanging="360"/>
        <w:jc w:val="both"/>
        <w:rPr>
          <w:rFonts w:cs="Arial"/>
          <w:szCs w:val="24"/>
        </w:rPr>
      </w:pPr>
      <w:r>
        <w:rPr>
          <w:rFonts w:cs="Arial"/>
          <w:szCs w:val="24"/>
        </w:rPr>
        <w:t xml:space="preserve">Médailles professionnelles des travaux publics : </w:t>
      </w:r>
    </w:p>
    <w:p>
      <w:pPr>
        <w:pStyle w:val="Normal"/>
        <w:ind w:left="644" w:hanging="0"/>
        <w:jc w:val="both"/>
        <w:rPr>
          <w:rFonts w:cs="Arial"/>
          <w:szCs w:val="24"/>
        </w:rPr>
      </w:pPr>
      <w:r>
        <w:rPr>
          <w:rFonts w:cs="Arial"/>
          <w:szCs w:val="24"/>
        </w:rPr>
      </w:r>
    </w:p>
    <w:p>
      <w:pPr>
        <w:pStyle w:val="Normal"/>
        <w:ind w:left="644" w:hanging="0"/>
        <w:jc w:val="both"/>
        <w:rPr/>
      </w:pPr>
      <w:r>
        <w:rPr>
          <w:rFonts w:cs="Arial"/>
          <w:szCs w:val="24"/>
        </w:rPr>
        <w:t>Cette médaille est destinée à récompenser la totalité des services ininterrompus dans l’entreprise (la société reconnaît l’ancienneté ininterrompue dans le Groupe).</w:t>
      </w:r>
    </w:p>
    <w:p>
      <w:pPr>
        <w:pStyle w:val="Normal"/>
        <w:ind w:left="644" w:hanging="0"/>
        <w:jc w:val="both"/>
        <w:rPr>
          <w:rFonts w:cs="Arial"/>
          <w:szCs w:val="24"/>
        </w:rPr>
      </w:pPr>
      <w:r>
        <w:rPr>
          <w:rFonts w:cs="Arial"/>
          <w:szCs w:val="24"/>
        </w:rPr>
      </w:r>
    </w:p>
    <w:p>
      <w:pPr>
        <w:pStyle w:val="Normal"/>
        <w:ind w:left="644" w:hanging="0"/>
        <w:jc w:val="both"/>
        <w:rPr>
          <w:rFonts w:cs="Arial"/>
          <w:szCs w:val="24"/>
        </w:rPr>
      </w:pPr>
      <w:r>
        <w:rPr>
          <w:rFonts w:cs="Arial"/>
          <w:szCs w:val="24"/>
        </w:rPr>
        <w:t>Elle comporte 5 échelons :</w:t>
      </w:r>
    </w:p>
    <w:p>
      <w:pPr>
        <w:pStyle w:val="Normal"/>
        <w:ind w:left="644" w:hanging="0"/>
        <w:jc w:val="both"/>
        <w:rPr>
          <w:rFonts w:cs="Arial"/>
          <w:szCs w:val="24"/>
        </w:rPr>
      </w:pPr>
      <w:r>
        <w:rPr>
          <w:rFonts w:cs="Arial"/>
          <w:szCs w:val="24"/>
        </w:rPr>
      </w:r>
    </w:p>
    <w:tbl>
      <w:tblPr>
        <w:tblW w:w="8522"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443"/>
        <w:gridCol w:w="3167"/>
        <w:gridCol w:w="2912"/>
      </w:tblGrid>
      <w:tr>
        <w:trPr/>
        <w:tc>
          <w:tcPr>
            <w:tcW w:w="24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jc w:val="center"/>
              <w:rPr>
                <w:rFonts w:cs="Arial"/>
                <w:szCs w:val="24"/>
              </w:rPr>
            </w:pPr>
            <w:r>
              <w:rPr>
                <w:rFonts w:cs="Arial"/>
                <w:szCs w:val="24"/>
              </w:rPr>
              <w:t>ANCIENNETE</w:t>
            </w:r>
          </w:p>
        </w:tc>
        <w:tc>
          <w:tcPr>
            <w:tcW w:w="316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jc w:val="center"/>
              <w:rPr>
                <w:rFonts w:cs="Arial"/>
                <w:szCs w:val="24"/>
              </w:rPr>
            </w:pPr>
            <w:r>
              <w:rPr>
                <w:rFonts w:cs="Arial"/>
                <w:szCs w:val="24"/>
              </w:rPr>
              <w:t>DISTINCTION</w:t>
            </w:r>
          </w:p>
        </w:tc>
        <w:tc>
          <w:tcPr>
            <w:tcW w:w="2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jc w:val="center"/>
              <w:rPr>
                <w:rFonts w:cs="Arial"/>
                <w:szCs w:val="24"/>
              </w:rPr>
            </w:pPr>
            <w:r>
              <w:rPr>
                <w:rFonts w:cs="Arial"/>
                <w:szCs w:val="24"/>
              </w:rPr>
              <w:t>PRIME</w:t>
            </w:r>
          </w:p>
        </w:tc>
      </w:tr>
      <w:tr>
        <w:trPr/>
        <w:tc>
          <w:tcPr>
            <w:tcW w:w="24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Arial"/>
                <w:szCs w:val="24"/>
              </w:rPr>
            </w:pPr>
            <w:r>
              <w:rPr>
                <w:rFonts w:cs="Arial"/>
                <w:szCs w:val="24"/>
              </w:rPr>
            </w:r>
          </w:p>
          <w:p>
            <w:pPr>
              <w:pStyle w:val="Normal"/>
              <w:jc w:val="center"/>
              <w:rPr>
                <w:rFonts w:cs="Arial"/>
                <w:szCs w:val="24"/>
              </w:rPr>
            </w:pPr>
            <w:r>
              <w:rPr>
                <w:rFonts w:cs="Arial"/>
                <w:szCs w:val="24"/>
              </w:rPr>
              <w:t>15 ans de service</w:t>
            </w:r>
          </w:p>
          <w:p>
            <w:pPr>
              <w:pStyle w:val="Normal"/>
              <w:jc w:val="center"/>
              <w:rPr>
                <w:rFonts w:cs="Arial"/>
                <w:szCs w:val="24"/>
              </w:rPr>
            </w:pPr>
            <w:r>
              <w:rPr>
                <w:rFonts w:cs="Arial"/>
                <w:szCs w:val="24"/>
              </w:rPr>
              <w:t>20 ans de service</w:t>
            </w:r>
          </w:p>
          <w:p>
            <w:pPr>
              <w:pStyle w:val="Normal"/>
              <w:jc w:val="center"/>
              <w:rPr>
                <w:rFonts w:cs="Arial"/>
                <w:szCs w:val="24"/>
              </w:rPr>
            </w:pPr>
            <w:r>
              <w:rPr>
                <w:rFonts w:cs="Arial"/>
                <w:szCs w:val="24"/>
              </w:rPr>
              <w:t>25 ans de service</w:t>
            </w:r>
          </w:p>
          <w:p>
            <w:pPr>
              <w:pStyle w:val="Normal"/>
              <w:jc w:val="center"/>
              <w:rPr>
                <w:rFonts w:cs="Arial"/>
                <w:szCs w:val="24"/>
              </w:rPr>
            </w:pPr>
            <w:r>
              <w:rPr>
                <w:rFonts w:cs="Arial"/>
                <w:szCs w:val="24"/>
              </w:rPr>
              <w:t>30 ans de service</w:t>
            </w:r>
          </w:p>
          <w:p>
            <w:pPr>
              <w:pStyle w:val="Normal"/>
              <w:jc w:val="center"/>
              <w:rPr>
                <w:rFonts w:cs="Arial"/>
                <w:szCs w:val="24"/>
              </w:rPr>
            </w:pPr>
            <w:r>
              <w:rPr>
                <w:rFonts w:cs="Arial"/>
                <w:szCs w:val="24"/>
              </w:rPr>
              <w:t>35 ans de service</w:t>
            </w:r>
          </w:p>
        </w:tc>
        <w:tc>
          <w:tcPr>
            <w:tcW w:w="316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Arial"/>
                <w:szCs w:val="24"/>
              </w:rPr>
            </w:pPr>
            <w:r>
              <w:rPr>
                <w:rFonts w:cs="Arial"/>
                <w:szCs w:val="24"/>
              </w:rPr>
            </w:r>
          </w:p>
          <w:p>
            <w:pPr>
              <w:pStyle w:val="Normal"/>
              <w:jc w:val="center"/>
              <w:rPr>
                <w:rFonts w:cs="Arial"/>
                <w:szCs w:val="24"/>
              </w:rPr>
            </w:pPr>
            <w:r>
              <w:rPr>
                <w:rFonts w:cs="Arial"/>
                <w:szCs w:val="24"/>
              </w:rPr>
              <w:t>Médaille de BRONZE</w:t>
            </w:r>
          </w:p>
          <w:p>
            <w:pPr>
              <w:pStyle w:val="Normal"/>
              <w:jc w:val="center"/>
              <w:rPr>
                <w:rFonts w:cs="Arial"/>
                <w:szCs w:val="24"/>
              </w:rPr>
            </w:pPr>
            <w:r>
              <w:rPr>
                <w:rFonts w:cs="Arial"/>
                <w:szCs w:val="24"/>
              </w:rPr>
              <w:t>Médaille d’ARGENT</w:t>
            </w:r>
          </w:p>
          <w:p>
            <w:pPr>
              <w:pStyle w:val="Normal"/>
              <w:jc w:val="center"/>
              <w:rPr>
                <w:rFonts w:cs="Arial"/>
                <w:szCs w:val="24"/>
              </w:rPr>
            </w:pPr>
            <w:r>
              <w:rPr>
                <w:rFonts w:cs="Arial"/>
                <w:szCs w:val="24"/>
              </w:rPr>
              <w:t>Médaille de VERMEIL</w:t>
            </w:r>
          </w:p>
          <w:p>
            <w:pPr>
              <w:pStyle w:val="Normal"/>
              <w:jc w:val="center"/>
              <w:rPr>
                <w:rFonts w:cs="Arial"/>
                <w:szCs w:val="24"/>
              </w:rPr>
            </w:pPr>
            <w:r>
              <w:rPr>
                <w:rFonts w:cs="Arial"/>
                <w:szCs w:val="24"/>
              </w:rPr>
              <w:t>-</w:t>
            </w:r>
          </w:p>
          <w:p>
            <w:pPr>
              <w:pStyle w:val="Normal"/>
              <w:jc w:val="center"/>
              <w:rPr>
                <w:rFonts w:cs="Arial"/>
                <w:szCs w:val="24"/>
              </w:rPr>
            </w:pPr>
            <w:r>
              <w:rPr>
                <w:rFonts w:cs="Arial"/>
                <w:szCs w:val="24"/>
              </w:rPr>
              <w:t>-</w:t>
            </w:r>
          </w:p>
        </w:tc>
        <w:tc>
          <w:tcPr>
            <w:tcW w:w="2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Arial"/>
                <w:szCs w:val="24"/>
              </w:rPr>
            </w:pPr>
            <w:r>
              <w:rPr>
                <w:rFonts w:cs="Arial"/>
                <w:szCs w:val="24"/>
              </w:rPr>
            </w:r>
          </w:p>
          <w:p>
            <w:pPr>
              <w:pStyle w:val="Normal"/>
              <w:jc w:val="center"/>
              <w:rPr/>
            </w:pPr>
            <w:r>
              <w:rPr>
                <w:rFonts w:cs="Arial"/>
                <w:szCs w:val="24"/>
              </w:rPr>
              <w:t>xxx €</w:t>
            </w:r>
          </w:p>
          <w:p>
            <w:pPr>
              <w:pStyle w:val="Normal"/>
              <w:jc w:val="center"/>
              <w:rPr/>
            </w:pPr>
            <w:r>
              <w:rPr>
                <w:rFonts w:cs="Arial"/>
                <w:szCs w:val="24"/>
              </w:rPr>
              <w:t>xxx €</w:t>
            </w:r>
          </w:p>
          <w:p>
            <w:pPr>
              <w:pStyle w:val="Normal"/>
              <w:jc w:val="center"/>
              <w:rPr/>
            </w:pPr>
            <w:r>
              <w:rPr>
                <w:rFonts w:cs="Arial"/>
                <w:szCs w:val="24"/>
              </w:rPr>
              <w:t>xxxx €</w:t>
            </w:r>
          </w:p>
          <w:p>
            <w:pPr>
              <w:pStyle w:val="Normal"/>
              <w:jc w:val="center"/>
              <w:rPr/>
            </w:pPr>
            <w:r>
              <w:rPr>
                <w:rFonts w:cs="Arial"/>
                <w:szCs w:val="24"/>
              </w:rPr>
              <w:t>xxx €</w:t>
            </w:r>
          </w:p>
          <w:p>
            <w:pPr>
              <w:pStyle w:val="Normal"/>
              <w:jc w:val="center"/>
              <w:rPr/>
            </w:pPr>
            <w:r>
              <w:rPr>
                <w:rFonts w:cs="Arial"/>
                <w:szCs w:val="24"/>
              </w:rPr>
              <w:t>xxxxx €</w:t>
            </w:r>
          </w:p>
          <w:p>
            <w:pPr>
              <w:pStyle w:val="Normal"/>
              <w:rPr>
                <w:rFonts w:cs="Arial"/>
                <w:szCs w:val="24"/>
              </w:rPr>
            </w:pPr>
            <w:r>
              <w:rPr>
                <w:rFonts w:cs="Arial"/>
                <w:szCs w:val="24"/>
              </w:rPr>
            </w:r>
          </w:p>
        </w:tc>
      </w:tr>
    </w:tbl>
    <w:p>
      <w:pPr>
        <w:pStyle w:val="Normal"/>
        <w:ind w:left="1364" w:hanging="0"/>
        <w:jc w:val="both"/>
        <w:rPr>
          <w:rFonts w:cs="Arial"/>
          <w:szCs w:val="24"/>
        </w:rPr>
      </w:pPr>
      <w:r>
        <w:rPr>
          <w:rFonts w:cs="Arial"/>
          <w:szCs w:val="24"/>
        </w:rPr>
      </w:r>
    </w:p>
    <w:p>
      <w:pPr>
        <w:pStyle w:val="Normal"/>
        <w:ind w:left="1364" w:hanging="0"/>
        <w:jc w:val="both"/>
        <w:rPr>
          <w:rFonts w:cs="Arial"/>
          <w:szCs w:val="24"/>
        </w:rPr>
      </w:pPr>
      <w:r>
        <w:rPr>
          <w:rFonts w:cs="Arial"/>
          <w:szCs w:val="24"/>
        </w:rPr>
        <w:t>Ces primes sont entièrement soumises à cotisation en application de l’article L242-1 du Code de la sécurité sociale.</w:t>
      </w:r>
    </w:p>
    <w:p>
      <w:pPr>
        <w:pStyle w:val="Normal"/>
        <w:ind w:left="1364" w:hanging="0"/>
        <w:jc w:val="both"/>
        <w:rPr>
          <w:rFonts w:cs="Arial"/>
          <w:szCs w:val="24"/>
        </w:rPr>
      </w:pPr>
      <w:r>
        <w:rPr>
          <w:rFonts w:cs="Arial"/>
          <w:szCs w:val="24"/>
        </w:rPr>
      </w:r>
    </w:p>
    <w:p>
      <w:pPr>
        <w:pStyle w:val="Normal"/>
        <w:numPr>
          <w:ilvl w:val="0"/>
          <w:numId w:val="1"/>
        </w:numPr>
        <w:jc w:val="both"/>
        <w:rPr>
          <w:rFonts w:cs="Arial"/>
          <w:szCs w:val="24"/>
        </w:rPr>
      </w:pPr>
      <w:r>
        <w:rPr>
          <w:rFonts w:cs="Arial"/>
          <w:szCs w:val="24"/>
        </w:rPr>
        <w:t>Médailles d’honneur du travail</w:t>
      </w:r>
    </w:p>
    <w:p>
      <w:pPr>
        <w:pStyle w:val="Normal"/>
        <w:ind w:left="644" w:hanging="0"/>
        <w:jc w:val="both"/>
        <w:rPr>
          <w:rFonts w:cs="Arial"/>
          <w:szCs w:val="24"/>
        </w:rPr>
      </w:pPr>
      <w:r>
        <w:rPr>
          <w:rFonts w:cs="Arial"/>
          <w:szCs w:val="24"/>
        </w:rPr>
      </w:r>
    </w:p>
    <w:p>
      <w:pPr>
        <w:pStyle w:val="Normal"/>
        <w:ind w:left="644" w:hanging="0"/>
        <w:jc w:val="both"/>
        <w:rPr/>
      </w:pPr>
      <w:r>
        <w:rPr>
          <w:rFonts w:cs="Arial"/>
          <w:szCs w:val="24"/>
        </w:rPr>
        <w:t>La médaille d’honneur du travail récompense l’ancienneté de services ou la qualité exceptionnelle des initiatives prises par les salariés ou assimilés dans l’exercice de leur profession ou de leurs efforts pour acquérir une meilleure qualification.</w:t>
      </w:r>
    </w:p>
    <w:p>
      <w:pPr>
        <w:pStyle w:val="Normal"/>
        <w:ind w:left="644" w:hanging="0"/>
        <w:jc w:val="both"/>
        <w:rPr>
          <w:rFonts w:cs="Arial"/>
          <w:szCs w:val="24"/>
        </w:rPr>
      </w:pPr>
      <w:r>
        <w:rPr>
          <w:rFonts w:cs="Arial"/>
          <w:szCs w:val="24"/>
        </w:rPr>
      </w:r>
    </w:p>
    <w:p>
      <w:pPr>
        <w:pStyle w:val="Normal"/>
        <w:ind w:left="644" w:hanging="0"/>
        <w:jc w:val="both"/>
        <w:rPr/>
      </w:pPr>
      <w:r>
        <w:rPr>
          <w:rFonts w:cs="Arial"/>
          <w:szCs w:val="24"/>
        </w:rPr>
        <w:t>En complément de l’attribution de ces médailles, l’Entreprise versera une prime déterminée par le barème suivant :</w:t>
      </w:r>
    </w:p>
    <w:p>
      <w:pPr>
        <w:pStyle w:val="Normal"/>
        <w:jc w:val="both"/>
        <w:rPr>
          <w:rFonts w:cs="Arial"/>
          <w:szCs w:val="24"/>
        </w:rPr>
      </w:pPr>
      <w:r>
        <w:rPr>
          <w:rFonts w:cs="Arial"/>
          <w:szCs w:val="24"/>
        </w:rPr>
      </w:r>
    </w:p>
    <w:tbl>
      <w:tblPr>
        <w:tblW w:w="8610" w:type="dxa"/>
        <w:jc w:val="left"/>
        <w:tblInd w:w="605"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320"/>
        <w:gridCol w:w="4290"/>
      </w:tblGrid>
      <w:tr>
        <w:trPr/>
        <w:tc>
          <w:tcPr>
            <w:tcW w:w="432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jc w:val="center"/>
              <w:rPr>
                <w:rFonts w:cs="Arial"/>
                <w:szCs w:val="24"/>
              </w:rPr>
            </w:pPr>
            <w:r>
              <w:rPr>
                <w:rFonts w:cs="Arial"/>
                <w:szCs w:val="24"/>
              </w:rPr>
              <w:t>Médailles</w:t>
            </w:r>
          </w:p>
        </w:tc>
        <w:tc>
          <w:tcPr>
            <w:tcW w:w="4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jc w:val="center"/>
              <w:rPr>
                <w:rFonts w:cs="Arial"/>
                <w:szCs w:val="24"/>
              </w:rPr>
            </w:pPr>
            <w:r>
              <w:rPr>
                <w:rFonts w:cs="Arial"/>
                <w:szCs w:val="24"/>
              </w:rPr>
              <w:t>Montant de la prime</w:t>
            </w:r>
          </w:p>
        </w:tc>
      </w:tr>
      <w:tr>
        <w:trPr/>
        <w:tc>
          <w:tcPr>
            <w:tcW w:w="432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jc w:val="center"/>
              <w:rPr>
                <w:rFonts w:cs="Arial"/>
                <w:szCs w:val="24"/>
              </w:rPr>
            </w:pPr>
            <w:r>
              <w:rPr>
                <w:rFonts w:cs="Arial"/>
                <w:szCs w:val="24"/>
              </w:rPr>
              <w:t>Argent (20 ans)</w:t>
            </w:r>
          </w:p>
        </w:tc>
        <w:tc>
          <w:tcPr>
            <w:tcW w:w="4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jc w:val="center"/>
              <w:rPr/>
            </w:pPr>
            <w:r>
              <w:rPr>
                <w:rFonts w:cs="Arial"/>
                <w:szCs w:val="24"/>
              </w:rPr>
              <w:t>xxxx €</w:t>
            </w:r>
          </w:p>
        </w:tc>
      </w:tr>
      <w:tr>
        <w:trPr/>
        <w:tc>
          <w:tcPr>
            <w:tcW w:w="432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jc w:val="center"/>
              <w:rPr/>
            </w:pPr>
            <w:r>
              <w:rPr>
                <w:rFonts w:cs="Arial"/>
                <w:szCs w:val="24"/>
              </w:rPr>
              <w:t>Vermeil (30 ans)</w:t>
            </w:r>
          </w:p>
        </w:tc>
        <w:tc>
          <w:tcPr>
            <w:tcW w:w="4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jc w:val="center"/>
              <w:rPr/>
            </w:pPr>
            <w:r>
              <w:rPr>
                <w:rFonts w:cs="Arial"/>
                <w:szCs w:val="24"/>
              </w:rPr>
              <w:t>xxx €</w:t>
            </w:r>
          </w:p>
        </w:tc>
      </w:tr>
      <w:tr>
        <w:trPr/>
        <w:tc>
          <w:tcPr>
            <w:tcW w:w="432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jc w:val="center"/>
              <w:rPr/>
            </w:pPr>
            <w:r>
              <w:rPr>
                <w:rFonts w:cs="Arial"/>
                <w:szCs w:val="24"/>
              </w:rPr>
              <w:t>Or (35 ans)</w:t>
            </w:r>
          </w:p>
        </w:tc>
        <w:tc>
          <w:tcPr>
            <w:tcW w:w="4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jc w:val="center"/>
              <w:rPr/>
            </w:pPr>
            <w:r>
              <w:rPr>
                <w:rFonts w:cs="Arial"/>
                <w:szCs w:val="24"/>
              </w:rPr>
              <w:t>xxxx €</w:t>
            </w:r>
          </w:p>
        </w:tc>
      </w:tr>
      <w:tr>
        <w:trPr/>
        <w:tc>
          <w:tcPr>
            <w:tcW w:w="432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jc w:val="center"/>
              <w:rPr/>
            </w:pPr>
            <w:r>
              <w:rPr>
                <w:rFonts w:cs="Arial"/>
                <w:szCs w:val="24"/>
              </w:rPr>
              <w:t>Grand or (40 ans)</w:t>
            </w:r>
          </w:p>
        </w:tc>
        <w:tc>
          <w:tcPr>
            <w:tcW w:w="4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jc w:val="center"/>
              <w:rPr/>
            </w:pPr>
            <w:r>
              <w:rPr>
                <w:rFonts w:cs="Arial"/>
                <w:szCs w:val="24"/>
              </w:rPr>
              <w:t>xxxx €</w:t>
            </w:r>
          </w:p>
        </w:tc>
      </w:tr>
    </w:tbl>
    <w:p>
      <w:pPr>
        <w:pStyle w:val="Normal"/>
        <w:jc w:val="both"/>
        <w:rPr>
          <w:rFonts w:cs="Arial"/>
          <w:szCs w:val="24"/>
        </w:rPr>
      </w:pPr>
      <w:r>
        <w:rPr>
          <w:rFonts w:cs="Arial"/>
          <w:szCs w:val="24"/>
        </w:rPr>
      </w:r>
    </w:p>
    <w:p>
      <w:pPr>
        <w:pStyle w:val="Normal"/>
        <w:ind w:left="708" w:hanging="0"/>
        <w:jc w:val="both"/>
        <w:rPr>
          <w:rFonts w:cs="Arial"/>
          <w:szCs w:val="24"/>
        </w:rPr>
      </w:pPr>
      <w:r>
        <w:rPr>
          <w:rFonts w:cs="Arial"/>
          <w:szCs w:val="24"/>
        </w:rPr>
        <w:t>Ces primes sont proratisées au regard de son ancienneté Groupe / période d’activité professionnelle totale.</w:t>
      </w:r>
    </w:p>
    <w:p>
      <w:pPr>
        <w:pStyle w:val="Normal"/>
        <w:ind w:left="708" w:hanging="0"/>
        <w:jc w:val="both"/>
        <w:rPr>
          <w:rFonts w:cs="Arial"/>
          <w:szCs w:val="24"/>
        </w:rPr>
      </w:pPr>
      <w:r>
        <w:rPr>
          <w:rFonts w:cs="Arial"/>
          <w:szCs w:val="24"/>
        </w:rPr>
      </w:r>
    </w:p>
    <w:p>
      <w:pPr>
        <w:pStyle w:val="Normal"/>
        <w:ind w:left="708" w:hanging="0"/>
        <w:jc w:val="both"/>
        <w:rPr/>
      </w:pPr>
      <w:r>
        <w:rPr>
          <w:rFonts w:cs="Arial"/>
          <w:szCs w:val="24"/>
        </w:rPr>
        <w:t>En vertu de la lettre circulaire ACOSS n°2000-103 du 22 novembre 2000, ces primes sont exonérées de charges sociales. En effet, l’ACOSS admet que les gratifications versées lors de l’attribution d’une médaille du travail « officielle » soient exonérées de charges sociales dans la limite du salaire mensuel de base.</w:t>
      </w:r>
    </w:p>
    <w:p>
      <w:pPr>
        <w:pStyle w:val="Normal"/>
        <w:ind w:left="708" w:hanging="0"/>
        <w:jc w:val="both"/>
        <w:rPr>
          <w:rFonts w:cs="Arial"/>
          <w:szCs w:val="24"/>
        </w:rPr>
      </w:pPr>
      <w:r>
        <w:rPr>
          <w:rFonts w:cs="Arial"/>
          <w:szCs w:val="24"/>
        </w:rPr>
      </w:r>
    </w:p>
    <w:p>
      <w:pPr>
        <w:pStyle w:val="Normal"/>
        <w:ind w:left="708" w:hanging="0"/>
        <w:jc w:val="both"/>
        <w:rPr>
          <w:rFonts w:cs="Arial"/>
          <w:szCs w:val="24"/>
        </w:rPr>
      </w:pPr>
      <w:r>
        <w:rPr>
          <w:rFonts w:cs="Arial"/>
          <w:szCs w:val="24"/>
        </w:rPr>
        <w:t>Le salaire mensuel de base du médaillé du travail s’entend de la rémunération brute habituelle du salarié, à l’exclusion des diverses primes ou indemnités qui peuvent s’y ajouter, qu’elles présentent ou non le caractère de compléments de salaire (prime de vacances, 13ème mois, etc.).</w:t>
      </w:r>
    </w:p>
    <w:p>
      <w:pPr>
        <w:pStyle w:val="Normal"/>
        <w:ind w:left="708" w:hanging="0"/>
        <w:jc w:val="both"/>
        <w:rPr>
          <w:rFonts w:cs="Arial"/>
          <w:szCs w:val="24"/>
        </w:rPr>
      </w:pPr>
      <w:r>
        <w:rPr>
          <w:rFonts w:cs="Arial"/>
          <w:szCs w:val="24"/>
        </w:rPr>
      </w:r>
    </w:p>
    <w:p>
      <w:pPr>
        <w:pStyle w:val="Normal"/>
        <w:numPr>
          <w:ilvl w:val="0"/>
          <w:numId w:val="4"/>
        </w:numPr>
        <w:jc w:val="both"/>
        <w:rPr>
          <w:rFonts w:cs="Arial"/>
          <w:szCs w:val="22"/>
        </w:rPr>
      </w:pPr>
      <w:r>
        <w:rPr>
          <w:rFonts w:cs="Arial"/>
          <w:szCs w:val="22"/>
        </w:rPr>
        <w:t>AUTORISATIONS D’ABSENCES ET CONGES SPECIAUX</w:t>
      </w:r>
    </w:p>
    <w:p>
      <w:pPr>
        <w:pStyle w:val="Normal"/>
        <w:ind w:left="2145" w:hanging="0"/>
        <w:jc w:val="both"/>
        <w:rPr>
          <w:rFonts w:cs="Arial"/>
          <w:szCs w:val="22"/>
        </w:rPr>
      </w:pPr>
      <w:r>
        <w:rPr>
          <w:rFonts w:cs="Arial"/>
          <w:szCs w:val="22"/>
        </w:rPr>
      </w:r>
    </w:p>
    <w:p>
      <w:pPr>
        <w:pStyle w:val="Normal"/>
        <w:numPr>
          <w:ilvl w:val="0"/>
          <w:numId w:val="5"/>
        </w:numPr>
        <w:rPr>
          <w:rFonts w:cs="Arial"/>
          <w:szCs w:val="24"/>
        </w:rPr>
      </w:pPr>
      <w:r>
        <w:rPr>
          <w:rFonts w:cs="Arial"/>
          <w:szCs w:val="24"/>
        </w:rPr>
        <w:t>Maintien de l’octroi d’une journée par année civile, payée, par salarié, pour enfant mineur de moins de 16 ans à charge malade sur présentation de certificat médical. Cette disposition est reconduite pour une durée d’un an, sur l’année 2022.</w:t>
      </w:r>
      <w:r>
        <w:br w:type="page"/>
      </w:r>
    </w:p>
    <w:p>
      <w:pPr>
        <w:pStyle w:val="Normal"/>
        <w:ind w:left="1428" w:hanging="0"/>
        <w:rPr>
          <w:rFonts w:cs="Arial"/>
          <w:szCs w:val="24"/>
        </w:rPr>
      </w:pPr>
      <w:r>
        <w:rPr>
          <w:rFonts w:cs="Arial"/>
          <w:szCs w:val="24"/>
        </w:rPr>
      </w:r>
    </w:p>
    <w:p>
      <w:pPr>
        <w:pStyle w:val="Normal"/>
        <w:numPr>
          <w:ilvl w:val="0"/>
          <w:numId w:val="5"/>
        </w:numPr>
        <w:jc w:val="both"/>
        <w:rPr>
          <w:rFonts w:cs="Arial"/>
          <w:szCs w:val="24"/>
        </w:rPr>
      </w:pPr>
      <w:r>
        <w:rPr>
          <w:rFonts w:cs="Arial"/>
          <w:szCs w:val="24"/>
        </w:rPr>
        <w:t xml:space="preserve">Absences pour événements familiaux (exprimé en jours ouvrables), pour rappel : </w:t>
      </w:r>
    </w:p>
    <w:p>
      <w:pPr>
        <w:pStyle w:val="Normal"/>
        <w:ind w:left="2084" w:hanging="0"/>
        <w:jc w:val="both"/>
        <w:rPr>
          <w:rFonts w:cs="Arial"/>
          <w:szCs w:val="24"/>
        </w:rPr>
      </w:pPr>
      <w:r>
        <w:rPr>
          <w:rFonts w:cs="Arial"/>
          <w:szCs w:val="24"/>
        </w:rPr>
      </w:r>
    </w:p>
    <w:tbl>
      <w:tblPr>
        <w:tblW w:w="6821" w:type="dxa"/>
        <w:jc w:val="left"/>
        <w:tblInd w:w="2119"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529"/>
        <w:gridCol w:w="1641"/>
        <w:gridCol w:w="1651"/>
      </w:tblGrid>
      <w:tr>
        <w:trPr>
          <w:trHeight w:val="479"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bCs/>
                <w:iCs/>
                <w:szCs w:val="22"/>
              </w:rPr>
            </w:pPr>
            <w:r>
              <w:rPr>
                <w:rFonts w:cs="Arial" w:ascii="Arial" w:hAnsi="Arial"/>
                <w:bCs/>
                <w:iCs/>
                <w:szCs w:val="22"/>
              </w:rPr>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bCs/>
                <w:iCs/>
                <w:szCs w:val="22"/>
              </w:rPr>
            </w:pPr>
            <w:r>
              <w:rPr>
                <w:rFonts w:cs="Arial" w:ascii="Arial" w:hAnsi="Arial"/>
                <w:bCs/>
                <w:iCs/>
                <w:szCs w:val="22"/>
              </w:rPr>
              <w:t>Ancienneté</w:t>
            </w:r>
          </w:p>
          <w:p>
            <w:pPr>
              <w:pStyle w:val="Normal"/>
              <w:jc w:val="center"/>
              <w:rPr>
                <w:rFonts w:ascii="Arial" w:hAnsi="Arial" w:cs="Arial"/>
                <w:bCs/>
                <w:iCs/>
                <w:szCs w:val="22"/>
              </w:rPr>
            </w:pPr>
            <w:r>
              <w:rPr>
                <w:rFonts w:cs="Arial" w:ascii="Arial" w:hAnsi="Arial"/>
                <w:bCs/>
                <w:iCs/>
                <w:szCs w:val="22"/>
              </w:rPr>
              <w:t>&lt;  1 An</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Arial" w:hAnsi="Arial" w:cs="Arial"/>
                <w:bCs/>
                <w:iCs/>
                <w:szCs w:val="22"/>
              </w:rPr>
            </w:pPr>
            <w:r>
              <w:rPr>
                <w:rFonts w:cs="Arial" w:ascii="Arial" w:hAnsi="Arial"/>
                <w:bCs/>
                <w:iCs/>
                <w:szCs w:val="22"/>
              </w:rPr>
              <w:t>Ancienneté</w:t>
            </w:r>
          </w:p>
          <w:p>
            <w:pPr>
              <w:pStyle w:val="Normal"/>
              <w:jc w:val="center"/>
              <w:rPr>
                <w:rFonts w:ascii="Arial" w:hAnsi="Arial" w:cs="Arial"/>
                <w:bCs/>
                <w:iCs/>
                <w:szCs w:val="22"/>
              </w:rPr>
            </w:pPr>
            <w:r>
              <w:rPr>
                <w:rFonts w:cs="Arial" w:ascii="Arial" w:hAnsi="Arial"/>
                <w:bCs/>
                <w:iCs/>
                <w:szCs w:val="22"/>
              </w:rPr>
              <w:t>&gt; 1 An</w:t>
            </w:r>
          </w:p>
        </w:tc>
      </w:tr>
      <w:tr>
        <w:trPr>
          <w:trHeight w:val="243"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Mariage du salarié(e)</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4 jours</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6 jours</w:t>
            </w:r>
          </w:p>
        </w:tc>
      </w:tr>
      <w:tr>
        <w:trPr>
          <w:trHeight w:val="236"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PACS du salarié(e)</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pPr>
            <w:r>
              <w:rPr>
                <w:rFonts w:cs="Arial" w:ascii="Arial" w:hAnsi="Arial"/>
                <w:bCs/>
                <w:iCs/>
                <w:szCs w:val="22"/>
              </w:rPr>
              <w:t>4 jours</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pPr>
            <w:r>
              <w:rPr>
                <w:rFonts w:cs="Arial" w:ascii="Arial" w:hAnsi="Arial"/>
                <w:bCs/>
                <w:iCs/>
                <w:szCs w:val="22"/>
              </w:rPr>
              <w:t>4 jours</w:t>
            </w:r>
          </w:p>
        </w:tc>
      </w:tr>
      <w:tr>
        <w:trPr>
          <w:trHeight w:val="243"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Naissance/adoption</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3 jours</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3 jours</w:t>
            </w:r>
          </w:p>
        </w:tc>
      </w:tr>
      <w:tr>
        <w:trPr>
          <w:trHeight w:val="479"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 xml:space="preserve">Mariage d’un enfant du salarié (e) </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2 jours</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2 jours</w:t>
            </w:r>
          </w:p>
        </w:tc>
      </w:tr>
      <w:tr>
        <w:trPr>
          <w:trHeight w:val="479"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Obsèques du conjoint ou pacsé ou concubin du salarié(e)</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3 jours</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3 jours</w:t>
            </w:r>
          </w:p>
        </w:tc>
      </w:tr>
      <w:tr>
        <w:trPr>
          <w:trHeight w:val="479"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Obsèques d’un de ses enfants</w:t>
            </w:r>
          </w:p>
          <w:p>
            <w:pPr>
              <w:pStyle w:val="Normal"/>
              <w:jc w:val="both"/>
              <w:rPr>
                <w:rFonts w:ascii="Arial" w:hAnsi="Arial" w:cs="Arial"/>
                <w:bCs/>
                <w:iCs/>
                <w:szCs w:val="22"/>
              </w:rPr>
            </w:pPr>
            <w:r>
              <w:rPr>
                <w:rFonts w:cs="Arial" w:ascii="Arial" w:hAnsi="Arial"/>
                <w:bCs/>
                <w:iCs/>
                <w:szCs w:val="22"/>
              </w:rPr>
              <w:t>(si l’enfant a 25 ans et plus, et sans enfant)</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pPr>
            <w:r>
              <w:rPr>
                <w:rFonts w:cs="Arial" w:ascii="Arial" w:hAnsi="Arial"/>
                <w:bCs/>
                <w:iCs/>
                <w:szCs w:val="22"/>
              </w:rPr>
              <w:t>5 jours</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5 jours</w:t>
            </w:r>
          </w:p>
        </w:tc>
      </w:tr>
      <w:tr>
        <w:trPr>
          <w:trHeight w:val="479"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Obsèques d’un de ses enfants</w:t>
            </w:r>
          </w:p>
          <w:p>
            <w:pPr>
              <w:pStyle w:val="Normal"/>
              <w:jc w:val="both"/>
              <w:rPr>
                <w:rFonts w:ascii="Arial" w:hAnsi="Arial" w:cs="Arial"/>
                <w:bCs/>
                <w:iCs/>
                <w:szCs w:val="22"/>
              </w:rPr>
            </w:pPr>
            <w:r>
              <w:rPr>
                <w:rFonts w:cs="Arial" w:ascii="Arial" w:hAnsi="Arial"/>
                <w:bCs/>
                <w:iCs/>
                <w:szCs w:val="22"/>
              </w:rPr>
              <w:t>(si l’enfant a moins de 25 ans, ou étant lui-même parent)</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pPr>
            <w:r>
              <w:rPr>
                <w:rFonts w:cs="Arial" w:ascii="Arial" w:hAnsi="Arial"/>
                <w:bCs/>
                <w:iCs/>
                <w:szCs w:val="22"/>
              </w:rPr>
              <w:t xml:space="preserve">7 jours </w:t>
            </w:r>
            <w:r>
              <w:rPr>
                <w:rFonts w:cs="Arial" w:ascii="Arial" w:hAnsi="Arial"/>
                <w:bCs/>
                <w:i/>
                <w:szCs w:val="22"/>
              </w:rPr>
              <w:t>ouvrés</w:t>
            </w:r>
            <w:r>
              <w:rPr>
                <w:rFonts w:cs="Arial" w:ascii="Arial" w:hAnsi="Arial"/>
                <w:bCs/>
                <w:iCs/>
                <w:szCs w:val="22"/>
              </w:rPr>
              <w:t xml:space="preserve"> </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 xml:space="preserve">7 jours </w:t>
            </w:r>
            <w:r>
              <w:rPr>
                <w:rFonts w:cs="Arial" w:ascii="Arial" w:hAnsi="Arial"/>
                <w:bCs/>
                <w:i/>
                <w:szCs w:val="22"/>
              </w:rPr>
              <w:t>ouvrés</w:t>
            </w:r>
          </w:p>
        </w:tc>
      </w:tr>
      <w:tr>
        <w:trPr>
          <w:trHeight w:val="479"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Obsèques du père ou de la mère du salarié(e)</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3 jours</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3 jours</w:t>
            </w:r>
          </w:p>
        </w:tc>
      </w:tr>
      <w:tr>
        <w:trPr>
          <w:trHeight w:val="243"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 xml:space="preserve">Obsèques de ses frères, sœurs, </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pPr>
            <w:r>
              <w:rPr>
                <w:rFonts w:cs="Arial" w:ascii="Arial" w:hAnsi="Arial"/>
                <w:bCs/>
                <w:iCs/>
                <w:szCs w:val="22"/>
              </w:rPr>
              <w:t>3 jours</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pPr>
            <w:r>
              <w:rPr>
                <w:rFonts w:cs="Arial" w:ascii="Arial" w:hAnsi="Arial"/>
                <w:bCs/>
                <w:iCs/>
                <w:szCs w:val="22"/>
              </w:rPr>
              <w:t>3 jours</w:t>
            </w:r>
          </w:p>
        </w:tc>
      </w:tr>
      <w:tr>
        <w:trPr>
          <w:trHeight w:val="479"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Obsèques des beaux-frères ou belles-sœurs</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2 jours</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2 jours</w:t>
            </w:r>
          </w:p>
        </w:tc>
      </w:tr>
      <w:tr>
        <w:trPr>
          <w:trHeight w:val="479"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 xml:space="preserve">Obsèques de ses grands-parents </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1 jour</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1 jour</w:t>
            </w:r>
          </w:p>
        </w:tc>
      </w:tr>
      <w:tr>
        <w:trPr>
          <w:trHeight w:val="479"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pPr>
            <w:r>
              <w:rPr>
                <w:rFonts w:cs="Arial" w:ascii="Arial" w:hAnsi="Arial"/>
                <w:bCs/>
                <w:iCs/>
                <w:szCs w:val="22"/>
              </w:rPr>
              <w:t>Obsèques de ses beaux-parents</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3 jours</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3 jours</w:t>
            </w:r>
          </w:p>
        </w:tc>
      </w:tr>
      <w:tr>
        <w:trPr>
          <w:trHeight w:val="479"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Obsèques d’un petit-enfant</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1 jour</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1 jour</w:t>
            </w:r>
          </w:p>
        </w:tc>
      </w:tr>
      <w:tr>
        <w:trPr>
          <w:trHeight w:val="479"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Annonce de la survenue d’un handicap chez l’enfant</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2 jours</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2 jours</w:t>
            </w:r>
          </w:p>
        </w:tc>
      </w:tr>
      <w:tr>
        <w:trPr>
          <w:trHeight w:val="715" w:hRule="atLeast"/>
        </w:trPr>
        <w:tc>
          <w:tcPr>
            <w:tcW w:w="35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Cs/>
                <w:iCs/>
                <w:szCs w:val="22"/>
              </w:rPr>
            </w:pPr>
            <w:r>
              <w:rPr>
                <w:rFonts w:cs="Arial" w:ascii="Arial" w:hAnsi="Arial"/>
                <w:bCs/>
                <w:iCs/>
                <w:szCs w:val="22"/>
              </w:rPr>
              <w:t>Journée de préparation à la défense ou présélection militaire</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bCs/>
                <w:iCs/>
                <w:szCs w:val="22"/>
              </w:rPr>
            </w:pPr>
            <w:r>
              <w:rPr>
                <w:rFonts w:cs="Arial" w:ascii="Arial" w:hAnsi="Arial"/>
                <w:bCs/>
                <w:iCs/>
                <w:szCs w:val="22"/>
              </w:rPr>
            </w:r>
          </w:p>
          <w:p>
            <w:pPr>
              <w:pStyle w:val="Normal"/>
              <w:jc w:val="both"/>
              <w:rPr>
                <w:rFonts w:ascii="Arial" w:hAnsi="Arial" w:cs="Arial"/>
                <w:bCs/>
                <w:iCs/>
                <w:szCs w:val="22"/>
              </w:rPr>
            </w:pPr>
            <w:r>
              <w:rPr>
                <w:rFonts w:cs="Arial" w:ascii="Arial" w:hAnsi="Arial"/>
                <w:bCs/>
                <w:iCs/>
                <w:szCs w:val="22"/>
              </w:rPr>
              <w:t>1 jour</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bCs/>
                <w:iCs/>
                <w:szCs w:val="22"/>
              </w:rPr>
            </w:pPr>
            <w:r>
              <w:rPr>
                <w:rFonts w:cs="Arial" w:ascii="Arial" w:hAnsi="Arial"/>
                <w:bCs/>
                <w:iCs/>
                <w:szCs w:val="22"/>
              </w:rPr>
            </w:r>
          </w:p>
          <w:p>
            <w:pPr>
              <w:pStyle w:val="Normal"/>
              <w:jc w:val="both"/>
              <w:rPr>
                <w:rFonts w:ascii="Arial" w:hAnsi="Arial" w:cs="Arial"/>
                <w:bCs/>
                <w:iCs/>
                <w:szCs w:val="22"/>
              </w:rPr>
            </w:pPr>
            <w:r>
              <w:rPr>
                <w:rFonts w:cs="Arial" w:ascii="Arial" w:hAnsi="Arial"/>
                <w:bCs/>
                <w:iCs/>
                <w:szCs w:val="22"/>
              </w:rPr>
              <w:t>1 jour</w:t>
            </w:r>
          </w:p>
        </w:tc>
      </w:tr>
    </w:tbl>
    <w:p>
      <w:pPr>
        <w:pStyle w:val="Normal"/>
        <w:ind w:left="1776" w:hanging="0"/>
        <w:jc w:val="both"/>
        <w:rPr>
          <w:rFonts w:cs="Arial"/>
          <w:szCs w:val="22"/>
        </w:rPr>
      </w:pPr>
      <w:r>
        <w:rPr>
          <w:rFonts w:cs="Arial"/>
          <w:szCs w:val="22"/>
        </w:rPr>
      </w:r>
    </w:p>
    <w:p>
      <w:pPr>
        <w:pStyle w:val="Normal"/>
        <w:ind w:left="1776" w:hanging="0"/>
        <w:jc w:val="both"/>
        <w:rPr>
          <w:rFonts w:cs="Arial"/>
          <w:szCs w:val="22"/>
        </w:rPr>
      </w:pPr>
      <w:r>
        <w:rPr>
          <w:rFonts w:cs="Arial"/>
          <w:szCs w:val="22"/>
        </w:rPr>
      </w:r>
    </w:p>
    <w:p>
      <w:pPr>
        <w:pStyle w:val="Normal"/>
        <w:numPr>
          <w:ilvl w:val="0"/>
          <w:numId w:val="4"/>
        </w:numPr>
        <w:jc w:val="both"/>
        <w:rPr>
          <w:rFonts w:cs="Arial"/>
          <w:szCs w:val="22"/>
        </w:rPr>
      </w:pPr>
      <w:r>
        <w:rPr>
          <w:rFonts w:cs="Arial"/>
          <w:szCs w:val="22"/>
        </w:rPr>
        <w:t>AUTRES</w:t>
      </w:r>
    </w:p>
    <w:p>
      <w:pPr>
        <w:pStyle w:val="Normal"/>
        <w:numPr>
          <w:ilvl w:val="1"/>
          <w:numId w:val="3"/>
        </w:numPr>
        <w:tabs>
          <w:tab w:val="left" w:pos="1364" w:leader="none"/>
        </w:tabs>
        <w:jc w:val="both"/>
        <w:rPr>
          <w:rFonts w:cs="Arial"/>
          <w:szCs w:val="22"/>
        </w:rPr>
      </w:pPr>
      <w:r>
        <w:rPr>
          <w:rFonts w:cs="Arial"/>
          <w:szCs w:val="22"/>
        </w:rPr>
        <w:t>Refus des autres propositions syndicales. Il est fait application de la règlementation du travail et des usages en vigueur.</w:t>
      </w:r>
      <w:r>
        <w:br w:type="page"/>
      </w:r>
    </w:p>
    <w:p>
      <w:pPr>
        <w:pStyle w:val="Normal"/>
        <w:jc w:val="both"/>
        <w:rPr>
          <w:rFonts w:cs="Arial"/>
          <w:b/>
          <w:b/>
          <w:sz w:val="24"/>
          <w:szCs w:val="22"/>
          <w:u w:val="single"/>
        </w:rPr>
      </w:pPr>
      <w:r>
        <w:rPr>
          <w:rFonts w:cs="Arial"/>
          <w:b/>
          <w:sz w:val="24"/>
          <w:szCs w:val="22"/>
          <w:u w:val="single"/>
        </w:rPr>
      </w:r>
    </w:p>
    <w:p>
      <w:pPr>
        <w:pStyle w:val="Normal"/>
        <w:jc w:val="both"/>
        <w:rPr>
          <w:rFonts w:cs="Arial"/>
          <w:sz w:val="24"/>
        </w:rPr>
      </w:pPr>
      <w:r>
        <w:rPr>
          <w:rFonts w:cs="Arial"/>
          <w:b/>
          <w:sz w:val="24"/>
          <w:u w:val="single"/>
        </w:rPr>
        <w:t xml:space="preserve">4 – </w:t>
      </w:r>
      <w:r>
        <w:rPr>
          <w:rFonts w:cs="Arial"/>
          <w:b/>
          <w:caps/>
          <w:sz w:val="24"/>
          <w:u w:val="single"/>
        </w:rPr>
        <w:t>Conditions de dépÔt et publicité de l’accord</w:t>
      </w:r>
    </w:p>
    <w:p>
      <w:pPr>
        <w:pStyle w:val="TextBody"/>
        <w:rPr>
          <w:rFonts w:ascii="Vinci Sans;Times New Roman" w:hAnsi="Vinci Sans;Times New Roman" w:cs="Arial"/>
          <w:sz w:val="24"/>
        </w:rPr>
      </w:pPr>
      <w:r>
        <w:rPr>
          <w:rFonts w:cs="Arial" w:ascii="Vinci Sans;Times New Roman" w:hAnsi="Vinci Sans;Times New Roman"/>
          <w:sz w:val="24"/>
        </w:rPr>
      </w:r>
    </w:p>
    <w:p>
      <w:pPr>
        <w:pStyle w:val="Normal"/>
        <w:spacing w:lineRule="auto" w:line="276"/>
        <w:rPr/>
      </w:pPr>
      <w:r>
        <w:rPr>
          <w:rFonts w:cs="Arial"/>
        </w:rPr>
        <w:t>Le présent accord sera déposé en deux exemplaires originaux à la Direction régionale des entreprises, de la concurrence, de la consommation du travail et de l’emploi de ROUEN, dont une version papier par lettre recommandée avec accusé de réception et une version sur support électronique via le site de télétransmission gouvernementale, à l’initiative de la Direction de la société.</w:t>
      </w:r>
    </w:p>
    <w:p>
      <w:pPr>
        <w:pStyle w:val="Normal"/>
        <w:spacing w:lineRule="auto" w:line="276"/>
        <w:rPr/>
      </w:pPr>
      <w:r>
        <w:rPr>
          <w:rFonts w:cs="Arial"/>
        </w:rPr>
        <w:t>Un exemplaire original sera, en outre, déposé au Secrétariat-Greffe du Conseil des Prud’hommes de ROUEN.</w:t>
      </w:r>
    </w:p>
    <w:p>
      <w:pPr>
        <w:pStyle w:val="Normal"/>
        <w:spacing w:lineRule="auto" w:line="276"/>
        <w:rPr>
          <w:rFonts w:cs="Arial"/>
        </w:rPr>
      </w:pPr>
      <w:r>
        <w:rPr>
          <w:rFonts w:cs="Arial"/>
        </w:rPr>
      </w:r>
    </w:p>
    <w:p>
      <w:pPr>
        <w:pStyle w:val="Normal"/>
        <w:spacing w:lineRule="auto" w:line="276"/>
        <w:rPr/>
      </w:pPr>
      <w:r>
        <w:rPr>
          <w:rFonts w:cs="Arial"/>
        </w:rPr>
        <w:t>Un exemplaire original est remis à l’ensemble des parties signataires.</w:t>
      </w:r>
    </w:p>
    <w:p>
      <w:pPr>
        <w:pStyle w:val="Normal"/>
        <w:ind w:firstLine="5103"/>
        <w:jc w:val="both"/>
        <w:rPr>
          <w:rFonts w:cs="Arial"/>
          <w:sz w:val="24"/>
        </w:rPr>
      </w:pPr>
      <w:r>
        <w:rPr>
          <w:rFonts w:cs="Arial"/>
          <w:sz w:val="24"/>
        </w:rPr>
      </w:r>
    </w:p>
    <w:p>
      <w:pPr>
        <w:pStyle w:val="Normal"/>
        <w:ind w:firstLine="5103"/>
        <w:jc w:val="both"/>
        <w:rPr>
          <w:rFonts w:cs="Arial"/>
          <w:sz w:val="24"/>
        </w:rPr>
      </w:pPr>
      <w:r>
        <w:rPr>
          <w:rFonts w:cs="Arial"/>
          <w:sz w:val="24"/>
        </w:rPr>
      </w:r>
    </w:p>
    <w:p>
      <w:pPr>
        <w:pStyle w:val="Normal"/>
        <w:ind w:firstLine="5103"/>
        <w:jc w:val="both"/>
        <w:rPr>
          <w:rFonts w:cs="Arial"/>
        </w:rPr>
      </w:pPr>
      <w:r>
        <w:rPr>
          <w:rFonts w:eastAsia="Vinci Sans;Times New Roman" w:cs="Vinci Sans;Times New Roman"/>
        </w:rPr>
        <w:t xml:space="preserve"> </w:t>
      </w:r>
      <w:r>
        <w:rPr>
          <w:rFonts w:cs="Arial"/>
        </w:rPr>
        <w:t>Fait à ROUEN, le 24 Janvier 2022</w:t>
      </w:r>
    </w:p>
    <w:p>
      <w:pPr>
        <w:pStyle w:val="Normal"/>
        <w:tabs>
          <w:tab w:val="left" w:pos="5198" w:leader="none"/>
        </w:tabs>
        <w:jc w:val="both"/>
        <w:rPr/>
      </w:pPr>
      <w:r>
        <w:rPr>
          <w:rFonts w:cs="Arial"/>
        </w:rPr>
        <w:tab/>
        <w:t>En cinq exemplaires</w:t>
      </w:r>
    </w:p>
    <w:p>
      <w:pPr>
        <w:pStyle w:val="Normal"/>
        <w:jc w:val="both"/>
        <w:rPr>
          <w:rFonts w:cs="Arial"/>
        </w:rPr>
      </w:pPr>
      <w:r>
        <w:rPr>
          <w:rFonts w:cs="Arial"/>
        </w:rPr>
      </w:r>
    </w:p>
    <w:p>
      <w:pPr>
        <w:pStyle w:val="TextBody"/>
        <w:tabs>
          <w:tab w:val="center" w:pos="2127" w:leader="none"/>
          <w:tab w:val="center" w:pos="4536" w:leader="none"/>
          <w:tab w:val="left" w:pos="6308" w:leader="none"/>
          <w:tab w:val="center" w:pos="7655" w:leader="none"/>
        </w:tabs>
        <w:rPr>
          <w:rFonts w:ascii="Vinci Sans;Times New Roman" w:hAnsi="Vinci Sans;Times New Roman" w:cs="Arial"/>
          <w:sz w:val="22"/>
        </w:rPr>
      </w:pPr>
      <w:r>
        <w:rPr>
          <w:rFonts w:cs="Arial" w:ascii="Vinci Sans;Times New Roman" w:hAnsi="Vinci Sans;Times New Roman"/>
          <w:sz w:val="22"/>
        </w:rPr>
        <w:t xml:space="preserve">Pour la Direction : </w:t>
        <w:tab/>
        <w:tab/>
        <w:tab/>
        <w:t>Pour les Syndicats :</w:t>
        <w:tab/>
      </w:r>
    </w:p>
    <w:p>
      <w:pPr>
        <w:pStyle w:val="TextBody"/>
        <w:tabs>
          <w:tab w:val="center" w:pos="2127" w:leader="none"/>
          <w:tab w:val="center" w:pos="4536" w:leader="none"/>
          <w:tab w:val="center" w:pos="7655" w:leader="none"/>
        </w:tabs>
        <w:rPr>
          <w:rFonts w:ascii="Vinci Sans;Times New Roman" w:hAnsi="Vinci Sans;Times New Roman" w:cs="Arial"/>
          <w:sz w:val="22"/>
        </w:rPr>
      </w:pPr>
      <w:r>
        <w:rPr>
          <w:rFonts w:cs="Arial" w:ascii="Vinci Sans;Times New Roman" w:hAnsi="Vinci Sans;Times New Roman"/>
          <w:sz w:val="22"/>
        </w:rPr>
      </w:r>
    </w:p>
    <w:p>
      <w:pPr>
        <w:pStyle w:val="Normal"/>
        <w:rPr/>
      </w:pPr>
      <w:r>
        <w:rPr>
          <w:rFonts w:cs="Arial"/>
          <w:sz w:val="20"/>
        </w:rPr>
        <w:tab/>
        <w:tab/>
        <w:tab/>
        <w:tab/>
        <w:tab/>
        <w:tab/>
        <w:tab/>
        <w:tab/>
        <w:tab/>
        <w:t>CGT</w:t>
      </w:r>
    </w:p>
    <w:p>
      <w:pPr>
        <w:pStyle w:val="Normal"/>
        <w:rPr>
          <w:rFonts w:cs="Arial"/>
          <w:sz w:val="20"/>
        </w:rPr>
      </w:pPr>
      <w:r>
        <w:rPr>
          <w:rFonts w:cs="Arial"/>
          <w:sz w:val="20"/>
        </w:rPr>
        <w:tab/>
        <w:tab/>
        <w:tab/>
        <w:tab/>
        <w:tab/>
        <w:tab/>
        <w:tab/>
        <w:tab/>
        <w:tab/>
        <w:t xml:space="preserve"> </w:t>
      </w:r>
    </w:p>
    <w:p>
      <w:pPr>
        <w:pStyle w:val="Normal"/>
        <w:rPr>
          <w:rFonts w:cs="Arial"/>
          <w:sz w:val="20"/>
        </w:rPr>
      </w:pPr>
      <w:r>
        <w:rPr>
          <w:rFonts w:cs="Arial"/>
          <w:sz w:val="20"/>
        </w:rPr>
      </w:r>
    </w:p>
    <w:p>
      <w:pPr>
        <w:pStyle w:val="Normal"/>
        <w:rPr>
          <w:rFonts w:cs="Arial"/>
          <w:sz w:val="20"/>
        </w:rPr>
      </w:pPr>
      <w:r>
        <w:rPr>
          <w:rFonts w:cs="Arial"/>
          <w:sz w:val="20"/>
        </w:rPr>
      </w:r>
    </w:p>
    <w:p>
      <w:pPr>
        <w:pStyle w:val="Normal"/>
        <w:rPr/>
      </w:pPr>
      <w:r>
        <w:rPr>
          <w:rFonts w:cs="Arial"/>
          <w:sz w:val="20"/>
        </w:rPr>
        <w:tab/>
        <w:tab/>
        <w:tab/>
        <w:tab/>
        <w:tab/>
        <w:tab/>
        <w:tab/>
        <w:tab/>
        <w:tab/>
        <w:t>CFDT</w:t>
      </w:r>
    </w:p>
    <w:p>
      <w:pPr>
        <w:pStyle w:val="Normal"/>
        <w:rPr>
          <w:rFonts w:cs="Arial"/>
          <w:sz w:val="20"/>
        </w:rPr>
      </w:pPr>
      <w:r>
        <w:rPr>
          <w:rFonts w:cs="Arial"/>
          <w:sz w:val="20"/>
        </w:rPr>
        <w:tab/>
        <w:tab/>
        <w:tab/>
        <w:tab/>
        <w:tab/>
        <w:tab/>
        <w:tab/>
        <w:tab/>
        <w:tab/>
      </w:r>
    </w:p>
    <w:p>
      <w:pPr>
        <w:pStyle w:val="Normal"/>
        <w:rPr>
          <w:rFonts w:cs="Arial"/>
          <w:sz w:val="20"/>
        </w:rPr>
      </w:pPr>
      <w:r>
        <w:rPr>
          <w:rFonts w:cs="Arial"/>
          <w:sz w:val="20"/>
        </w:rPr>
      </w:r>
    </w:p>
    <w:p>
      <w:pPr>
        <w:pStyle w:val="Normal"/>
        <w:rPr>
          <w:rFonts w:cs="Arial"/>
          <w:sz w:val="20"/>
        </w:rPr>
      </w:pPr>
      <w:r>
        <w:rPr>
          <w:rFonts w:cs="Arial"/>
          <w:sz w:val="20"/>
        </w:rPr>
        <w:tab/>
        <w:tab/>
        <w:tab/>
        <w:tab/>
        <w:tab/>
        <w:tab/>
        <w:tab/>
        <w:tab/>
        <w:tab/>
      </w:r>
    </w:p>
    <w:p>
      <w:pPr>
        <w:pStyle w:val="Normal"/>
        <w:rPr>
          <w:rFonts w:cs="Arial"/>
          <w:sz w:val="20"/>
        </w:rPr>
      </w:pPr>
      <w:r>
        <w:rPr>
          <w:rFonts w:cs="Arial"/>
          <w:sz w:val="20"/>
        </w:rPr>
      </w:r>
    </w:p>
    <w:p>
      <w:pPr>
        <w:sectPr>
          <w:headerReference w:type="default" r:id="rId2"/>
          <w:headerReference w:type="first" r:id="rId3"/>
          <w:footerReference w:type="default" r:id="rId4"/>
          <w:footerReference w:type="first" r:id="rId5"/>
          <w:type w:val="nextPage"/>
          <w:pgSz w:w="11906" w:h="16838"/>
          <w:pgMar w:left="1247" w:right="1247" w:header="0" w:top="2835" w:footer="510" w:bottom="2268" w:gutter="0"/>
          <w:pgNumType w:fmt="decimal"/>
          <w:formProt w:val="false"/>
          <w:titlePg/>
          <w:textDirection w:val="lrTb"/>
          <w:docGrid w:type="default" w:linePitch="360" w:charSpace="0"/>
        </w:sectPr>
      </w:pPr>
    </w:p>
    <w:sectPr>
      <w:type w:val="continuous"/>
      <w:pgSz w:w="11906" w:h="16838"/>
      <w:pgMar w:left="1247" w:right="1247" w:header="0" w:top="1701"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inci Sans">
    <w:altName w:val="Times New Roman"/>
    <w:charset w:val="00"/>
    <w:family w:val="auto"/>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Vinci Sans Medium">
    <w:altName w:val="Times New Roman"/>
    <w:charset w:val="00"/>
    <w:family w:val="auto"/>
    <w:pitch w:val="variable"/>
  </w:font>
  <w:font w:name="Vinci Sans Bold">
    <w:altName w:val="Courier New"/>
    <w:charset w:val="00"/>
    <w:family w:val="auto"/>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SIEGE SOCIAL : </w:t>
    </w:r>
  </w:p>
  <w:p>
    <w:pPr>
      <w:pStyle w:val="Footer"/>
      <w:rPr>
        <w:caps/>
      </w:rPr>
    </w:pPr>
    <w:r>
      <w:rPr>
        <w:caps/>
      </w:rPr>
      <w:t>SOGEA NORD-OUEST</w:t>
    </w:r>
  </w:p>
  <w:p>
    <w:pPr>
      <w:pStyle w:val="Footer"/>
      <w:rPr/>
    </w:pPr>
    <w:r>
      <w:rPr/>
      <w:t>10 BD Ferdinand de LESSEPS – 76004 ROUEN</w:t>
    </w:r>
  </w:p>
  <w:p>
    <w:pPr>
      <w:pStyle w:val="Footer"/>
      <w:rPr/>
    </w:pPr>
    <w:r>
      <w:rPr/>
      <w:t>Tél. : 02 27 08 90 00</w:t>
    </w:r>
  </w:p>
  <w:p>
    <w:pPr>
      <w:pStyle w:val="Footer"/>
      <w:rPr/>
    </w:pPr>
    <w:r>
      <w:rPr/>
    </w:r>
  </w:p>
  <w:p>
    <w:pPr>
      <w:pStyle w:val="Mentions"/>
      <w:rPr/>
    </w:pPr>
    <w:r>
      <w:rPr/>
      <w:t>SAS AU CAPITAL DE 2 590 679 €</w:t>
    </w:r>
  </w:p>
  <w:p>
    <w:pPr>
      <w:pStyle w:val="Mentions"/>
      <w:rPr/>
    </w:pPr>
    <w:r>
      <w:rPr/>
      <w:t>344  314 976 RCS ROUEN – SIRET : 344 314 976 00038 – NAF 4120 B – TVA FR 88 344 314 976</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935" distR="114935" simplePos="0" locked="0" layoutInCell="1" allowOverlap="1" relativeHeight="0">
          <wp:simplePos x="0" y="0"/>
          <wp:positionH relativeFrom="column">
            <wp:align>center</wp:align>
          </wp:positionH>
          <wp:positionV relativeFrom="paragraph">
            <wp:posOffset>635</wp:posOffset>
          </wp:positionV>
          <wp:extent cx="7559040" cy="868680"/>
          <wp:effectExtent l="0" t="0" r="0" b="0"/>
          <wp:wrapNone/>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1"/>
                  <a:stretch>
                    <a:fillRect/>
                  </a:stretch>
                </pic:blipFill>
                <pic:spPr bwMode="auto">
                  <a:xfrm>
                    <a:off x="0" y="0"/>
                    <a:ext cx="7559040" cy="868680"/>
                  </a:xfrm>
                  <a:prstGeom prst="rect">
                    <a:avLst/>
                  </a:prstGeom>
                </pic:spPr>
              </pic:pic>
            </a:graphicData>
          </a:graphic>
        </wp:anchor>
      </w:drawing>
    </w:r>
    <w:r>
      <mc:AlternateContent>
        <mc:Choice Requires="wps">
          <w:drawing>
            <wp:anchor behindDoc="0" distT="0" distB="0" distL="0" distR="0" simplePos="0" locked="0" layoutInCell="1" allowOverlap="1" relativeHeight="0">
              <wp:simplePos x="0" y="0"/>
              <wp:positionH relativeFrom="page">
                <wp:posOffset>720725</wp:posOffset>
              </wp:positionH>
              <wp:positionV relativeFrom="page">
                <wp:posOffset>205740</wp:posOffset>
              </wp:positionV>
              <wp:extent cx="838835" cy="20955"/>
              <wp:effectExtent l="0" t="0" r="0" b="0"/>
              <wp:wrapSquare wrapText="bothSides"/>
              <wp:docPr id="2" name="Frame2"/>
              <a:graphic xmlns:a="http://schemas.openxmlformats.org/drawingml/2006/main">
                <a:graphicData uri="http://schemas.microsoft.com/office/word/2010/wordprocessingShape">
                  <wps:wsp>
                    <wps:cNvSpPr txBox="1"/>
                    <wps:spPr>
                      <a:xfrm>
                        <a:off x="0" y="0"/>
                        <a:ext cx="838835" cy="20955"/>
                      </a:xfrm>
                      <a:prstGeom prst="rect"/>
                      <a:solidFill>
                        <a:srgbClr val="FFFFFF">
                          <a:alpha val="0"/>
                        </a:srgbClr>
                      </a:solidFill>
                    </wps:spPr>
                    <wps:txbx>
                      <w:txbxContent>
                        <w:tbl>
                          <w:tblPr>
                            <w:tblW w:w="9412" w:type="dxa"/>
                            <w:jc w:val="left"/>
                            <w:tblInd w:w="0" w:type="dxa"/>
                            <w:tblBorders/>
                            <w:tblCellMar>
                              <w:top w:w="0" w:type="dxa"/>
                              <w:left w:w="0" w:type="dxa"/>
                              <w:bottom w:w="0" w:type="dxa"/>
                              <w:right w:w="0" w:type="dxa"/>
                            </w:tblCellMar>
                          </w:tblPr>
                          <w:tblGrid>
                            <w:gridCol w:w="9412"/>
                          </w:tblGrid>
                          <w:tr>
                            <w:trPr>
                              <w:trHeight w:val="595" w:hRule="exact"/>
                              <w:cantSplit w:val="true"/>
                            </w:trPr>
                            <w:tc>
                              <w:tcPr>
                                <w:tcW w:w="9412" w:type="dxa"/>
                                <w:tcBorders/>
                                <w:shd w:fill="auto" w:val="clear"/>
                                <w:vAlign w:val="center"/>
                              </w:tcPr>
                              <w:p>
                                <w:pPr>
                                  <w:pStyle w:val="Logo"/>
                                  <w:rPr/>
                                </w:pPr>
                                <w:r>
                                  <w:rPr/>
                                  <w:drawing>
                                    <wp:inline distT="0" distB="0" distL="0" distR="0">
                                      <wp:extent cx="828675" cy="295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828675" cy="295275"/>
                                              </a:xfrm>
                                              <a:prstGeom prst="rect">
                                                <a:avLst/>
                                              </a:prstGeom>
                                            </pic:spPr>
                                          </pic:pic>
                                        </a:graphicData>
                                      </a:graphic>
                                    </wp:inline>
                                  </w:drawing>
                                </w:r>
                              </w:p>
                            </w:tc>
                          </w:tr>
                        </w:tbl>
                      </w:txbxContent>
                    </wps:txbx>
                    <wps:bodyPr anchor="t">
                      <a:noAutofit/>
                    </wps:bodyPr>
                  </wps:wsp>
                </a:graphicData>
              </a:graphic>
            </wp:anchor>
          </w:drawing>
        </mc:Choice>
        <mc:Fallback>
          <w:pict>
            <v:rect fillcolor="#FFFFFF" style="position:absolute;rotation:0;width:66.05pt;height:1.65pt;margin-top:16.2pt;mso-position-vertical-relative:page;margin-left:56.75pt;mso-position-horizontal-relative:page">
              <v:fill opacity="0f"/>
              <v:textbox>
                <w:txbxContent>
                  <w:tbl>
                    <w:tblPr>
                      <w:tblW w:w="9412" w:type="dxa"/>
                      <w:jc w:val="left"/>
                      <w:tblInd w:w="0" w:type="dxa"/>
                      <w:tblBorders/>
                      <w:tblCellMar>
                        <w:top w:w="0" w:type="dxa"/>
                        <w:left w:w="0" w:type="dxa"/>
                        <w:bottom w:w="0" w:type="dxa"/>
                        <w:right w:w="0" w:type="dxa"/>
                      </w:tblCellMar>
                    </w:tblPr>
                    <w:tblGrid>
                      <w:gridCol w:w="9412"/>
                    </w:tblGrid>
                    <w:tr>
                      <w:trPr>
                        <w:trHeight w:val="595" w:hRule="exact"/>
                        <w:cantSplit w:val="true"/>
                      </w:trPr>
                      <w:tc>
                        <w:tcPr>
                          <w:tcW w:w="9412" w:type="dxa"/>
                          <w:tcBorders/>
                          <w:shd w:fill="auto" w:val="clear"/>
                          <w:vAlign w:val="center"/>
                        </w:tcPr>
                        <w:p>
                          <w:pPr>
                            <w:pStyle w:val="Logo"/>
                            <w:rPr/>
                          </w:pPr>
                          <w:r>
                            <w:rPr/>
                            <w:drawing>
                              <wp:inline distT="0" distB="0" distL="0" distR="0">
                                <wp:extent cx="828675" cy="2952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
                                        <a:stretch>
                                          <a:fillRect/>
                                        </a:stretch>
                                      </pic:blipFill>
                                      <pic:spPr bwMode="auto">
                                        <a:xfrm>
                                          <a:off x="0" y="0"/>
                                          <a:ext cx="828675" cy="295275"/>
                                        </a:xfrm>
                                        <a:prstGeom prst="rect">
                                          <a:avLst/>
                                        </a:prstGeom>
                                      </pic:spPr>
                                    </pic:pic>
                                  </a:graphicData>
                                </a:graphic>
                              </wp:inline>
                            </w:drawing>
                          </w:r>
                        </w:p>
                      </w:tc>
                    </w:tr>
                  </w:tbl>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935" distR="114935" simplePos="0" locked="0" layoutInCell="1" allowOverlap="1" relativeHeight="4">
          <wp:simplePos x="0" y="0"/>
          <wp:positionH relativeFrom="column">
            <wp:posOffset>-807085</wp:posOffset>
          </wp:positionH>
          <wp:positionV relativeFrom="paragraph">
            <wp:posOffset>-10795</wp:posOffset>
          </wp:positionV>
          <wp:extent cx="7560310" cy="1247775"/>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rcRect l="-4" t="-29" r="-4" b="-29"/>
                  <a:stretch>
                    <a:fillRect/>
                  </a:stretch>
                </pic:blipFill>
                <pic:spPr bwMode="auto">
                  <a:xfrm>
                    <a:off x="0" y="0"/>
                    <a:ext cx="7560310" cy="1247775"/>
                  </a:xfrm>
                  <a:prstGeom prst="rect">
                    <a:avLst/>
                  </a:prstGeom>
                </pic:spPr>
              </pic:pic>
            </a:graphicData>
          </a:graphic>
        </wp:anchor>
      </w:drawing>
    </w:r>
    <w:r>
      <mc:AlternateContent>
        <mc:Choice Requires="wps">
          <w:drawing>
            <wp:anchor behindDoc="0" distT="0" distB="0" distL="0" distR="0" simplePos="0" locked="0" layoutInCell="1" allowOverlap="1" relativeHeight="2">
              <wp:simplePos x="0" y="0"/>
              <wp:positionH relativeFrom="page">
                <wp:posOffset>756920</wp:posOffset>
              </wp:positionH>
              <wp:positionV relativeFrom="page">
                <wp:posOffset>324485</wp:posOffset>
              </wp:positionV>
              <wp:extent cx="838835" cy="377825"/>
              <wp:effectExtent l="0" t="0" r="0" b="0"/>
              <wp:wrapSquare wrapText="bothSides"/>
              <wp:docPr id="6" name="Frame1"/>
              <a:graphic xmlns:a="http://schemas.openxmlformats.org/drawingml/2006/main">
                <a:graphicData uri="http://schemas.microsoft.com/office/word/2010/wordprocessingShape">
                  <wps:wsp>
                    <wps:cNvSpPr txBox="1"/>
                    <wps:spPr>
                      <a:xfrm>
                        <a:off x="0" y="0"/>
                        <a:ext cx="838835" cy="377825"/>
                      </a:xfrm>
                      <a:prstGeom prst="rect"/>
                      <a:solidFill>
                        <a:srgbClr val="FFFFFF">
                          <a:alpha val="0"/>
                        </a:srgbClr>
                      </a:solidFill>
                    </wps:spPr>
                    <wps:txbx>
                      <w:txbxContent>
                        <w:tbl>
                          <w:tblPr>
                            <w:tblW w:w="1321" w:type="dxa"/>
                            <w:jc w:val="left"/>
                            <w:tblInd w:w="0" w:type="dxa"/>
                            <w:tblBorders/>
                            <w:tblCellMar>
                              <w:top w:w="0" w:type="dxa"/>
                              <w:left w:w="0" w:type="dxa"/>
                              <w:bottom w:w="0" w:type="dxa"/>
                              <w:right w:w="0" w:type="dxa"/>
                            </w:tblCellMar>
                          </w:tblPr>
                          <w:tblGrid>
                            <w:gridCol w:w="1321"/>
                          </w:tblGrid>
                          <w:tr>
                            <w:trPr>
                              <w:trHeight w:val="595" w:hRule="exact"/>
                              <w:cantSplit w:val="true"/>
                            </w:trPr>
                            <w:tc>
                              <w:tcPr>
                                <w:tcW w:w="1321" w:type="dxa"/>
                                <w:tcBorders/>
                                <w:shd w:fill="auto" w:val="clear"/>
                                <w:vAlign w:val="center"/>
                              </w:tcPr>
                              <w:p>
                                <w:pPr>
                                  <w:pStyle w:val="Logo"/>
                                  <w:rPr/>
                                </w:pPr>
                                <w:r>
                                  <w:rPr/>
                                  <w:drawing>
                                    <wp:inline distT="0" distB="0" distL="0" distR="0">
                                      <wp:extent cx="828675" cy="29527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rcRect l="-11" t="-31" r="-11" b="-31"/>
                                              <a:stretch>
                                                <a:fillRect/>
                                              </a:stretch>
                                            </pic:blipFill>
                                            <pic:spPr bwMode="auto">
                                              <a:xfrm>
                                                <a:off x="0" y="0"/>
                                                <a:ext cx="828675" cy="295275"/>
                                              </a:xfrm>
                                              <a:prstGeom prst="rect">
                                                <a:avLst/>
                                              </a:prstGeom>
                                            </pic:spPr>
                                          </pic:pic>
                                        </a:graphicData>
                                      </a:graphic>
                                    </wp:inline>
                                  </w:drawing>
                                </w:r>
                              </w:p>
                            </w:tc>
                          </w:tr>
                        </w:tbl>
                      </w:txbxContent>
                    </wps:txbx>
                    <wps:bodyPr anchor="t">
                      <a:noAutofit/>
                    </wps:bodyPr>
                  </wps:wsp>
                </a:graphicData>
              </a:graphic>
            </wp:anchor>
          </w:drawing>
        </mc:Choice>
        <mc:Fallback>
          <w:pict>
            <v:rect fillcolor="#FFFFFF" style="position:absolute;rotation:0;width:66.05pt;height:29.75pt;margin-top:25.55pt;mso-position-vertical-relative:page;margin-left:59.6pt;mso-position-horizontal-relative:page">
              <v:fill opacity="0f"/>
              <v:textbox>
                <w:txbxContent>
                  <w:tbl>
                    <w:tblPr>
                      <w:tblW w:w="1321" w:type="dxa"/>
                      <w:jc w:val="left"/>
                      <w:tblInd w:w="0" w:type="dxa"/>
                      <w:tblBorders/>
                      <w:tblCellMar>
                        <w:top w:w="0" w:type="dxa"/>
                        <w:left w:w="0" w:type="dxa"/>
                        <w:bottom w:w="0" w:type="dxa"/>
                        <w:right w:w="0" w:type="dxa"/>
                      </w:tblCellMar>
                    </w:tblPr>
                    <w:tblGrid>
                      <w:gridCol w:w="1321"/>
                    </w:tblGrid>
                    <w:tr>
                      <w:trPr>
                        <w:trHeight w:val="595" w:hRule="exact"/>
                        <w:cantSplit w:val="true"/>
                      </w:trPr>
                      <w:tc>
                        <w:tcPr>
                          <w:tcW w:w="1321" w:type="dxa"/>
                          <w:tcBorders/>
                          <w:shd w:fill="auto" w:val="clear"/>
                          <w:vAlign w:val="center"/>
                        </w:tcPr>
                        <w:p>
                          <w:pPr>
                            <w:pStyle w:val="Logo"/>
                            <w:rPr/>
                          </w:pPr>
                          <w:r>
                            <w:rPr/>
                            <w:drawing>
                              <wp:inline distT="0" distB="0" distL="0" distR="0">
                                <wp:extent cx="828675" cy="29527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2"/>
                                        <a:srcRect l="-11" t="-31" r="-11" b="-31"/>
                                        <a:stretch>
                                          <a:fillRect/>
                                        </a:stretch>
                                      </pic:blipFill>
                                      <pic:spPr bwMode="auto">
                                        <a:xfrm>
                                          <a:off x="0" y="0"/>
                                          <a:ext cx="828675" cy="295275"/>
                                        </a:xfrm>
                                        <a:prstGeom prst="rect">
                                          <a:avLst/>
                                        </a:prstGeom>
                                      </pic:spPr>
                                    </pic:pic>
                                  </a:graphicData>
                                </a:graphic>
                              </wp:inline>
                            </w:drawing>
                          </w:r>
                        </w:p>
                      </w:tc>
                    </w:tr>
                  </w:tbl>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76" w:hanging="360"/>
      </w:pPr>
      <w:rPr>
        <w:rFonts w:ascii="Wingdings" w:hAnsi="Wingdings" w:cs="Wingdings" w:hint="default"/>
        <w:rFonts w:cs="Wingdings"/>
      </w:rPr>
    </w:lvl>
  </w:abstractNum>
  <w:abstractNum w:abstractNumId="2">
    <w:lvl w:ilvl="0">
      <w:start w:val="1"/>
      <w:numFmt w:val="bullet"/>
      <w:lvlText w:val=""/>
      <w:lvlJc w:val="left"/>
      <w:pPr>
        <w:ind w:left="2484"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sz w:val="24"/>
        <w:szCs w:val="24"/>
        <w:rFonts w:cs="Wingdings"/>
      </w:rPr>
    </w:lvl>
    <w:lvl w:ilvl="1">
      <w:start w:val="1"/>
      <w:numFmt w:val="bullet"/>
      <w:lvlText w:val="o"/>
      <w:lvlJc w:val="left"/>
      <w:pPr>
        <w:tabs>
          <w:tab w:val="num" w:pos="1440"/>
        </w:tabs>
        <w:ind w:left="1440" w:hanging="360"/>
      </w:pPr>
      <w:rPr>
        <w:rFonts w:ascii="Courier New" w:hAnsi="Courier New" w:cs="Courier New" w:hint="default"/>
        <w:szCs w:val="22"/>
        <w:rFonts w:cs="Courier New"/>
      </w:rPr>
    </w:lvl>
    <w:lvl w:ilvl="2">
      <w:start w:val="1"/>
      <w:numFmt w:val="bullet"/>
      <w:lvlText w:val=""/>
      <w:lvlJc w:val="left"/>
      <w:pPr>
        <w:tabs>
          <w:tab w:val="num" w:pos="2160"/>
        </w:tabs>
        <w:ind w:left="2160" w:hanging="360"/>
      </w:pPr>
      <w:rPr>
        <w:rFonts w:ascii="Wingdings" w:hAnsi="Wingdings" w:cs="Wingdings" w:hint="default"/>
        <w:sz w:val="24"/>
        <w:szCs w:val="24"/>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szCs w:val="22"/>
        <w:rFonts w:cs="Courier New"/>
      </w:rPr>
    </w:lvl>
    <w:lvl w:ilvl="5">
      <w:start w:val="1"/>
      <w:numFmt w:val="bullet"/>
      <w:lvlText w:val=""/>
      <w:lvlJc w:val="left"/>
      <w:pPr>
        <w:tabs>
          <w:tab w:val="num" w:pos="4320"/>
        </w:tabs>
        <w:ind w:left="4320" w:hanging="360"/>
      </w:pPr>
      <w:rPr>
        <w:rFonts w:ascii="Wingdings" w:hAnsi="Wingdings" w:cs="Wingdings" w:hint="default"/>
        <w:sz w:val="24"/>
        <w:szCs w:val="24"/>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szCs w:val="22"/>
        <w:rFonts w:cs="Courier New"/>
      </w:rPr>
    </w:lvl>
    <w:lvl w:ilvl="8">
      <w:start w:val="1"/>
      <w:numFmt w:val="bullet"/>
      <w:lvlText w:val=""/>
      <w:lvlJc w:val="left"/>
      <w:pPr>
        <w:tabs>
          <w:tab w:val="num" w:pos="6480"/>
        </w:tabs>
        <w:ind w:left="6480" w:hanging="360"/>
      </w:pPr>
      <w:rPr>
        <w:rFonts w:ascii="Wingdings" w:hAnsi="Wingdings" w:cs="Wingdings" w:hint="default"/>
        <w:sz w:val="24"/>
        <w:szCs w:val="24"/>
        <w:rFonts w:cs="Wingdings"/>
      </w:rPr>
    </w:lvl>
  </w:abstractNum>
  <w:abstractNum w:abstractNumId="4">
    <w:lvl w:ilvl="0">
      <w:start w:val="1"/>
      <w:numFmt w:val="decimal"/>
      <w:lvlText w:val="%1."/>
      <w:lvlJc w:val="left"/>
      <w:pPr>
        <w:ind w:left="2145" w:hanging="360"/>
      </w:pPr>
      <w:rPr/>
    </w:lvl>
  </w:abstractNum>
  <w:abstractNum w:abstractNumId="5">
    <w:lvl w:ilvl="0">
      <w:start w:val="1"/>
      <w:numFmt w:val="bullet"/>
      <w:lvlText w:val="o"/>
      <w:lvlJc w:val="left"/>
      <w:pPr>
        <w:ind w:left="1428" w:hanging="360"/>
      </w:pPr>
      <w:rPr>
        <w:rFonts w:ascii="Courier New" w:hAnsi="Courier New" w:cs="Courier New" w:hint="default"/>
        <w:szCs w:val="24"/>
        <w:rFonts w:cs="Courier New"/>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Vinci Sans;Times New Roman" w:hAnsi="Vinci Sans;Times New Roman" w:eastAsia="Times New Roman" w:cs="Vinci Sans;Times New Roman"/>
      <w:color w:val="auto"/>
      <w:sz w:val="22"/>
      <w:szCs w:val="20"/>
      <w:lang w:val="fr-FR" w:bidi="ar-SA" w:eastAsia="zh-CN"/>
    </w:rPr>
  </w:style>
  <w:style w:type="character" w:styleId="WW8Num1z0">
    <w:name w:val="WW8Num1z0"/>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Arial" w:hAnsi="Arial" w:eastAsia="Times New Roman"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sz w:val="24"/>
      <w:szCs w:val="24"/>
    </w:rPr>
  </w:style>
  <w:style w:type="character" w:styleId="WW8Num11z1">
    <w:name w:val="WW8Num11z1"/>
    <w:qFormat/>
    <w:rPr>
      <w:rFonts w:ascii="Courier New" w:hAnsi="Courier New" w:cs="Courier New"/>
      <w:szCs w:val="22"/>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rFonts w:ascii="Courier New" w:hAnsi="Courier New" w:cs="Courier New"/>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Courier New" w:hAnsi="Courier New" w:cs="Courier New"/>
      <w:szCs w:val="24"/>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Policepardfaut">
    <w:name w:val="Police par défaut"/>
    <w:qFormat/>
    <w:rPr/>
  </w:style>
  <w:style w:type="character" w:styleId="VisitedInternetLink">
    <w:name w:val="Visited Internet Link"/>
    <w:rPr>
      <w:color w:val="FF6600"/>
      <w:u w:val="single"/>
    </w:rPr>
  </w:style>
  <w:style w:type="character" w:styleId="CorpsdetexteCar">
    <w:name w:val="Corps de texte Car"/>
    <w:qFormat/>
    <w:rPr>
      <w:rFonts w:ascii="Arial" w:hAnsi="Arial" w:cs="Arial"/>
      <w:sz w:val="24"/>
    </w:rPr>
  </w:style>
  <w:style w:type="character" w:styleId="TextedebullesCar">
    <w:name w:val="Texte de bulles Car"/>
    <w:qFormat/>
    <w:rPr>
      <w:rFonts w:ascii="Tahoma" w:hAnsi="Tahoma" w:cs="Tahoma"/>
      <w:sz w:val="16"/>
      <w:szCs w:val="16"/>
    </w:rPr>
  </w:style>
  <w:style w:type="character" w:styleId="Marquedecommentaire">
    <w:name w:val="Marque de commentaire"/>
    <w:qFormat/>
    <w:rPr>
      <w:sz w:val="16"/>
      <w:szCs w:val="16"/>
    </w:rPr>
  </w:style>
  <w:style w:type="character" w:styleId="CommentaireCar">
    <w:name w:val="Commentaire Car"/>
    <w:qFormat/>
    <w:rPr>
      <w:rFonts w:ascii="Vinci Sans;Times New Roman" w:hAnsi="Vinci Sans;Times New Roman" w:cs="Vinci Sans;Times New Roman"/>
    </w:rPr>
  </w:style>
  <w:style w:type="character" w:styleId="ObjetducommentaireCar">
    <w:name w:val="Objet du commentaire Car"/>
    <w:qFormat/>
    <w:rPr>
      <w:rFonts w:ascii="Vinci Sans;Times New Roman" w:hAnsi="Vinci Sans;Times New Roman" w:cs="Vinci Sans;Times New Roman"/>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rFonts w:ascii="Arial" w:hAnsi="Arial" w:cs="Arial"/>
      <w:sz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nd">
    <w:name w:val="End"/>
    <w:basedOn w:val="Normal"/>
    <w:qFormat/>
    <w:pPr/>
    <w:rPr>
      <w:sz w:val="2"/>
    </w:rPr>
  </w:style>
  <w:style w:type="paragraph" w:styleId="Contents3">
    <w:name w:val="TOC 3"/>
    <w:basedOn w:val="Normal"/>
    <w:next w:val="Normal"/>
    <w:pPr>
      <w:tabs>
        <w:tab w:val="right" w:pos="9062" w:leader="dot"/>
      </w:tabs>
      <w:spacing w:lineRule="auto" w:line="360" w:before="120" w:after="0"/>
      <w:ind w:left="403" w:firstLine="397"/>
      <w:jc w:val="both"/>
    </w:pPr>
    <w:rPr/>
  </w:style>
  <w:style w:type="paragraph" w:styleId="Contents2">
    <w:name w:val="TOC 2"/>
    <w:basedOn w:val="Normal"/>
    <w:next w:val="Normal"/>
    <w:pPr>
      <w:tabs>
        <w:tab w:val="right" w:pos="9062" w:leader="dot"/>
      </w:tabs>
      <w:spacing w:lineRule="auto" w:line="360" w:before="180" w:after="0"/>
      <w:ind w:left="198" w:firstLine="397"/>
      <w:jc w:val="both"/>
    </w:pPr>
    <w:rPr>
      <w:sz w:val="22"/>
      <w:szCs w:val="22"/>
    </w:rPr>
  </w:style>
  <w:style w:type="paragraph" w:styleId="Header">
    <w:name w:val="Header"/>
    <w:basedOn w:val="Normal"/>
    <w:pPr>
      <w:tabs>
        <w:tab w:val="center" w:pos="4536" w:leader="none"/>
        <w:tab w:val="right" w:pos="9072" w:leader="none"/>
      </w:tabs>
      <w:spacing w:before="0" w:after="0"/>
    </w:pPr>
    <w:rPr/>
  </w:style>
  <w:style w:type="paragraph" w:styleId="Footer">
    <w:name w:val="Footer"/>
    <w:basedOn w:val="Normal"/>
    <w:pPr>
      <w:spacing w:lineRule="exact" w:line="200"/>
    </w:pPr>
    <w:rPr>
      <w:rFonts w:ascii="Vinci Sans Medium;Times New Roman" w:hAnsi="Vinci Sans Medium;Times New Roman" w:cs="Vinci Sans Medium;Times New Roman"/>
      <w:sz w:val="15"/>
    </w:rPr>
  </w:style>
  <w:style w:type="paragraph" w:styleId="DocTitle">
    <w:name w:val="DocTitle"/>
    <w:basedOn w:val="Normal"/>
    <w:qFormat/>
    <w:pPr>
      <w:spacing w:before="0" w:after="0"/>
    </w:pPr>
    <w:rPr>
      <w:rFonts w:ascii="Vinci Sans Medium;Times New Roman" w:hAnsi="Vinci Sans Medium;Times New Roman" w:cs="Vinci Sans Medium;Times New Roman"/>
      <w:sz w:val="30"/>
    </w:rPr>
  </w:style>
  <w:style w:type="paragraph" w:styleId="FromTo">
    <w:name w:val="FromTo"/>
    <w:basedOn w:val="Normal"/>
    <w:qFormat/>
    <w:pPr>
      <w:spacing w:before="0" w:after="0"/>
    </w:pPr>
    <w:rPr>
      <w:rFonts w:ascii="Vinci Sans Medium;Times New Roman" w:hAnsi="Vinci Sans Medium;Times New Roman" w:cs="Vinci Sans Medium;Times New Roman"/>
    </w:rPr>
  </w:style>
  <w:style w:type="paragraph" w:styleId="Service">
    <w:name w:val="Service"/>
    <w:basedOn w:val="Normal"/>
    <w:qFormat/>
    <w:pPr>
      <w:tabs>
        <w:tab w:val="left" w:pos="2820" w:leader="none"/>
      </w:tabs>
    </w:pPr>
    <w:rPr>
      <w:rFonts w:ascii="Vinci Sans Bold;Courier New" w:hAnsi="Vinci Sans Bold;Courier New" w:cs="Vinci Sans Bold;Courier New"/>
      <w:color w:val="1B326C"/>
    </w:rPr>
  </w:style>
  <w:style w:type="paragraph" w:styleId="FromToAns">
    <w:name w:val="FromTo Ans"/>
    <w:basedOn w:val="FromTo"/>
    <w:qFormat/>
    <w:pPr/>
    <w:rPr>
      <w:rFonts w:ascii="Vinci Sans;Times New Roman" w:hAnsi="Vinci Sans;Times New Roman" w:cs="Vinci Sans;Times New Roman"/>
    </w:rPr>
  </w:style>
  <w:style w:type="paragraph" w:styleId="Puce">
    <w:name w:val="Puce"/>
    <w:basedOn w:val="Normal"/>
    <w:qFormat/>
    <w:pPr>
      <w:spacing w:before="0" w:after="0"/>
      <w:jc w:val="center"/>
    </w:pPr>
    <w:rPr>
      <w:sz w:val="10"/>
    </w:rPr>
  </w:style>
  <w:style w:type="paragraph" w:styleId="Mentions">
    <w:name w:val="Mentions"/>
    <w:basedOn w:val="Footer"/>
    <w:qFormat/>
    <w:pPr>
      <w:spacing w:lineRule="exact" w:line="160"/>
    </w:pPr>
    <w:rPr>
      <w:sz w:val="12"/>
      <w:szCs w:val="12"/>
    </w:rPr>
  </w:style>
  <w:style w:type="paragraph" w:styleId="Logo">
    <w:name w:val="Logo"/>
    <w:qFormat/>
    <w:pPr>
      <w:widowControl/>
      <w:ind w:left="6" w:hanging="0"/>
    </w:pPr>
    <w:rPr>
      <w:rFonts w:ascii="Vinci Sans;Times New Roman" w:hAnsi="Vinci Sans;Times New Roman" w:eastAsia="Times New Roman" w:cs="Vinci Sans;Times New Roman"/>
      <w:color w:val="FFFFFF"/>
      <w:sz w:val="22"/>
      <w:szCs w:val="20"/>
      <w:lang w:val="fr-FR" w:eastAsia="en-GB" w:bidi="ar-SA"/>
    </w:rPr>
  </w:style>
  <w:style w:type="paragraph" w:styleId="Paragraphedeliste">
    <w:name w:val="Paragraphe de liste"/>
    <w:basedOn w:val="Normal"/>
    <w:qFormat/>
    <w:pPr>
      <w:ind w:left="720" w:hanging="0"/>
    </w:pPr>
    <w:rPr>
      <w:rFonts w:ascii="Calibri" w:hAnsi="Calibri" w:eastAsia="Calibri" w:cs="Calibri"/>
      <w:szCs w:val="22"/>
    </w:rPr>
  </w:style>
  <w:style w:type="paragraph" w:styleId="Textedebulles">
    <w:name w:val="Texte de bulles"/>
    <w:basedOn w:val="Normal"/>
    <w:qFormat/>
    <w:pPr/>
    <w:rPr>
      <w:rFonts w:ascii="Tahoma" w:hAnsi="Tahoma" w:cs="Tahoma"/>
      <w:sz w:val="16"/>
      <w:szCs w:val="16"/>
    </w:rPr>
  </w:style>
  <w:style w:type="paragraph" w:styleId="Commentaire">
    <w:name w:val="Commentaire"/>
    <w:basedOn w:val="Normal"/>
    <w:qFormat/>
    <w:pPr/>
    <w:rPr>
      <w:sz w:val="20"/>
    </w:rPr>
  </w:style>
  <w:style w:type="paragraph" w:styleId="Objetducommentaire">
    <w:name w:val="Objet du commentaire"/>
    <w:basedOn w:val="Commentaire"/>
    <w:next w:val="Commentaire"/>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Sogea_NO_Entete.dot</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2022-02-15T10:28:00Z</dcterms:created>
  <dc:creator/>
  <dc:description/>
  <dc:language>en-GB</dc:language>
  <cp:lastModifiedBy/>
  <cp:lastPrinted>2022-01-24T11:27:00Z</cp:lastPrinted>
  <dcterms:modified xsi:type="dcterms:W3CDTF">2022-02-15T10:28:00Z</dcterms:modified>
  <cp:revision>2</cp:revision>
  <dc:subject/>
  <dc:title>Télécopie / Fax</dc:title>
</cp:coreProperties>
</file>