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tabs>
          <w:tab w:val="left" w:pos="426" w:leader="none"/>
        </w:tabs>
        <w:ind w:left="284" w:right="567" w:hanging="0"/>
        <w:rPr>
          <w:lang w:val="fr-FR" w:eastAsia="en-GB"/>
        </w:rPr>
      </w:pPr>
      <w:r>
        <w:rPr>
          <w:lang w:val="fr-FR" w:eastAsia="en-GB"/>
        </w:rPr>
      </w:r>
    </w:p>
    <w:p>
      <w:pPr>
        <w:pStyle w:val="Heading"/>
        <w:tabs>
          <w:tab w:val="left" w:pos="426" w:leader="none"/>
        </w:tabs>
        <w:ind w:left="284" w:right="567" w:hanging="0"/>
        <w:rPr>
          <w:lang w:val="fr-FR" w:eastAsia="en-GB"/>
        </w:rPr>
      </w:pPr>
      <w:r>
        <w:rPr>
          <w:lang w:val="fr-FR" w:eastAsia="en-GB"/>
        </w:rPr>
      </w:r>
    </w:p>
    <w:p>
      <w:pPr>
        <w:pStyle w:val="Heading"/>
        <w:tabs>
          <w:tab w:val="left" w:pos="426" w:leader="none"/>
        </w:tabs>
        <w:ind w:left="284" w:right="567" w:hanging="0"/>
        <w:rPr>
          <w:lang w:val="fr-FR" w:eastAsia="en-GB"/>
        </w:rPr>
      </w:pPr>
      <w:r>
        <w:rPr>
          <w:lang w:val="fr-FR" w:eastAsia="en-GB"/>
        </w:rPr>
      </w:r>
    </w:p>
    <w:p>
      <w:pPr>
        <w:pStyle w:val="Heading"/>
        <w:tabs>
          <w:tab w:val="left" w:pos="426" w:leader="none"/>
        </w:tabs>
        <w:ind w:left="284" w:right="567" w:hanging="0"/>
        <w:rPr>
          <w:lang w:val="fr-FR" w:eastAsia="en-GB"/>
        </w:rPr>
      </w:pPr>
      <w:r>
        <w:rPr>
          <w:lang w:val="fr-FR" w:eastAsia="en-GB"/>
        </w:rPr>
      </w:r>
    </w:p>
    <w:p>
      <w:pPr>
        <w:pStyle w:val="Heading"/>
        <w:tabs>
          <w:tab w:val="left" w:pos="426" w:leader="none"/>
        </w:tabs>
        <w:ind w:left="284" w:right="567" w:hanging="0"/>
        <w:rPr>
          <w:lang w:val="fr-FR" w:eastAsia="en-GB"/>
        </w:rPr>
      </w:pPr>
      <w:r>
        <w:rPr>
          <w:lang w:val="fr-FR" w:eastAsia="en-GB"/>
        </w:rPr>
        <w:t>PROTOCOLE D’ACCORD</w:t>
      </w:r>
    </w:p>
    <w:p>
      <w:pPr>
        <w:pStyle w:val="Subtitle"/>
        <w:tabs>
          <w:tab w:val="left" w:pos="426" w:leader="none"/>
        </w:tabs>
        <w:ind w:left="284" w:right="567" w:hanging="0"/>
        <w:rPr>
          <w:lang w:val="fr-FR" w:eastAsia="en-GB"/>
        </w:rPr>
      </w:pPr>
      <w:r>
        <w:rPr>
          <w:lang w:val="fr-FR" w:eastAsia="en-GB"/>
        </w:rPr>
        <w:t>Négociation Collective Annuelle sur les Salaires et le Temps de Travail</w:t>
      </w:r>
    </w:p>
    <w:p>
      <w:pPr>
        <w:pStyle w:val="Normal"/>
        <w:tabs>
          <w:tab w:val="left" w:pos="426" w:leader="none"/>
        </w:tabs>
        <w:ind w:left="284" w:right="567" w:hanging="0"/>
        <w:jc w:val="center"/>
        <w:rPr>
          <w:b/>
          <w:b/>
          <w:sz w:val="20"/>
          <w:lang w:val="fr-FR" w:eastAsia="en-GB"/>
        </w:rPr>
      </w:pPr>
      <w:r>
        <w:rPr>
          <w:b/>
          <w:sz w:val="20"/>
          <w:lang w:val="fr-FR" w:eastAsia="en-GB"/>
        </w:rPr>
      </w:r>
    </w:p>
    <w:p>
      <w:pPr>
        <w:pStyle w:val="Normal"/>
        <w:tabs>
          <w:tab w:val="left" w:pos="426" w:leader="none"/>
        </w:tabs>
        <w:ind w:left="284" w:right="567" w:hanging="0"/>
        <w:jc w:val="center"/>
        <w:rPr>
          <w:b/>
          <w:b/>
          <w:sz w:val="20"/>
          <w:lang w:val="fr-FR" w:eastAsia="en-GB"/>
        </w:rPr>
      </w:pPr>
      <w:r>
        <w:rPr>
          <w:b/>
          <w:sz w:val="20"/>
          <w:lang w:val="fr-FR" w:eastAsia="en-GB"/>
        </w:rPr>
      </w:r>
    </w:p>
    <w:p>
      <w:pPr>
        <w:pStyle w:val="Normal"/>
        <w:tabs>
          <w:tab w:val="left" w:pos="426" w:leader="none"/>
        </w:tabs>
        <w:ind w:left="284" w:right="567" w:hanging="0"/>
        <w:jc w:val="center"/>
        <w:rPr>
          <w:sz w:val="20"/>
          <w:lang w:val="fr-FR" w:eastAsia="en-GB"/>
        </w:rPr>
      </w:pPr>
      <w:r>
        <w:rPr>
          <w:sz w:val="20"/>
          <w:lang w:val="fr-FR" w:eastAsia="en-GB"/>
        </w:rPr>
      </w:r>
    </w:p>
    <w:p>
      <w:pPr>
        <w:pStyle w:val="Normal"/>
        <w:tabs>
          <w:tab w:val="left" w:pos="426" w:leader="none"/>
        </w:tabs>
        <w:ind w:left="284" w:right="567" w:hanging="0"/>
        <w:jc w:val="center"/>
        <w:rPr>
          <w:sz w:val="20"/>
          <w:lang w:val="fr-FR" w:eastAsia="en-GB"/>
        </w:rPr>
      </w:pPr>
      <w:r>
        <w:rPr>
          <w:sz w:val="20"/>
          <w:lang w:val="fr-FR" w:eastAsia="en-GB"/>
        </w:rPr>
        <w:t>______________</w:t>
      </w:r>
    </w:p>
    <w:p>
      <w:pPr>
        <w:pStyle w:val="Normal"/>
        <w:tabs>
          <w:tab w:val="left" w:pos="426" w:leader="none"/>
        </w:tabs>
        <w:ind w:left="284" w:right="567" w:hanging="0"/>
        <w:jc w:val="center"/>
        <w:rPr>
          <w:sz w:val="20"/>
          <w:lang w:val="fr-FR" w:eastAsia="en-GB"/>
        </w:rPr>
      </w:pPr>
      <w:r>
        <w:rPr>
          <w:sz w:val="20"/>
          <w:lang w:val="fr-FR" w:eastAsia="en-GB"/>
        </w:rPr>
      </w:r>
    </w:p>
    <w:p>
      <w:pPr>
        <w:pStyle w:val="Normal"/>
        <w:tabs>
          <w:tab w:val="left" w:pos="426" w:leader="none"/>
        </w:tabs>
        <w:ind w:left="284" w:right="567" w:hanging="0"/>
        <w:jc w:val="both"/>
        <w:rPr>
          <w:sz w:val="20"/>
          <w:lang w:val="fr-FR" w:eastAsia="en-GB"/>
        </w:rPr>
      </w:pPr>
      <w:r>
        <w:rPr>
          <w:sz w:val="20"/>
          <w:lang w:val="fr-FR" w:eastAsia="en-GB"/>
        </w:rPr>
      </w:r>
    </w:p>
    <w:p>
      <w:pPr>
        <w:pStyle w:val="Normal"/>
        <w:tabs>
          <w:tab w:val="left" w:pos="426" w:leader="none"/>
        </w:tabs>
        <w:ind w:left="284" w:right="567" w:hanging="0"/>
        <w:jc w:val="both"/>
        <w:rPr>
          <w:lang w:val="fr-FR" w:eastAsia="en-GB"/>
        </w:rPr>
      </w:pPr>
      <w:r>
        <w:rPr>
          <w:lang w:val="fr-FR" w:eastAsia="en-GB"/>
        </w:rPr>
      </w:r>
    </w:p>
    <w:p>
      <w:pPr>
        <w:pStyle w:val="Normal"/>
        <w:tabs>
          <w:tab w:val="left" w:pos="426" w:leader="none"/>
        </w:tabs>
        <w:ind w:left="284" w:right="567" w:hanging="0"/>
        <w:jc w:val="both"/>
        <w:rPr>
          <w:lang w:val="fr-FR" w:eastAsia="en-GB"/>
        </w:rPr>
      </w:pPr>
      <w:r>
        <w:rPr>
          <w:lang w:val="fr-FR" w:eastAsia="en-GB"/>
        </w:rPr>
      </w:r>
    </w:p>
    <w:p>
      <w:pPr>
        <w:pStyle w:val="Normal"/>
        <w:ind w:left="567" w:right="567" w:hanging="0"/>
        <w:jc w:val="both"/>
        <w:rPr/>
      </w:pPr>
      <w:r>
        <w:rPr>
          <w:lang w:val="fr-FR" w:eastAsia="en-GB"/>
        </w:rPr>
        <w:t>Un accord a été conclu à l’issue des réunions consacrées à la négociation annuelle obligatoire, qui se sont tenues le 11 février, le 22 février, le 07 mars et le 08 mars 2022. Il est établi le présent Procès-Verbal, conformément aux dispositions de l'Article L2261-3 du Code du Travail.</w:t>
      </w:r>
    </w:p>
    <w:p>
      <w:pPr>
        <w:pStyle w:val="Normal"/>
        <w:tabs>
          <w:tab w:val="left" w:pos="426" w:leader="none"/>
        </w:tabs>
        <w:ind w:left="284" w:right="567" w:hanging="0"/>
        <w:jc w:val="both"/>
        <w:rPr>
          <w:sz w:val="20"/>
          <w:lang w:val="fr-FR" w:eastAsia="en-GB"/>
        </w:rPr>
      </w:pPr>
      <w:r>
        <w:rPr>
          <w:sz w:val="20"/>
          <w:lang w:val="fr-FR" w:eastAsia="en-GB"/>
        </w:rPr>
      </w:r>
    </w:p>
    <w:p>
      <w:pPr>
        <w:pStyle w:val="Normal"/>
        <w:tabs>
          <w:tab w:val="left" w:pos="426" w:leader="none"/>
        </w:tabs>
        <w:ind w:left="284" w:right="567" w:hanging="0"/>
        <w:jc w:val="both"/>
        <w:rPr>
          <w:sz w:val="20"/>
          <w:lang w:val="fr-FR" w:eastAsia="en-GB"/>
        </w:rPr>
      </w:pPr>
      <w:r>
        <w:rPr>
          <w:sz w:val="20"/>
          <w:lang w:val="fr-FR" w:eastAsia="en-GB"/>
        </w:rPr>
      </w:r>
    </w:p>
    <w:p>
      <w:pPr>
        <w:pStyle w:val="Normal"/>
        <w:tabs>
          <w:tab w:val="left" w:pos="426" w:leader="none"/>
        </w:tabs>
        <w:ind w:right="567" w:hanging="0"/>
        <w:jc w:val="both"/>
        <w:rPr/>
      </w:pPr>
      <w:r>
        <w:rPr/>
        <w:tab/>
        <w:t>Entre :</w:t>
      </w:r>
    </w:p>
    <w:p>
      <w:pPr>
        <w:pStyle w:val="Normal"/>
        <w:tabs>
          <w:tab w:val="left" w:pos="426" w:leader="none"/>
        </w:tabs>
        <w:ind w:right="567" w:hanging="0"/>
        <w:jc w:val="both"/>
        <w:rPr/>
      </w:pPr>
      <w:r>
        <w:rPr/>
      </w:r>
    </w:p>
    <w:p>
      <w:pPr>
        <w:pStyle w:val="Normal"/>
        <w:tabs>
          <w:tab w:val="left" w:pos="426" w:leader="none"/>
        </w:tabs>
        <w:ind w:right="567" w:hanging="0"/>
        <w:jc w:val="both"/>
        <w:rPr>
          <w:lang w:val="fr-FR" w:eastAsia="en-GB"/>
        </w:rPr>
      </w:pPr>
      <w:r>
        <w:rPr/>
        <w:tab/>
      </w:r>
      <w:r>
        <w:rPr>
          <w:lang w:val="fr-FR" w:eastAsia="en-GB"/>
        </w:rPr>
        <w:t>Les organisations syndicales représentées par :</w:t>
      </w:r>
    </w:p>
    <w:p>
      <w:pPr>
        <w:pStyle w:val="Normal"/>
        <w:tabs>
          <w:tab w:val="left" w:pos="426" w:leader="none"/>
        </w:tabs>
        <w:ind w:left="284" w:right="567" w:hanging="0"/>
        <w:jc w:val="both"/>
        <w:rPr>
          <w:lang w:val="fr-FR" w:eastAsia="en-GB"/>
        </w:rPr>
      </w:pPr>
      <w:r>
        <w:rPr>
          <w:lang w:val="fr-FR" w:eastAsia="en-GB"/>
        </w:rPr>
      </w:r>
    </w:p>
    <w:p>
      <w:pPr>
        <w:pStyle w:val="Normal"/>
        <w:ind w:left="567" w:right="567" w:hanging="0"/>
        <w:jc w:val="both"/>
        <w:rPr>
          <w:lang w:val="fr-FR" w:eastAsia="en-GB"/>
        </w:rPr>
      </w:pPr>
      <w:r>
        <w:rPr>
          <w:b/>
          <w:lang w:val="fr-FR" w:eastAsia="en-GB"/>
        </w:rPr>
        <w:t>Délégation syndicale CGT</w:t>
      </w:r>
      <w:r>
        <w:rPr>
          <w:lang w:val="fr-FR" w:eastAsia="en-GB"/>
        </w:rPr>
        <w:t> : X Déléguée syndicale, X Délégué syndical</w:t>
      </w:r>
    </w:p>
    <w:p>
      <w:pPr>
        <w:pStyle w:val="Normal"/>
        <w:ind w:left="567" w:right="567" w:hanging="0"/>
        <w:jc w:val="both"/>
        <w:rPr>
          <w:b/>
          <w:b/>
          <w:lang w:val="fr-FR" w:eastAsia="en-GB"/>
        </w:rPr>
      </w:pPr>
      <w:r>
        <w:rPr>
          <w:b/>
          <w:lang w:val="fr-FR" w:eastAsia="en-GB"/>
        </w:rPr>
      </w:r>
    </w:p>
    <w:p>
      <w:pPr>
        <w:pStyle w:val="Normal"/>
        <w:ind w:left="567" w:right="567" w:hanging="0"/>
        <w:jc w:val="both"/>
        <w:rPr>
          <w:lang w:val="fr-FR" w:eastAsia="en-GB"/>
        </w:rPr>
      </w:pPr>
      <w:r>
        <w:rPr>
          <w:b/>
          <w:lang w:val="fr-FR" w:eastAsia="en-GB"/>
        </w:rPr>
        <w:t>Délégation syndicale CFDT</w:t>
      </w:r>
      <w:r>
        <w:rPr>
          <w:lang w:val="fr-FR" w:eastAsia="en-GB"/>
        </w:rPr>
        <w:t xml:space="preserve"> : X, Déléguée syndicale, X Délégué syndical </w:t>
      </w:r>
    </w:p>
    <w:p>
      <w:pPr>
        <w:pStyle w:val="Normal"/>
        <w:ind w:left="567" w:right="567" w:hanging="0"/>
        <w:jc w:val="both"/>
        <w:rPr>
          <w:b/>
          <w:b/>
          <w:lang w:val="fr-FR" w:eastAsia="en-GB"/>
        </w:rPr>
      </w:pPr>
      <w:r>
        <w:rPr>
          <w:b/>
          <w:lang w:val="fr-FR" w:eastAsia="en-GB"/>
        </w:rPr>
      </w:r>
    </w:p>
    <w:p>
      <w:pPr>
        <w:pStyle w:val="Normal"/>
        <w:ind w:left="567" w:right="567" w:hanging="0"/>
        <w:jc w:val="both"/>
        <w:rPr>
          <w:lang w:val="fr-FR" w:eastAsia="en-GB"/>
        </w:rPr>
      </w:pPr>
      <w:r>
        <w:rPr>
          <w:b/>
          <w:lang w:val="fr-FR" w:eastAsia="en-GB"/>
        </w:rPr>
        <w:t>Délégation syndicale CFTC</w:t>
      </w:r>
      <w:r>
        <w:rPr>
          <w:lang w:val="fr-FR" w:eastAsia="en-GB"/>
        </w:rPr>
        <w:t xml:space="preserve"> : X, Déléguée syndicale, X, Délégué syndical </w:t>
      </w:r>
    </w:p>
    <w:p>
      <w:pPr>
        <w:pStyle w:val="Normal"/>
        <w:ind w:left="567" w:right="567" w:hanging="0"/>
        <w:jc w:val="both"/>
        <w:rPr>
          <w:lang w:val="fr-FR" w:eastAsia="en-GB"/>
        </w:rPr>
      </w:pPr>
      <w:r>
        <w:rPr>
          <w:lang w:val="fr-FR" w:eastAsia="en-GB"/>
        </w:rPr>
      </w:r>
    </w:p>
    <w:p>
      <w:pPr>
        <w:pStyle w:val="Normal"/>
        <w:ind w:right="567" w:firstLine="567"/>
        <w:jc w:val="both"/>
        <w:rPr>
          <w:lang w:val="fr-FR" w:eastAsia="en-GB"/>
        </w:rPr>
      </w:pPr>
      <w:r>
        <w:rPr>
          <w:lang w:val="fr-FR" w:eastAsia="en-GB"/>
        </w:rPr>
        <w:t xml:space="preserve">Et : </w:t>
      </w:r>
    </w:p>
    <w:p>
      <w:pPr>
        <w:pStyle w:val="Normal"/>
        <w:ind w:left="567" w:right="567" w:hanging="0"/>
        <w:jc w:val="both"/>
        <w:rPr>
          <w:lang w:val="fr-FR" w:eastAsia="en-GB"/>
        </w:rPr>
      </w:pPr>
      <w:r>
        <w:rPr>
          <w:lang w:val="fr-FR" w:eastAsia="en-GB"/>
        </w:rPr>
      </w:r>
    </w:p>
    <w:p>
      <w:pPr>
        <w:pStyle w:val="Normal"/>
        <w:ind w:left="567" w:right="567" w:hanging="0"/>
        <w:jc w:val="both"/>
        <w:rPr>
          <w:lang w:val="fr-FR" w:eastAsia="en-GB"/>
        </w:rPr>
      </w:pPr>
      <w:r>
        <w:rPr>
          <w:lang w:val="fr-FR" w:eastAsia="en-GB"/>
        </w:rPr>
        <w:t>La direction représentée par :</w:t>
      </w:r>
    </w:p>
    <w:p>
      <w:pPr>
        <w:pStyle w:val="Normal"/>
        <w:ind w:left="567" w:right="567" w:hanging="0"/>
        <w:jc w:val="both"/>
        <w:rPr>
          <w:lang w:val="fr-FR" w:eastAsia="en-GB"/>
        </w:rPr>
      </w:pPr>
      <w:r>
        <w:rPr>
          <w:lang w:val="fr-FR" w:eastAsia="en-GB"/>
        </w:rPr>
      </w:r>
    </w:p>
    <w:p>
      <w:pPr>
        <w:pStyle w:val="Normal"/>
        <w:ind w:left="567" w:right="567" w:hanging="0"/>
        <w:jc w:val="both"/>
        <w:rPr/>
      </w:pPr>
      <w:r>
        <w:rPr>
          <w:lang w:val="fr-FR" w:eastAsia="en-GB"/>
        </w:rPr>
        <w:t>X, Directeur Général</w:t>
      </w:r>
    </w:p>
    <w:p>
      <w:pPr>
        <w:pStyle w:val="Normal"/>
        <w:ind w:left="567" w:right="567" w:hanging="0"/>
        <w:jc w:val="both"/>
        <w:rPr>
          <w:lang w:val="fr-FR" w:eastAsia="en-GB"/>
        </w:rPr>
      </w:pPr>
      <w:r>
        <w:rPr>
          <w:lang w:val="fr-FR" w:eastAsia="en-GB"/>
        </w:rPr>
      </w:r>
    </w:p>
    <w:p>
      <w:pPr>
        <w:pStyle w:val="Normal"/>
        <w:tabs>
          <w:tab w:val="left" w:pos="426" w:leader="none"/>
        </w:tabs>
        <w:ind w:left="284" w:right="567" w:hanging="0"/>
        <w:jc w:val="both"/>
        <w:rPr>
          <w:lang w:val="fr-FR" w:eastAsia="en-GB"/>
        </w:rPr>
      </w:pPr>
      <w:r>
        <w:rPr>
          <w:lang w:val="fr-FR" w:eastAsia="en-GB"/>
        </w:rPr>
      </w:r>
      <w:r>
        <w:br w:type="page"/>
      </w:r>
    </w:p>
    <w:p>
      <w:pPr>
        <w:pStyle w:val="Normal"/>
        <w:tabs>
          <w:tab w:val="left" w:pos="426" w:leader="none"/>
        </w:tabs>
        <w:ind w:left="284" w:right="567" w:hanging="0"/>
        <w:jc w:val="both"/>
        <w:rPr>
          <w:lang w:val="fr-FR" w:eastAsia="en-GB"/>
        </w:rPr>
      </w:pPr>
      <w:r>
        <w:rPr>
          <w:lang w:val="fr-FR" w:eastAsia="en-GB"/>
        </w:rPr>
      </w:r>
    </w:p>
    <w:p>
      <w:pPr>
        <w:pStyle w:val="Normal"/>
        <w:ind w:left="567" w:right="567" w:hanging="0"/>
        <w:jc w:val="both"/>
        <w:rPr/>
      </w:pPr>
      <w:r>
        <w:rPr>
          <w:lang w:val="fr-FR" w:eastAsia="en-GB"/>
        </w:rPr>
        <w:t>Le présent accord s’applique à l’ensemble du personnel actif (hors salariés seniors PSE et invalides) travaillant dans l’établissement et présent au 1</w:t>
      </w:r>
      <w:r>
        <w:rPr>
          <w:vertAlign w:val="superscript"/>
          <w:lang w:val="fr-FR" w:eastAsia="en-GB"/>
        </w:rPr>
        <w:t>er</w:t>
      </w:r>
      <w:r>
        <w:rPr>
          <w:lang w:val="fr-FR" w:eastAsia="en-GB"/>
        </w:rPr>
        <w:t xml:space="preserve"> Mars 2022.</w:t>
      </w:r>
    </w:p>
    <w:p>
      <w:pPr>
        <w:pStyle w:val="Normal"/>
        <w:tabs>
          <w:tab w:val="left" w:pos="426" w:leader="none"/>
        </w:tabs>
        <w:ind w:left="284" w:right="567" w:hanging="0"/>
        <w:jc w:val="both"/>
        <w:rPr>
          <w:lang w:val="fr-FR" w:eastAsia="en-GB"/>
        </w:rPr>
      </w:pPr>
      <w:r>
        <w:rPr>
          <w:lang w:val="fr-FR" w:eastAsia="en-GB"/>
        </w:rPr>
      </w:r>
    </w:p>
    <w:p>
      <w:pPr>
        <w:pStyle w:val="Normal"/>
        <w:ind w:left="567" w:right="567" w:hanging="0"/>
        <w:jc w:val="both"/>
        <w:rPr>
          <w:b/>
          <w:b/>
          <w:sz w:val="28"/>
          <w:szCs w:val="28"/>
          <w:u w:val="single"/>
          <w:lang w:val="fr-FR" w:eastAsia="en-GB"/>
        </w:rPr>
      </w:pPr>
      <w:r>
        <w:rPr>
          <w:b/>
          <w:u w:val="single"/>
          <w:lang w:val="fr-FR" w:eastAsia="en-GB"/>
        </w:rPr>
        <w:t>Modalités</w:t>
      </w:r>
      <w:r>
        <w:rPr>
          <w:b/>
          <w:sz w:val="28"/>
          <w:szCs w:val="28"/>
          <w:u w:val="single"/>
          <w:lang w:val="fr-FR" w:eastAsia="en-GB"/>
        </w:rPr>
        <w:t xml:space="preserve"> </w:t>
      </w:r>
      <w:r>
        <w:rPr>
          <w:b/>
          <w:u w:val="single"/>
          <w:lang w:val="fr-FR" w:eastAsia="en-GB"/>
        </w:rPr>
        <w:t>salariales</w:t>
      </w:r>
      <w:r>
        <w:rPr>
          <w:b/>
          <w:sz w:val="28"/>
          <w:szCs w:val="28"/>
          <w:u w:val="single"/>
          <w:lang w:val="fr-FR" w:eastAsia="en-GB"/>
        </w:rPr>
        <w:t xml:space="preserve"> </w:t>
      </w:r>
      <w:r>
        <w:rPr>
          <w:b/>
          <w:u w:val="single"/>
          <w:lang w:val="fr-FR" w:eastAsia="en-GB"/>
        </w:rPr>
        <w:t>2022</w:t>
      </w:r>
    </w:p>
    <w:p>
      <w:pPr>
        <w:pStyle w:val="Normal"/>
        <w:tabs>
          <w:tab w:val="left" w:pos="426" w:leader="none"/>
        </w:tabs>
        <w:ind w:left="284" w:right="567" w:hanging="0"/>
        <w:jc w:val="both"/>
        <w:rPr>
          <w:b/>
          <w:b/>
          <w:sz w:val="28"/>
          <w:szCs w:val="28"/>
          <w:u w:val="single"/>
          <w:lang w:val="fr-FR" w:eastAsia="en-GB"/>
        </w:rPr>
      </w:pPr>
      <w:r>
        <w:rPr>
          <w:b/>
          <w:sz w:val="28"/>
          <w:szCs w:val="28"/>
          <w:u w:val="single"/>
          <w:lang w:val="fr-FR" w:eastAsia="en-GB"/>
        </w:rPr>
      </w:r>
    </w:p>
    <w:p>
      <w:pPr>
        <w:pStyle w:val="Normal"/>
        <w:ind w:left="567" w:right="567" w:hanging="0"/>
        <w:jc w:val="both"/>
        <w:rPr/>
      </w:pPr>
      <w:r>
        <w:rPr>
          <w:bCs/>
          <w:szCs w:val="24"/>
          <w:u w:val="single"/>
          <w:lang w:val="fr-FR" w:eastAsia="en-GB"/>
        </w:rPr>
        <w:t>Augmentation Générale (AG) – Augmentation Individuelle (AI) :</w:t>
      </w:r>
    </w:p>
    <w:p>
      <w:pPr>
        <w:pStyle w:val="Normal"/>
        <w:tabs>
          <w:tab w:val="left" w:pos="426" w:leader="none"/>
        </w:tabs>
        <w:ind w:left="284" w:right="567" w:hanging="0"/>
        <w:jc w:val="both"/>
        <w:rPr>
          <w:bCs/>
          <w:szCs w:val="24"/>
          <w:u w:val="single"/>
          <w:lang w:val="fr-FR" w:eastAsia="en-GB"/>
        </w:rPr>
      </w:pPr>
      <w:r>
        <w:rPr>
          <w:bCs/>
          <w:szCs w:val="24"/>
          <w:u w:val="single"/>
          <w:lang w:val="fr-FR" w:eastAsia="en-GB"/>
        </w:rPr>
      </w:r>
    </w:p>
    <w:tbl>
      <w:tblPr>
        <w:tblW w:w="8580" w:type="dxa"/>
        <w:jc w:val="center"/>
        <w:tblInd w:w="0" w:type="dxa"/>
        <w:tblBorders>
          <w:top w:val="single" w:sz="8" w:space="0" w:color="000000"/>
          <w:left w:val="single" w:sz="8" w:space="0" w:color="000000"/>
          <w:bottom w:val="single" w:sz="4" w:space="0" w:color="000000"/>
          <w:insideH w:val="single" w:sz="4" w:space="0" w:color="000000"/>
        </w:tblBorders>
        <w:tblCellMar>
          <w:top w:w="0" w:type="dxa"/>
          <w:left w:w="60" w:type="dxa"/>
          <w:bottom w:w="0" w:type="dxa"/>
          <w:right w:w="70" w:type="dxa"/>
        </w:tblCellMar>
      </w:tblPr>
      <w:tblGrid>
        <w:gridCol w:w="3430"/>
        <w:gridCol w:w="1570"/>
        <w:gridCol w:w="1720"/>
        <w:gridCol w:w="1860"/>
      </w:tblGrid>
      <w:tr>
        <w:trPr>
          <w:trHeight w:val="465" w:hRule="atLeast"/>
        </w:trPr>
        <w:tc>
          <w:tcPr>
            <w:tcW w:w="3430" w:type="dxa"/>
            <w:tcBorders>
              <w:top w:val="single" w:sz="8" w:space="0" w:color="000000"/>
              <w:left w:val="single" w:sz="8" w:space="0" w:color="000000"/>
              <w:bottom w:val="single" w:sz="4" w:space="0" w:color="000000"/>
              <w:insideH w:val="single" w:sz="4" w:space="0" w:color="000000"/>
            </w:tcBorders>
            <w:shd w:fill="auto" w:val="clear"/>
            <w:tcMar>
              <w:left w:w="60" w:type="dxa"/>
            </w:tcMar>
            <w:vAlign w:val="bottom"/>
          </w:tcPr>
          <w:p>
            <w:pPr>
              <w:pStyle w:val="Normal"/>
              <w:rPr>
                <w:rFonts w:ascii="Calibri" w:hAnsi="Calibri" w:cs="Calibri"/>
                <w:color w:val="000000"/>
                <w:sz w:val="32"/>
                <w:szCs w:val="32"/>
                <w:lang w:val="fr-FR" w:eastAsia="fr-FR"/>
              </w:rPr>
            </w:pPr>
            <w:r>
              <w:rPr>
                <w:rFonts w:cs="Calibri" w:ascii="Calibri" w:hAnsi="Calibri"/>
                <w:color w:val="000000"/>
                <w:sz w:val="32"/>
                <w:szCs w:val="32"/>
                <w:lang w:val="fr-FR" w:eastAsia="fr-FR"/>
              </w:rPr>
              <w:t> </w:t>
            </w:r>
          </w:p>
        </w:tc>
        <w:tc>
          <w:tcPr>
            <w:tcW w:w="1570" w:type="dxa"/>
            <w:tcBorders>
              <w:top w:val="single" w:sz="8"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232627"/>
                <w:sz w:val="32"/>
                <w:szCs w:val="32"/>
                <w:lang w:val="fr-FR" w:eastAsia="fr-FR"/>
              </w:rPr>
            </w:pPr>
            <w:r>
              <w:rPr>
                <w:rFonts w:cs="Arial" w:ascii="Arial" w:hAnsi="Arial"/>
                <w:b/>
                <w:bCs/>
                <w:color w:val="232627"/>
                <w:sz w:val="32"/>
                <w:szCs w:val="32"/>
                <w:lang w:val="fr-FR" w:eastAsia="fr-FR"/>
              </w:rPr>
              <w:t>AG</w:t>
            </w:r>
          </w:p>
        </w:tc>
        <w:tc>
          <w:tcPr>
            <w:tcW w:w="1720" w:type="dxa"/>
            <w:tcBorders>
              <w:top w:val="single" w:sz="8"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232627"/>
                <w:sz w:val="32"/>
                <w:szCs w:val="32"/>
                <w:lang w:val="fr-FR" w:eastAsia="fr-FR"/>
              </w:rPr>
            </w:pPr>
            <w:r>
              <w:rPr>
                <w:rFonts w:cs="Arial" w:ascii="Arial" w:hAnsi="Arial"/>
                <w:b/>
                <w:bCs/>
                <w:color w:val="232627"/>
                <w:sz w:val="32"/>
                <w:szCs w:val="32"/>
                <w:lang w:val="fr-FR" w:eastAsia="fr-FR"/>
              </w:rPr>
              <w:t>AI</w:t>
            </w:r>
          </w:p>
        </w:tc>
        <w:tc>
          <w:tcPr>
            <w:tcW w:w="1860"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Mar>
              <w:left w:w="65" w:type="dxa"/>
            </w:tcMar>
            <w:vAlign w:val="center"/>
          </w:tcPr>
          <w:p>
            <w:pPr>
              <w:pStyle w:val="Normal"/>
              <w:jc w:val="center"/>
              <w:rPr>
                <w:rFonts w:ascii="Arial" w:hAnsi="Arial" w:cs="Arial"/>
                <w:b/>
                <w:b/>
                <w:bCs/>
                <w:color w:val="232627"/>
                <w:sz w:val="32"/>
                <w:szCs w:val="32"/>
                <w:lang w:val="fr-FR" w:eastAsia="fr-FR"/>
              </w:rPr>
            </w:pPr>
            <w:r>
              <w:rPr>
                <w:rFonts w:cs="Arial" w:ascii="Arial" w:hAnsi="Arial"/>
                <w:b/>
                <w:bCs/>
                <w:color w:val="232627"/>
                <w:sz w:val="32"/>
                <w:szCs w:val="32"/>
                <w:lang w:val="fr-FR" w:eastAsia="fr-FR"/>
              </w:rPr>
              <w:t>Total</w:t>
            </w:r>
          </w:p>
        </w:tc>
      </w:tr>
      <w:tr>
        <w:trPr>
          <w:trHeight w:val="465" w:hRule="atLeast"/>
        </w:trPr>
        <w:tc>
          <w:tcPr>
            <w:tcW w:w="3430"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b/>
                <w:b/>
                <w:bCs/>
                <w:color w:val="232627"/>
                <w:sz w:val="32"/>
                <w:szCs w:val="32"/>
                <w:lang w:val="fr-FR" w:eastAsia="fr-FR"/>
              </w:rPr>
            </w:pPr>
            <w:r>
              <w:rPr>
                <w:rFonts w:cs="Arial" w:ascii="Arial" w:hAnsi="Arial"/>
                <w:b/>
                <w:bCs/>
                <w:color w:val="232627"/>
                <w:sz w:val="32"/>
                <w:szCs w:val="32"/>
                <w:lang w:val="fr-FR" w:eastAsia="fr-FR"/>
              </w:rPr>
              <w:t xml:space="preserve">Ouvriers </w:t>
            </w:r>
          </w:p>
        </w:tc>
        <w:tc>
          <w:tcPr>
            <w:tcW w:w="157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pPr>
            <w:r>
              <w:rPr>
                <w:rFonts w:cs="Arial" w:ascii="Arial" w:hAnsi="Arial"/>
                <w:color w:val="232627"/>
                <w:sz w:val="32"/>
                <w:szCs w:val="32"/>
                <w:lang w:val="fr-FR" w:eastAsia="fr-FR"/>
              </w:rPr>
              <w:t>2.50%</w:t>
            </w:r>
          </w:p>
        </w:tc>
        <w:tc>
          <w:tcPr>
            <w:tcW w:w="172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 xml:space="preserve">- </w:t>
            </w:r>
          </w:p>
        </w:tc>
        <w:tc>
          <w:tcPr>
            <w:tcW w:w="1860" w:type="dxa"/>
            <w:tcBorders>
              <w:left w:val="single" w:sz="4" w:space="0" w:color="000000"/>
              <w:bottom w:val="single" w:sz="4" w:space="0" w:color="000000"/>
              <w:right w:val="single" w:sz="8" w:space="0" w:color="000000"/>
              <w:insideH w:val="single" w:sz="4" w:space="0" w:color="000000"/>
              <w:insideV w:val="single" w:sz="8" w:space="0" w:color="000000"/>
            </w:tcBorders>
            <w:shd w:fill="auto" w:val="clear"/>
            <w:tcMar>
              <w:left w:w="65" w:type="dxa"/>
            </w:tcMar>
            <w:vAlign w:val="center"/>
          </w:tcPr>
          <w:p>
            <w:pPr>
              <w:pStyle w:val="Normal"/>
              <w:jc w:val="center"/>
              <w:rPr/>
            </w:pPr>
            <w:r>
              <w:rPr>
                <w:rFonts w:cs="Arial" w:ascii="Arial" w:hAnsi="Arial"/>
                <w:color w:val="232627"/>
                <w:sz w:val="32"/>
                <w:szCs w:val="32"/>
                <w:lang w:val="fr-FR" w:eastAsia="fr-FR"/>
              </w:rPr>
              <w:t>2.50 %</w:t>
            </w:r>
          </w:p>
        </w:tc>
      </w:tr>
      <w:tr>
        <w:trPr>
          <w:trHeight w:val="465" w:hRule="atLeast"/>
        </w:trPr>
        <w:tc>
          <w:tcPr>
            <w:tcW w:w="3430" w:type="dxa"/>
            <w:tcBorders>
              <w:left w:val="single" w:sz="8" w:space="0" w:color="000000"/>
              <w:bottom w:val="single" w:sz="4" w:space="0" w:color="000000"/>
              <w:insideH w:val="single" w:sz="4" w:space="0" w:color="000000"/>
            </w:tcBorders>
            <w:shd w:fill="auto" w:val="clear"/>
            <w:tcMar>
              <w:left w:w="60" w:type="dxa"/>
            </w:tcMar>
            <w:vAlign w:val="center"/>
          </w:tcPr>
          <w:p>
            <w:pPr>
              <w:pStyle w:val="Normal"/>
              <w:jc w:val="center"/>
              <w:rPr>
                <w:rFonts w:ascii="Arial" w:hAnsi="Arial" w:cs="Arial"/>
                <w:b/>
                <w:b/>
                <w:bCs/>
                <w:color w:val="232627"/>
                <w:sz w:val="32"/>
                <w:szCs w:val="32"/>
                <w:lang w:val="fr-FR" w:eastAsia="fr-FR"/>
              </w:rPr>
            </w:pPr>
            <w:r>
              <w:rPr>
                <w:rFonts w:cs="Arial" w:ascii="Arial" w:hAnsi="Arial"/>
                <w:b/>
                <w:bCs/>
                <w:color w:val="232627"/>
                <w:sz w:val="32"/>
                <w:szCs w:val="32"/>
                <w:lang w:val="fr-FR" w:eastAsia="fr-FR"/>
              </w:rPr>
              <w:t>ETAM</w:t>
            </w:r>
          </w:p>
        </w:tc>
        <w:tc>
          <w:tcPr>
            <w:tcW w:w="157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2.00%</w:t>
            </w:r>
          </w:p>
        </w:tc>
        <w:tc>
          <w:tcPr>
            <w:tcW w:w="172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0.50%</w:t>
            </w:r>
          </w:p>
        </w:tc>
        <w:tc>
          <w:tcPr>
            <w:tcW w:w="1860" w:type="dxa"/>
            <w:tcBorders>
              <w:left w:val="single" w:sz="4" w:space="0" w:color="000000"/>
              <w:bottom w:val="single" w:sz="4" w:space="0" w:color="000000"/>
              <w:right w:val="single" w:sz="8" w:space="0" w:color="000000"/>
              <w:insideH w:val="single" w:sz="4" w:space="0" w:color="000000"/>
              <w:insideV w:val="single" w:sz="8" w:space="0" w:color="000000"/>
            </w:tcBorders>
            <w:shd w:fill="auto" w:val="clear"/>
            <w:tcMar>
              <w:left w:w="65" w:type="dxa"/>
            </w:tcMar>
            <w:vAlign w:val="center"/>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2.50 %</w:t>
            </w:r>
          </w:p>
        </w:tc>
      </w:tr>
      <w:tr>
        <w:trPr>
          <w:trHeight w:val="465" w:hRule="atLeast"/>
        </w:trPr>
        <w:tc>
          <w:tcPr>
            <w:tcW w:w="3430" w:type="dxa"/>
            <w:tcBorders>
              <w:left w:val="single" w:sz="8" w:space="0" w:color="000000"/>
              <w:bottom w:val="single" w:sz="8" w:space="0" w:color="000000"/>
              <w:insideH w:val="single" w:sz="8" w:space="0" w:color="000000"/>
            </w:tcBorders>
            <w:shd w:fill="auto" w:val="clear"/>
            <w:tcMar>
              <w:left w:w="60" w:type="dxa"/>
            </w:tcMar>
            <w:vAlign w:val="bottom"/>
          </w:tcPr>
          <w:p>
            <w:pPr>
              <w:pStyle w:val="Normal"/>
              <w:jc w:val="center"/>
              <w:rPr>
                <w:rFonts w:ascii="Arial" w:hAnsi="Arial" w:cs="Arial"/>
                <w:b/>
                <w:b/>
                <w:bCs/>
                <w:color w:val="232627"/>
                <w:sz w:val="32"/>
                <w:szCs w:val="32"/>
                <w:lang w:val="fr-FR" w:eastAsia="fr-FR"/>
              </w:rPr>
            </w:pPr>
            <w:r>
              <w:rPr>
                <w:rFonts w:cs="Arial" w:ascii="Arial" w:hAnsi="Arial"/>
                <w:b/>
                <w:bCs/>
                <w:color w:val="232627"/>
                <w:sz w:val="32"/>
                <w:szCs w:val="32"/>
                <w:lang w:val="fr-FR" w:eastAsia="fr-FR"/>
              </w:rPr>
              <w:t xml:space="preserve">Cadres </w:t>
            </w:r>
            <w:r>
              <w:rPr>
                <w:rFonts w:cs="Arial" w:ascii="Arial" w:hAnsi="Arial"/>
                <w:color w:val="232627"/>
                <w:sz w:val="22"/>
                <w:szCs w:val="22"/>
                <w:lang w:val="fr-FR" w:eastAsia="fr-FR"/>
              </w:rPr>
              <w:t>(2)</w:t>
            </w:r>
          </w:p>
        </w:tc>
        <w:tc>
          <w:tcPr>
            <w:tcW w:w="1570" w:type="dxa"/>
            <w:tcBorders>
              <w:left w:val="single" w:sz="4" w:space="0" w:color="000000"/>
              <w:bottom w:val="single" w:sz="8" w:space="0" w:color="000000"/>
              <w:insideH w:val="single" w:sz="8" w:space="0" w:color="000000"/>
            </w:tcBorders>
            <w:shd w:fill="auto" w:val="clear"/>
            <w:tcMar>
              <w:left w:w="65" w:type="dxa"/>
            </w:tcMar>
            <w:vAlign w:val="bottom"/>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1.00%</w:t>
            </w:r>
          </w:p>
        </w:tc>
        <w:tc>
          <w:tcPr>
            <w:tcW w:w="1720" w:type="dxa"/>
            <w:tcBorders>
              <w:left w:val="single" w:sz="4" w:space="0" w:color="000000"/>
              <w:bottom w:val="single" w:sz="8" w:space="0" w:color="000000"/>
              <w:insideH w:val="single" w:sz="8" w:space="0" w:color="000000"/>
            </w:tcBorders>
            <w:shd w:fill="auto" w:val="clear"/>
            <w:tcMar>
              <w:left w:w="65" w:type="dxa"/>
            </w:tcMar>
            <w:vAlign w:val="bottom"/>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 xml:space="preserve">1.50% </w:t>
            </w:r>
            <w:r>
              <w:rPr>
                <w:rFonts w:cs="Arial" w:ascii="Arial" w:hAnsi="Arial"/>
                <w:color w:val="232627"/>
                <w:szCs w:val="32"/>
                <w:lang w:val="fr-FR" w:eastAsia="fr-FR"/>
              </w:rPr>
              <w:t>(1)</w:t>
            </w:r>
          </w:p>
        </w:tc>
        <w:tc>
          <w:tcPr>
            <w:tcW w:w="1860" w:type="dxa"/>
            <w:tcBorders>
              <w:left w:val="single" w:sz="4" w:space="0" w:color="000000"/>
              <w:bottom w:val="single" w:sz="8" w:space="0" w:color="000000"/>
              <w:right w:val="single" w:sz="8" w:space="0" w:color="000000"/>
              <w:insideH w:val="single" w:sz="8" w:space="0" w:color="000000"/>
              <w:insideV w:val="single" w:sz="8" w:space="0" w:color="000000"/>
            </w:tcBorders>
            <w:shd w:fill="auto" w:val="clear"/>
            <w:tcMar>
              <w:left w:w="65" w:type="dxa"/>
            </w:tcMar>
            <w:vAlign w:val="bottom"/>
          </w:tcPr>
          <w:p>
            <w:pPr>
              <w:pStyle w:val="Normal"/>
              <w:jc w:val="center"/>
              <w:rPr>
                <w:rFonts w:ascii="Arial" w:hAnsi="Arial" w:cs="Arial"/>
                <w:color w:val="232627"/>
                <w:sz w:val="32"/>
                <w:szCs w:val="32"/>
                <w:lang w:val="fr-FR" w:eastAsia="fr-FR"/>
              </w:rPr>
            </w:pPr>
            <w:r>
              <w:rPr>
                <w:rFonts w:cs="Arial" w:ascii="Arial" w:hAnsi="Arial"/>
                <w:color w:val="232627"/>
                <w:sz w:val="32"/>
                <w:szCs w:val="32"/>
                <w:lang w:val="fr-FR" w:eastAsia="fr-FR"/>
              </w:rPr>
              <w:t xml:space="preserve">2.50 % </w:t>
            </w:r>
          </w:p>
        </w:tc>
      </w:tr>
    </w:tbl>
    <w:p>
      <w:pPr>
        <w:pStyle w:val="Normal"/>
        <w:numPr>
          <w:ilvl w:val="0"/>
          <w:numId w:val="5"/>
        </w:numPr>
        <w:tabs>
          <w:tab w:val="left" w:pos="1418" w:leader="none"/>
        </w:tabs>
        <w:ind w:left="1287" w:right="567" w:hanging="720"/>
        <w:jc w:val="both"/>
        <w:rPr>
          <w:lang w:val="fr-FR" w:eastAsia="en-GB"/>
        </w:rPr>
      </w:pPr>
      <w:r>
        <w:rPr>
          <w:lang w:val="fr-FR" w:eastAsia="en-GB"/>
        </w:rPr>
        <w:t> </w:t>
      </w:r>
      <w:r>
        <w:rPr>
          <w:lang w:val="fr-FR" w:eastAsia="en-GB"/>
        </w:rPr>
        <w:t>: l’augmentation individuelle peut être nulle (= 0), mais par contre si elle est attribuée, doit au moins être égale à 0.60%.</w:t>
      </w:r>
    </w:p>
    <w:p>
      <w:pPr>
        <w:pStyle w:val="Normal"/>
        <w:numPr>
          <w:ilvl w:val="0"/>
          <w:numId w:val="5"/>
        </w:numPr>
        <w:tabs>
          <w:tab w:val="left" w:pos="1418" w:leader="none"/>
        </w:tabs>
        <w:ind w:left="1287" w:right="567" w:hanging="720"/>
        <w:jc w:val="both"/>
        <w:rPr>
          <w:lang w:val="fr-FR" w:eastAsia="en-GB"/>
        </w:rPr>
      </w:pPr>
      <w:r>
        <w:rPr>
          <w:lang w:val="fr-FR" w:eastAsia="en-GB"/>
        </w:rPr>
        <w:t> </w:t>
      </w:r>
      <w:r>
        <w:rPr>
          <w:lang w:val="fr-FR" w:eastAsia="en-GB"/>
        </w:rPr>
        <w:t xml:space="preserve">: sauf Directeurs </w:t>
      </w:r>
    </w:p>
    <w:p>
      <w:pPr>
        <w:pStyle w:val="Normal"/>
        <w:tabs>
          <w:tab w:val="left" w:pos="1418" w:leader="none"/>
        </w:tabs>
        <w:ind w:left="567" w:right="567" w:hanging="0"/>
        <w:jc w:val="both"/>
        <w:rPr>
          <w:sz w:val="32"/>
          <w:szCs w:val="32"/>
          <w:lang w:val="fr-FR" w:eastAsia="en-GB"/>
        </w:rPr>
      </w:pPr>
      <w:r>
        <w:rPr>
          <w:sz w:val="32"/>
          <w:szCs w:val="32"/>
          <w:lang w:val="fr-FR" w:eastAsia="en-GB"/>
        </w:rPr>
      </w:r>
    </w:p>
    <w:p>
      <w:pPr>
        <w:pStyle w:val="Normal"/>
        <w:tabs>
          <w:tab w:val="left" w:pos="1418" w:leader="none"/>
        </w:tabs>
        <w:ind w:left="567" w:right="567" w:hanging="0"/>
        <w:jc w:val="both"/>
        <w:rPr>
          <w:lang w:val="fr-FR" w:eastAsia="en-GB"/>
        </w:rPr>
      </w:pPr>
      <w:r>
        <w:rPr>
          <w:lang w:val="fr-FR" w:eastAsia="en-GB"/>
        </w:rPr>
        <w:t>Chaque salarié ne bénéficiant pas d’augmentation individuelle sera reçu en entretien par son manager. Le salarié a la possibilité de demander un entretien avec le Directeur des Ressources Humaines si besoin.</w:t>
      </w:r>
    </w:p>
    <w:p>
      <w:pPr>
        <w:pStyle w:val="Normal"/>
        <w:tabs>
          <w:tab w:val="left" w:pos="1418" w:leader="none"/>
        </w:tabs>
        <w:ind w:left="567" w:right="567" w:hanging="0"/>
        <w:jc w:val="both"/>
        <w:rPr>
          <w:lang w:val="fr-FR" w:eastAsia="en-GB"/>
        </w:rPr>
      </w:pPr>
      <w:r>
        <w:rPr>
          <w:lang w:val="fr-FR" w:eastAsia="en-GB"/>
        </w:rPr>
        <w:t>Les augmentations individuelles ne pourront pas dépasser 4.00%.</w:t>
      </w:r>
    </w:p>
    <w:p>
      <w:pPr>
        <w:pStyle w:val="Normal"/>
        <w:tabs>
          <w:tab w:val="left" w:pos="1418" w:leader="none"/>
        </w:tabs>
        <w:ind w:left="567" w:right="567" w:hanging="0"/>
        <w:jc w:val="both"/>
        <w:rPr>
          <w:lang w:val="fr-FR" w:eastAsia="en-GB"/>
        </w:rPr>
      </w:pPr>
      <w:r>
        <w:rPr>
          <w:lang w:val="fr-FR" w:eastAsia="en-GB"/>
        </w:rPr>
      </w:r>
    </w:p>
    <w:p>
      <w:pPr>
        <w:pStyle w:val="Normal"/>
        <w:tabs>
          <w:tab w:val="left" w:pos="1418" w:leader="none"/>
        </w:tabs>
        <w:ind w:left="567" w:right="567" w:hanging="0"/>
        <w:jc w:val="both"/>
        <w:rPr>
          <w:lang w:val="fr-FR" w:eastAsia="en-GB"/>
        </w:rPr>
      </w:pPr>
      <w:r>
        <w:rPr>
          <w:lang w:val="fr-FR" w:eastAsia="en-GB"/>
        </w:rPr>
        <w:t>Les augmentations générales et individuelles seront versées au plus tard sur la paie d’avril 2022 avec effet rétroactif au 1</w:t>
      </w:r>
      <w:r>
        <w:rPr>
          <w:vertAlign w:val="superscript"/>
          <w:lang w:val="fr-FR" w:eastAsia="en-GB"/>
        </w:rPr>
        <w:t>er</w:t>
      </w:r>
      <w:r>
        <w:rPr>
          <w:lang w:val="fr-FR" w:eastAsia="en-GB"/>
        </w:rPr>
        <w:t xml:space="preserve"> janvier 2022.</w:t>
      </w:r>
    </w:p>
    <w:p>
      <w:pPr>
        <w:pStyle w:val="Normal"/>
        <w:tabs>
          <w:tab w:val="left" w:pos="1418" w:leader="none"/>
        </w:tabs>
        <w:ind w:left="567" w:right="567" w:hanging="0"/>
        <w:jc w:val="both"/>
        <w:rPr>
          <w:lang w:val="fr-FR" w:eastAsia="en-GB"/>
        </w:rPr>
      </w:pPr>
      <w:r>
        <w:rPr>
          <w:lang w:val="fr-FR" w:eastAsia="en-GB"/>
        </w:rPr>
      </w:r>
    </w:p>
    <w:p>
      <w:pPr>
        <w:pStyle w:val="Normal"/>
        <w:tabs>
          <w:tab w:val="left" w:pos="426" w:leader="none"/>
          <w:tab w:val="left" w:pos="1418" w:leader="none"/>
        </w:tabs>
        <w:ind w:right="567" w:hanging="0"/>
        <w:jc w:val="both"/>
        <w:rPr>
          <w:lang w:val="fr-FR" w:eastAsia="en-GB"/>
        </w:rPr>
      </w:pPr>
      <w:r>
        <w:rPr>
          <w:lang w:val="fr-FR" w:eastAsia="en-GB"/>
        </w:rPr>
      </w:r>
    </w:p>
    <w:p>
      <w:pPr>
        <w:pStyle w:val="Normal"/>
        <w:numPr>
          <w:ilvl w:val="0"/>
          <w:numId w:val="4"/>
        </w:numPr>
        <w:ind w:left="567" w:right="567" w:hanging="0"/>
        <w:jc w:val="both"/>
        <w:rPr>
          <w:b/>
          <w:b/>
          <w:u w:val="single"/>
          <w:lang w:val="fr-FR" w:eastAsia="en-GB"/>
        </w:rPr>
      </w:pPr>
      <w:r>
        <w:rPr>
          <w:b/>
          <w:u w:val="single"/>
          <w:lang w:val="fr-FR" w:eastAsia="en-GB"/>
        </w:rPr>
        <w:t>Autres mesures pour l’ensemble du personnel et personnels concernés</w:t>
      </w:r>
    </w:p>
    <w:p>
      <w:pPr>
        <w:pStyle w:val="Normal"/>
        <w:tabs>
          <w:tab w:val="left" w:pos="426" w:leader="none"/>
        </w:tabs>
        <w:ind w:left="284" w:right="567" w:hanging="0"/>
        <w:jc w:val="both"/>
        <w:rPr>
          <w:b/>
          <w:b/>
          <w:u w:val="single"/>
          <w:lang w:val="fr-FR" w:eastAsia="en-GB"/>
        </w:rPr>
      </w:pPr>
      <w:r>
        <w:rPr>
          <w:b/>
          <w:u w:val="single"/>
          <w:lang w:val="fr-FR" w:eastAsia="en-GB"/>
        </w:rPr>
      </w:r>
    </w:p>
    <w:p>
      <w:pPr>
        <w:pStyle w:val="Normal"/>
        <w:tabs>
          <w:tab w:val="left" w:pos="426" w:leader="none"/>
        </w:tabs>
        <w:ind w:left="284" w:right="567" w:hanging="0"/>
        <w:jc w:val="both"/>
        <w:rPr>
          <w:b/>
          <w:b/>
          <w:u w:val="single"/>
          <w:lang w:val="fr-FR" w:eastAsia="en-GB"/>
        </w:rPr>
      </w:pPr>
      <w:r>
        <w:rPr>
          <w:b/>
          <w:u w:val="single"/>
          <w:lang w:val="fr-FR" w:eastAsia="en-GB"/>
        </w:rPr>
      </w:r>
    </w:p>
    <w:p>
      <w:pPr>
        <w:pStyle w:val="Normal"/>
        <w:numPr>
          <w:ilvl w:val="1"/>
          <w:numId w:val="3"/>
        </w:numPr>
        <w:tabs>
          <w:tab w:val="left" w:pos="426" w:leader="none"/>
        </w:tabs>
        <w:ind w:left="1778" w:right="567" w:hanging="360"/>
        <w:jc w:val="both"/>
        <w:rPr>
          <w:b/>
          <w:b/>
          <w:u w:val="single"/>
          <w:lang w:val="fr-FR" w:eastAsia="en-GB"/>
        </w:rPr>
      </w:pPr>
      <w:r>
        <w:rPr>
          <w:b/>
          <w:u w:val="single"/>
          <w:lang w:val="fr-FR" w:eastAsia="en-GB"/>
        </w:rPr>
        <w:t>Les ponts</w:t>
      </w:r>
    </w:p>
    <w:p>
      <w:pPr>
        <w:pStyle w:val="Normal"/>
        <w:tabs>
          <w:tab w:val="left" w:pos="426" w:leader="none"/>
        </w:tabs>
        <w:ind w:left="993" w:right="567" w:hanging="0"/>
        <w:jc w:val="both"/>
        <w:rPr>
          <w:b/>
          <w:b/>
          <w:sz w:val="20"/>
          <w:u w:val="single"/>
          <w:lang w:val="fr-FR" w:eastAsia="en-GB"/>
        </w:rPr>
      </w:pPr>
      <w:r>
        <w:rPr>
          <w:b/>
          <w:sz w:val="20"/>
          <w:u w:val="single"/>
          <w:lang w:val="fr-FR" w:eastAsia="en-GB"/>
        </w:rPr>
      </w:r>
    </w:p>
    <w:p>
      <w:pPr>
        <w:pStyle w:val="Normal"/>
        <w:ind w:left="567" w:right="567" w:hanging="0"/>
        <w:jc w:val="both"/>
        <w:rPr/>
      </w:pPr>
      <w:r>
        <w:rPr>
          <w:lang w:val="fr-FR" w:eastAsia="en-GB"/>
        </w:rPr>
        <w:t>Trois ponts sont constatés sur l’année 2022 :</w:t>
      </w:r>
    </w:p>
    <w:p>
      <w:pPr>
        <w:pStyle w:val="Normal"/>
        <w:numPr>
          <w:ilvl w:val="0"/>
          <w:numId w:val="2"/>
        </w:numPr>
        <w:tabs>
          <w:tab w:val="left" w:pos="426" w:leader="none"/>
        </w:tabs>
        <w:ind w:left="1146" w:right="567" w:hanging="360"/>
        <w:jc w:val="both"/>
        <w:rPr>
          <w:lang w:val="fr-FR" w:eastAsia="en-GB"/>
        </w:rPr>
      </w:pPr>
      <w:r>
        <w:rPr>
          <w:lang w:val="fr-FR" w:eastAsia="en-GB"/>
        </w:rPr>
        <w:t>Vendredi 27 mai 2022</w:t>
      </w:r>
    </w:p>
    <w:p>
      <w:pPr>
        <w:pStyle w:val="Normal"/>
        <w:numPr>
          <w:ilvl w:val="0"/>
          <w:numId w:val="2"/>
        </w:numPr>
        <w:tabs>
          <w:tab w:val="left" w:pos="426" w:leader="none"/>
        </w:tabs>
        <w:ind w:left="1146" w:right="567" w:hanging="360"/>
        <w:jc w:val="both"/>
        <w:rPr>
          <w:lang w:val="fr-FR" w:eastAsia="en-GB"/>
        </w:rPr>
      </w:pPr>
      <w:r>
        <w:rPr>
          <w:lang w:val="fr-FR" w:eastAsia="en-GB"/>
        </w:rPr>
        <w:t>Vendredi 15 juillet 2022</w:t>
      </w:r>
    </w:p>
    <w:p>
      <w:pPr>
        <w:pStyle w:val="Normal"/>
        <w:numPr>
          <w:ilvl w:val="0"/>
          <w:numId w:val="2"/>
        </w:numPr>
        <w:tabs>
          <w:tab w:val="left" w:pos="426" w:leader="none"/>
        </w:tabs>
        <w:ind w:left="1146" w:right="567" w:hanging="360"/>
        <w:jc w:val="both"/>
        <w:rPr>
          <w:lang w:val="fr-FR" w:eastAsia="en-GB"/>
        </w:rPr>
      </w:pPr>
      <w:r>
        <w:rPr>
          <w:lang w:val="fr-FR" w:eastAsia="en-GB"/>
        </w:rPr>
        <w:t>Lundi 31 octobre 2022</w:t>
      </w:r>
    </w:p>
    <w:p>
      <w:pPr>
        <w:pStyle w:val="Normal"/>
        <w:tabs>
          <w:tab w:val="left" w:pos="426" w:leader="none"/>
        </w:tabs>
        <w:ind w:left="1146" w:right="567" w:hanging="0"/>
        <w:jc w:val="both"/>
        <w:rPr>
          <w:lang w:val="fr-FR" w:eastAsia="en-GB"/>
        </w:rPr>
      </w:pPr>
      <w:r>
        <w:rPr>
          <w:lang w:val="fr-FR" w:eastAsia="en-GB"/>
        </w:rPr>
      </w:r>
    </w:p>
    <w:p>
      <w:pPr>
        <w:pStyle w:val="Normal"/>
        <w:numPr>
          <w:ilvl w:val="1"/>
          <w:numId w:val="3"/>
        </w:numPr>
        <w:tabs>
          <w:tab w:val="left" w:pos="426" w:leader="none"/>
        </w:tabs>
        <w:ind w:left="1778" w:right="567" w:hanging="360"/>
        <w:jc w:val="both"/>
        <w:rPr>
          <w:b/>
          <w:b/>
          <w:u w:val="single"/>
          <w:lang w:val="fr-FR" w:eastAsia="en-GB"/>
        </w:rPr>
      </w:pPr>
      <w:r>
        <w:rPr>
          <w:b/>
          <w:u w:val="single"/>
          <w:lang w:val="fr-FR" w:eastAsia="en-GB"/>
        </w:rPr>
        <w:t>Journée de solidarité</w:t>
      </w:r>
    </w:p>
    <w:p>
      <w:pPr>
        <w:pStyle w:val="Normal"/>
        <w:tabs>
          <w:tab w:val="left" w:pos="426" w:leader="none"/>
        </w:tabs>
        <w:ind w:left="284" w:right="567" w:hanging="0"/>
        <w:jc w:val="both"/>
        <w:rPr>
          <w:b/>
          <w:b/>
          <w:sz w:val="20"/>
          <w:u w:val="single"/>
          <w:lang w:val="fr-FR" w:eastAsia="en-GB"/>
        </w:rPr>
      </w:pPr>
      <w:r>
        <w:rPr>
          <w:b/>
          <w:sz w:val="20"/>
          <w:u w:val="single"/>
          <w:lang w:val="fr-FR" w:eastAsia="en-GB"/>
        </w:rPr>
      </w:r>
    </w:p>
    <w:p>
      <w:pPr>
        <w:pStyle w:val="Normal"/>
        <w:ind w:left="567" w:right="567" w:hanging="0"/>
        <w:jc w:val="both"/>
        <w:rPr>
          <w:lang w:val="fr-FR" w:eastAsia="en-GB"/>
        </w:rPr>
      </w:pPr>
      <w:r>
        <w:rPr>
          <w:lang w:val="fr-FR" w:eastAsia="en-GB"/>
        </w:rPr>
        <w:t>Le lundi de Pentecôte (06 juin 2022) sera la journée de solidarité. Si le site ferme, dans ce cadre, le personnel devra prendre une journée de congé payé, une journée de congés d’ancienneté, une journée de flexibilité employé ou un RTT ou une journée de récupération ou une journée de crédit/débit (Comptabilisation de 7 heures).</w:t>
      </w:r>
      <w:r>
        <w:br w:type="page"/>
      </w:r>
    </w:p>
    <w:p>
      <w:pPr>
        <w:pStyle w:val="Normal"/>
        <w:tabs>
          <w:tab w:val="left" w:pos="426" w:leader="none"/>
        </w:tabs>
        <w:ind w:left="284" w:right="567" w:hanging="0"/>
        <w:jc w:val="both"/>
        <w:rPr>
          <w:lang w:val="fr-FR" w:eastAsia="en-GB"/>
        </w:rPr>
      </w:pPr>
      <w:r>
        <w:rPr>
          <w:lang w:val="fr-FR" w:eastAsia="en-GB"/>
        </w:rPr>
      </w:r>
    </w:p>
    <w:p>
      <w:pPr>
        <w:pStyle w:val="Normal"/>
        <w:numPr>
          <w:ilvl w:val="1"/>
          <w:numId w:val="3"/>
        </w:numPr>
        <w:tabs>
          <w:tab w:val="left" w:pos="426" w:leader="none"/>
        </w:tabs>
        <w:ind w:left="1778" w:right="567" w:hanging="360"/>
        <w:jc w:val="both"/>
        <w:rPr>
          <w:b/>
          <w:b/>
          <w:u w:val="single"/>
          <w:lang w:val="fr-FR" w:eastAsia="en-GB"/>
        </w:rPr>
      </w:pPr>
      <w:r>
        <w:rPr>
          <w:b/>
          <w:u w:val="single"/>
          <w:lang w:val="fr-FR" w:eastAsia="en-GB"/>
        </w:rPr>
        <w:t>Congés d’été</w:t>
      </w:r>
    </w:p>
    <w:p>
      <w:pPr>
        <w:pStyle w:val="Normal"/>
        <w:tabs>
          <w:tab w:val="left" w:pos="426" w:leader="none"/>
        </w:tabs>
        <w:ind w:right="567" w:hanging="0"/>
        <w:jc w:val="both"/>
        <w:rPr>
          <w:b/>
          <w:b/>
          <w:sz w:val="20"/>
          <w:u w:val="single"/>
          <w:lang w:val="fr-FR" w:eastAsia="en-GB"/>
        </w:rPr>
      </w:pPr>
      <w:r>
        <w:rPr>
          <w:b/>
          <w:sz w:val="20"/>
          <w:u w:val="single"/>
          <w:lang w:val="fr-FR" w:eastAsia="en-GB"/>
        </w:rPr>
      </w:r>
    </w:p>
    <w:p>
      <w:pPr>
        <w:pStyle w:val="Normal"/>
        <w:ind w:left="567" w:right="567" w:hanging="0"/>
        <w:jc w:val="both"/>
        <w:rPr/>
      </w:pPr>
      <w:r>
        <w:rPr>
          <w:lang w:val="fr-FR" w:eastAsia="en-GB"/>
        </w:rPr>
        <w:t>Le congé principal, dit « congés d’été » sera possible du 1</w:t>
      </w:r>
      <w:r>
        <w:rPr>
          <w:vertAlign w:val="superscript"/>
          <w:lang w:val="fr-FR" w:eastAsia="en-GB"/>
        </w:rPr>
        <w:t>er</w:t>
      </w:r>
      <w:r>
        <w:rPr>
          <w:lang w:val="fr-FR" w:eastAsia="en-GB"/>
        </w:rPr>
        <w:t xml:space="preserve"> mai au 31 octobre 2022, mais il sera principalement attribué sur la période de ralentissement des commandes clients.</w:t>
      </w:r>
    </w:p>
    <w:p>
      <w:pPr>
        <w:pStyle w:val="Normal"/>
        <w:tabs>
          <w:tab w:val="left" w:pos="426" w:leader="none"/>
        </w:tabs>
        <w:ind w:left="567" w:right="567" w:hanging="0"/>
        <w:jc w:val="both"/>
        <w:rPr>
          <w:lang w:val="fr-FR" w:eastAsia="en-GB"/>
        </w:rPr>
      </w:pPr>
      <w:r>
        <w:rPr>
          <w:lang w:val="fr-FR" w:eastAsia="en-GB"/>
        </w:rPr>
      </w:r>
    </w:p>
    <w:p>
      <w:pPr>
        <w:pStyle w:val="Normal"/>
        <w:tabs>
          <w:tab w:val="left" w:pos="426" w:leader="none"/>
        </w:tabs>
        <w:ind w:left="567" w:right="567" w:hanging="0"/>
        <w:jc w:val="both"/>
        <w:rPr>
          <w:lang w:val="fr-FR" w:eastAsia="en-GB"/>
        </w:rPr>
      </w:pPr>
      <w:r>
        <w:rPr>
          <w:lang w:val="fr-FR" w:eastAsia="en-GB"/>
        </w:rPr>
        <w:t>Une analyse des demandes exprimées au travers des feuilles de congés sera effectuée et un retour auprès des salariés sera fait au plus tard fin semaine 17.</w:t>
      </w:r>
    </w:p>
    <w:p>
      <w:pPr>
        <w:pStyle w:val="Normal"/>
        <w:tabs>
          <w:tab w:val="left" w:pos="426" w:leader="none"/>
        </w:tabs>
        <w:ind w:left="567" w:right="567" w:hanging="0"/>
        <w:jc w:val="both"/>
        <w:rPr>
          <w:highlight w:val="yellow"/>
          <w:lang w:val="fr-FR" w:eastAsia="en-GB"/>
        </w:rPr>
      </w:pPr>
      <w:r>
        <w:rPr>
          <w:highlight w:val="yellow"/>
          <w:lang w:val="fr-FR" w:eastAsia="en-GB"/>
        </w:rPr>
      </w:r>
    </w:p>
    <w:p>
      <w:pPr>
        <w:pStyle w:val="Normal"/>
        <w:ind w:left="567" w:right="567" w:hanging="142"/>
        <w:jc w:val="both"/>
        <w:rPr>
          <w:lang w:val="fr-FR" w:eastAsia="en-GB"/>
        </w:rPr>
      </w:pPr>
      <w:r>
        <w:rPr>
          <w:lang w:val="fr-FR" w:eastAsia="en-GB"/>
        </w:rPr>
        <w:tab/>
        <w:t>Le jour du départ en vacances, 1h30 sera offerte à chaque salarié. Les compteurs de récupération seront à cet effet crédités d’1h30 le 08 juillet 2022 au plus tard. Cette 1h30 devra permettre tout spécifiquement aux salariés de pouvoir quitter l’entreprise, le jour du départ en vacances, 1h30 avant l’horaire normal de fin de travail</w:t>
      </w:r>
    </w:p>
    <w:p>
      <w:pPr>
        <w:pStyle w:val="Normal"/>
        <w:tabs>
          <w:tab w:val="left" w:pos="426" w:leader="none"/>
        </w:tabs>
        <w:ind w:left="567" w:right="567" w:hanging="0"/>
        <w:jc w:val="both"/>
        <w:rPr>
          <w:lang w:val="fr-FR" w:eastAsia="en-GB"/>
        </w:rPr>
      </w:pPr>
      <w:r>
        <w:rPr>
          <w:lang w:val="fr-FR" w:eastAsia="en-GB"/>
        </w:rPr>
      </w:r>
    </w:p>
    <w:p>
      <w:pPr>
        <w:pStyle w:val="Standard"/>
        <w:ind w:left="567" w:right="567" w:hanging="0"/>
        <w:jc w:val="both"/>
        <w:rPr/>
      </w:pPr>
      <w:r>
        <w:rPr>
          <w:rFonts w:eastAsia="Times New Roman" w:cs="Times New Roman" w:ascii="New York;Times New Roman" w:hAnsi="New York;Times New Roman"/>
          <w:szCs w:val="20"/>
          <w:lang w:val="en-GB" w:eastAsia="en-GB" w:bidi="ar-SA"/>
        </w:rPr>
        <w:t>Pour les cas particuliers des permanences pendant les congés d'été et d'hiver (tous services confondus) :</w:t>
      </w:r>
    </w:p>
    <w:p>
      <w:pPr>
        <w:pStyle w:val="Standard"/>
        <w:ind w:left="567" w:right="567" w:hanging="0"/>
        <w:jc w:val="both"/>
        <w:rPr/>
      </w:pPr>
      <w:r>
        <w:rPr>
          <w:rFonts w:eastAsia="Times New Roman" w:cs="Times New Roman" w:ascii="New York;Times New Roman" w:hAnsi="New York;Times New Roman"/>
          <w:szCs w:val="20"/>
          <w:lang w:val="en-GB" w:eastAsia="en-GB" w:bidi="ar-SA"/>
        </w:rPr>
        <w:t>Tout salarié sollicité ou volontaire pour être présent pendant ces périodes, devra être prévenu par son supérieur hiérarchique, par écrit et une semaine à l'avance en cas de modification de la planification des horaires</w:t>
      </w:r>
      <w:r>
        <w:rPr>
          <w:rFonts w:eastAsia="Times New Roman" w:cs="Times New Roman"/>
        </w:rPr>
        <w:t xml:space="preserve"> </w:t>
      </w:r>
      <w:r>
        <w:rPr>
          <w:rFonts w:eastAsia="Times New Roman" w:cs="Times New Roman" w:ascii="New York;Times New Roman" w:hAnsi="New York;Times New Roman"/>
          <w:szCs w:val="20"/>
          <w:lang w:val="en-GB" w:eastAsia="en-GB" w:bidi="ar-SA"/>
        </w:rPr>
        <w:t>et/ou des jours de congés.</w:t>
      </w:r>
    </w:p>
    <w:p>
      <w:pPr>
        <w:pStyle w:val="Normal"/>
        <w:tabs>
          <w:tab w:val="left" w:pos="426" w:leader="none"/>
        </w:tabs>
        <w:ind w:right="567" w:hanging="0"/>
        <w:jc w:val="both"/>
        <w:rPr>
          <w:lang w:val="fr-FR" w:eastAsia="en-GB"/>
        </w:rPr>
      </w:pPr>
      <w:r>
        <w:rPr>
          <w:lang w:val="fr-FR" w:eastAsia="en-GB"/>
        </w:rPr>
      </w:r>
    </w:p>
    <w:p>
      <w:pPr>
        <w:pStyle w:val="Normal"/>
        <w:tabs>
          <w:tab w:val="left" w:pos="426" w:leader="none"/>
        </w:tabs>
        <w:ind w:left="284" w:right="567" w:firstLine="709"/>
        <w:jc w:val="both"/>
        <w:rPr>
          <w:lang w:val="fr-FR" w:eastAsia="en-GB"/>
        </w:rPr>
      </w:pPr>
      <w:r>
        <w:rPr>
          <w:lang w:val="fr-FR" w:eastAsia="en-GB"/>
        </w:rPr>
      </w:r>
    </w:p>
    <w:p>
      <w:pPr>
        <w:pStyle w:val="Normal"/>
        <w:numPr>
          <w:ilvl w:val="1"/>
          <w:numId w:val="3"/>
        </w:numPr>
        <w:tabs>
          <w:tab w:val="left" w:pos="426" w:leader="none"/>
        </w:tabs>
        <w:ind w:left="284" w:right="567" w:firstLine="709"/>
        <w:jc w:val="both"/>
        <w:rPr>
          <w:b/>
          <w:b/>
          <w:u w:val="single"/>
          <w:lang w:val="fr-FR" w:eastAsia="en-GB"/>
        </w:rPr>
      </w:pPr>
      <w:r>
        <w:rPr>
          <w:b/>
          <w:u w:val="single"/>
          <w:lang w:val="fr-FR" w:eastAsia="en-GB"/>
        </w:rPr>
        <w:t>Congés d’hiver</w:t>
      </w:r>
    </w:p>
    <w:p>
      <w:pPr>
        <w:pStyle w:val="Normal"/>
        <w:tabs>
          <w:tab w:val="left" w:pos="426" w:leader="none"/>
        </w:tabs>
        <w:ind w:left="993" w:right="567" w:hanging="0"/>
        <w:jc w:val="both"/>
        <w:rPr>
          <w:b/>
          <w:b/>
          <w:u w:val="single"/>
          <w:lang w:val="fr-FR" w:eastAsia="en-GB"/>
        </w:rPr>
      </w:pPr>
      <w:r>
        <w:rPr>
          <w:b/>
          <w:u w:val="single"/>
          <w:lang w:val="fr-FR" w:eastAsia="en-GB"/>
        </w:rPr>
      </w:r>
    </w:p>
    <w:p>
      <w:pPr>
        <w:pStyle w:val="Normal"/>
        <w:ind w:left="567" w:right="567" w:hanging="0"/>
        <w:jc w:val="both"/>
        <w:rPr/>
      </w:pPr>
      <w:r>
        <w:rPr>
          <w:lang w:val="fr-FR" w:eastAsia="en-GB"/>
        </w:rPr>
        <w:t>L’usine sera fermée en Semaine 52, sous réserves des confirmations des dates de fermeture de nos clients.</w:t>
      </w:r>
    </w:p>
    <w:p>
      <w:pPr>
        <w:pStyle w:val="Normal"/>
        <w:tabs>
          <w:tab w:val="left" w:pos="426" w:leader="none"/>
        </w:tabs>
        <w:ind w:left="993" w:right="567" w:hanging="0"/>
        <w:jc w:val="both"/>
        <w:rPr>
          <w:b/>
          <w:b/>
          <w:u w:val="single"/>
          <w:lang w:val="fr-FR" w:eastAsia="en-GB"/>
        </w:rPr>
      </w:pPr>
      <w:r>
        <w:rPr>
          <w:b/>
          <w:u w:val="single"/>
          <w:lang w:val="fr-FR" w:eastAsia="en-GB"/>
        </w:rPr>
      </w:r>
    </w:p>
    <w:p>
      <w:pPr>
        <w:pStyle w:val="Normal"/>
        <w:numPr>
          <w:ilvl w:val="1"/>
          <w:numId w:val="3"/>
        </w:numPr>
        <w:tabs>
          <w:tab w:val="left" w:pos="426" w:leader="none"/>
        </w:tabs>
        <w:ind w:left="284" w:right="567" w:firstLine="709"/>
        <w:jc w:val="both"/>
        <w:rPr>
          <w:b/>
          <w:b/>
          <w:u w:val="single"/>
          <w:lang w:val="fr-FR" w:eastAsia="en-GB"/>
        </w:rPr>
      </w:pPr>
      <w:r>
        <w:rPr>
          <w:b/>
          <w:u w:val="single"/>
          <w:lang w:val="fr-FR" w:eastAsia="en-GB"/>
        </w:rPr>
        <w:t xml:space="preserve">Mutuelle </w:t>
      </w:r>
    </w:p>
    <w:p>
      <w:pPr>
        <w:pStyle w:val="Paragraphedeliste"/>
        <w:rPr>
          <w:b/>
          <w:b/>
          <w:u w:val="single"/>
          <w:lang w:val="fr-FR" w:eastAsia="en-GB"/>
        </w:rPr>
      </w:pPr>
      <w:r>
        <w:rPr>
          <w:b/>
          <w:u w:val="single"/>
          <w:lang w:val="fr-FR" w:eastAsia="en-GB"/>
        </w:rPr>
      </w:r>
    </w:p>
    <w:p>
      <w:pPr>
        <w:pStyle w:val="Normal"/>
        <w:ind w:left="567" w:right="567" w:hanging="0"/>
        <w:jc w:val="both"/>
        <w:rPr>
          <w:lang w:val="fr-FR" w:eastAsia="en-GB"/>
        </w:rPr>
      </w:pPr>
      <w:r>
        <w:rPr>
          <w:lang w:val="fr-FR" w:eastAsia="en-GB"/>
        </w:rPr>
        <w:t>Pour 2022, et pour l’ensemble des collaborateurs, La Direction augmente la prise en charge de la mutuelle Santé de 2.38€. Ainsi, à compter du 1</w:t>
      </w:r>
      <w:r>
        <w:rPr>
          <w:vertAlign w:val="superscript"/>
          <w:lang w:val="fr-FR" w:eastAsia="en-GB"/>
        </w:rPr>
        <w:t>er</w:t>
      </w:r>
      <w:r>
        <w:rPr>
          <w:lang w:val="fr-FR" w:eastAsia="en-GB"/>
        </w:rPr>
        <w:t xml:space="preserve"> mars 2022 :</w:t>
      </w:r>
    </w:p>
    <w:p>
      <w:pPr>
        <w:pStyle w:val="Normal"/>
        <w:ind w:left="567" w:right="567" w:hanging="0"/>
        <w:jc w:val="both"/>
        <w:rPr>
          <w:b/>
          <w:b/>
          <w:u w:val="single"/>
          <w:lang w:val="fr-FR" w:eastAsia="en-GB"/>
        </w:rPr>
      </w:pPr>
      <w:r>
        <w:rPr>
          <w:b/>
          <w:u w:val="single"/>
          <w:lang w:val="fr-FR" w:eastAsia="en-GB"/>
        </w:rPr>
      </w:r>
    </w:p>
    <w:tbl>
      <w:tblPr>
        <w:tblW w:w="5630" w:type="dxa"/>
        <w:jc w:val="left"/>
        <w:tblInd w:w="2371"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80"/>
        <w:gridCol w:w="1606"/>
        <w:gridCol w:w="1085"/>
        <w:gridCol w:w="1159"/>
      </w:tblGrid>
      <w:tr>
        <w:trPr>
          <w:trHeight w:val="255" w:hRule="atLeast"/>
        </w:trPr>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left="-142" w:hanging="0"/>
              <w:rPr>
                <w:rFonts w:ascii="Arial" w:hAnsi="Arial" w:cs="Arial"/>
                <w:sz w:val="20"/>
                <w:lang w:val="fr-FR" w:eastAsia="en-US"/>
              </w:rPr>
            </w:pPr>
            <w:r>
              <w:rPr>
                <w:rFonts w:cs="Arial" w:ascii="Arial" w:hAnsi="Arial"/>
                <w:sz w:val="20"/>
                <w:lang w:val="fr-FR" w:eastAsia="en-US"/>
              </w:rPr>
              <w:t> </w:t>
            </w:r>
          </w:p>
        </w:tc>
        <w:tc>
          <w:tcPr>
            <w:tcW w:w="38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2022</w:t>
            </w:r>
          </w:p>
        </w:tc>
      </w:tr>
      <w:tr>
        <w:trPr>
          <w:trHeight w:val="765"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142" w:hanging="0"/>
              <w:jc w:val="center"/>
              <w:rPr>
                <w:rFonts w:ascii="Calibri" w:hAnsi="Calibri" w:cs="Arial"/>
                <w:b/>
                <w:b/>
                <w:bCs/>
                <w:color w:val="000000"/>
                <w:sz w:val="22"/>
                <w:szCs w:val="22"/>
                <w:lang w:val="en-US" w:eastAsia="en-US"/>
              </w:rPr>
            </w:pPr>
            <w:r>
              <w:rPr>
                <w:rFonts w:cs="Arial" w:ascii="Calibri" w:hAnsi="Calibri"/>
                <w:b/>
                <w:bCs/>
                <w:color w:val="000000"/>
                <w:sz w:val="22"/>
                <w:szCs w:val="22"/>
                <w:lang w:val="en-US" w:eastAsia="en-US"/>
              </w:rPr>
              <w:t>CADRES</w:t>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COUT mensuel</w:t>
            </w:r>
          </w:p>
        </w:tc>
        <w:tc>
          <w:tcPr>
            <w:tcW w:w="1085"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Part salarié</w:t>
            </w:r>
          </w:p>
        </w:tc>
        <w:tc>
          <w:tcPr>
            <w:tcW w:w="1159"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Part. Patr.</w:t>
            </w:r>
          </w:p>
        </w:tc>
      </w:tr>
      <w:tr>
        <w:trPr>
          <w:trHeight w:val="300"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ind w:left="-142" w:hanging="0"/>
              <w:rPr/>
            </w:pPr>
            <w:r>
              <w:rPr>
                <w:rFonts w:eastAsia="Arial" w:cs="Arial" w:ascii="Arial" w:hAnsi="Arial"/>
                <w:sz w:val="20"/>
                <w:lang w:val="en-US" w:eastAsia="en-US"/>
              </w:rPr>
              <w:t xml:space="preserve"> </w:t>
            </w:r>
            <w:r>
              <w:rPr>
                <w:rFonts w:cs="Arial" w:ascii="Arial" w:hAnsi="Arial"/>
                <w:sz w:val="20"/>
                <w:lang w:val="en-US" w:eastAsia="en-US"/>
              </w:rPr>
              <w:t>BASE : Famille</w:t>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right"/>
              <w:rPr>
                <w:rFonts w:ascii="Calibri" w:hAnsi="Calibri" w:cs="Arial"/>
                <w:color w:val="000000"/>
                <w:sz w:val="22"/>
                <w:szCs w:val="22"/>
                <w:lang w:val="en-US" w:eastAsia="en-US"/>
              </w:rPr>
            </w:pPr>
            <w:r>
              <w:rPr>
                <w:rFonts w:cs="Arial" w:ascii="Arial" w:hAnsi="Arial"/>
                <w:sz w:val="20"/>
                <w:lang w:val="en-US" w:eastAsia="en-US"/>
              </w:rPr>
              <w:t>154,34 €</w:t>
            </w:r>
          </w:p>
        </w:tc>
        <w:tc>
          <w:tcPr>
            <w:tcW w:w="1085"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right"/>
              <w:rPr/>
            </w:pPr>
            <w:r>
              <w:rPr>
                <w:rFonts w:cs="Arial" w:ascii="Arial" w:hAnsi="Arial"/>
                <w:sz w:val="20"/>
                <w:lang w:val="en-US" w:eastAsia="en-US"/>
              </w:rPr>
              <w:t>31,59 €</w:t>
            </w:r>
          </w:p>
        </w:tc>
        <w:tc>
          <w:tcPr>
            <w:tcW w:w="1159"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right"/>
              <w:rPr/>
            </w:pPr>
            <w:r>
              <w:rPr>
                <w:rFonts w:cs="Arial" w:ascii="Arial" w:hAnsi="Arial"/>
                <w:sz w:val="20"/>
                <w:lang w:val="en-US" w:eastAsia="en-US"/>
              </w:rPr>
              <w:t>122,75 €</w:t>
            </w:r>
          </w:p>
        </w:tc>
      </w:tr>
    </w:tbl>
    <w:p>
      <w:pPr>
        <w:pStyle w:val="Normal"/>
        <w:tabs>
          <w:tab w:val="left" w:pos="426" w:leader="none"/>
        </w:tabs>
        <w:ind w:left="-142" w:right="567" w:hanging="0"/>
        <w:jc w:val="both"/>
        <w:rPr>
          <w:lang w:val="fr-FR" w:eastAsia="en-GB"/>
        </w:rPr>
      </w:pPr>
      <w:r>
        <w:rPr>
          <w:lang w:val="fr-FR" w:eastAsia="en-GB"/>
        </w:rPr>
      </w:r>
    </w:p>
    <w:tbl>
      <w:tblPr>
        <w:tblW w:w="5630" w:type="dxa"/>
        <w:jc w:val="left"/>
        <w:tblInd w:w="2371"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80"/>
        <w:gridCol w:w="1606"/>
        <w:gridCol w:w="1149"/>
        <w:gridCol w:w="1095"/>
      </w:tblGrid>
      <w:tr>
        <w:trPr>
          <w:trHeight w:val="255" w:hRule="atLeast"/>
        </w:trPr>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ind w:left="-142" w:hanging="0"/>
              <w:rPr>
                <w:rFonts w:ascii="Arial" w:hAnsi="Arial" w:cs="Arial"/>
                <w:sz w:val="20"/>
                <w:lang w:val="en-US" w:eastAsia="en-US"/>
              </w:rPr>
            </w:pPr>
            <w:r>
              <w:rPr>
                <w:rFonts w:cs="Arial" w:ascii="Arial" w:hAnsi="Arial"/>
                <w:sz w:val="20"/>
                <w:lang w:val="en-US" w:eastAsia="en-US"/>
              </w:rPr>
              <w:t> </w:t>
            </w:r>
          </w:p>
        </w:tc>
        <w:tc>
          <w:tcPr>
            <w:tcW w:w="38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2022</w:t>
            </w:r>
          </w:p>
        </w:tc>
      </w:tr>
      <w:tr>
        <w:trPr>
          <w:trHeight w:val="765"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142" w:hanging="0"/>
              <w:jc w:val="center"/>
              <w:rPr>
                <w:rFonts w:ascii="Calibri" w:hAnsi="Calibri" w:cs="Arial"/>
                <w:b/>
                <w:b/>
                <w:bCs/>
                <w:color w:val="000000"/>
                <w:sz w:val="22"/>
                <w:szCs w:val="22"/>
                <w:lang w:val="en-US" w:eastAsia="en-US"/>
              </w:rPr>
            </w:pPr>
            <w:r>
              <w:rPr>
                <w:rFonts w:cs="Arial" w:ascii="Calibri" w:hAnsi="Calibri"/>
                <w:b/>
                <w:bCs/>
                <w:color w:val="000000"/>
                <w:sz w:val="22"/>
                <w:szCs w:val="22"/>
                <w:lang w:val="en-US" w:eastAsia="en-US"/>
              </w:rPr>
              <w:t>NON CADRES</w:t>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COUT mensuel</w:t>
            </w:r>
          </w:p>
        </w:tc>
        <w:tc>
          <w:tcPr>
            <w:tcW w:w="1149"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Part salarié</w:t>
            </w:r>
          </w:p>
        </w:tc>
        <w:tc>
          <w:tcPr>
            <w:tcW w:w="1095"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rFonts w:ascii="Arial" w:hAnsi="Arial" w:cs="Arial"/>
                <w:sz w:val="20"/>
                <w:lang w:val="en-US" w:eastAsia="en-US"/>
              </w:rPr>
            </w:pPr>
            <w:r>
              <w:rPr>
                <w:rFonts w:cs="Arial" w:ascii="Arial" w:hAnsi="Arial"/>
                <w:sz w:val="20"/>
                <w:lang w:val="en-US" w:eastAsia="en-US"/>
              </w:rPr>
              <w:t>Part. Patr.</w:t>
            </w:r>
          </w:p>
        </w:tc>
      </w:tr>
      <w:tr>
        <w:trPr>
          <w:trHeight w:val="255"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ind w:left="-142" w:hanging="0"/>
              <w:rPr/>
            </w:pPr>
            <w:r>
              <w:rPr>
                <w:rFonts w:eastAsia="Arial" w:cs="Arial" w:ascii="Arial" w:hAnsi="Arial"/>
                <w:sz w:val="20"/>
                <w:lang w:val="en-US" w:eastAsia="en-US"/>
              </w:rPr>
              <w:t xml:space="preserve"> </w:t>
            </w:r>
            <w:r>
              <w:rPr>
                <w:rFonts w:cs="Arial" w:ascii="Arial" w:hAnsi="Arial"/>
                <w:sz w:val="20"/>
                <w:lang w:val="en-US" w:eastAsia="en-US"/>
              </w:rPr>
              <w:t>Isolé</w:t>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81,38 €</w:t>
            </w:r>
          </w:p>
        </w:tc>
        <w:tc>
          <w:tcPr>
            <w:tcW w:w="1149"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7,77 €</w:t>
            </w:r>
          </w:p>
        </w:tc>
        <w:tc>
          <w:tcPr>
            <w:tcW w:w="1095"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73,61 €</w:t>
            </w:r>
          </w:p>
        </w:tc>
      </w:tr>
      <w:tr>
        <w:trPr>
          <w:trHeight w:val="255"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ind w:left="-142" w:hanging="0"/>
              <w:rPr>
                <w:rFonts w:ascii="Arial" w:hAnsi="Arial" w:cs="Arial"/>
                <w:sz w:val="20"/>
                <w:lang w:val="en-US" w:eastAsia="en-US"/>
              </w:rPr>
            </w:pPr>
            <w:r>
              <w:rPr>
                <w:rFonts w:eastAsia="Arial" w:cs="Arial" w:ascii="Arial" w:hAnsi="Arial"/>
                <w:sz w:val="20"/>
                <w:lang w:val="en-US" w:eastAsia="en-US"/>
              </w:rPr>
              <w:t xml:space="preserve"> </w:t>
            </w:r>
            <w:r>
              <w:rPr>
                <w:rFonts w:cs="Arial" w:ascii="Arial" w:hAnsi="Arial"/>
                <w:sz w:val="20"/>
                <w:lang w:val="en-US" w:eastAsia="en-US"/>
              </w:rPr>
              <w:t>Isolé + enfant(s)</w:t>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123,95 €</w:t>
            </w:r>
          </w:p>
        </w:tc>
        <w:tc>
          <w:tcPr>
            <w:tcW w:w="1149"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50,34 €</w:t>
            </w:r>
          </w:p>
        </w:tc>
        <w:tc>
          <w:tcPr>
            <w:tcW w:w="1095"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73,61 €</w:t>
            </w:r>
          </w:p>
        </w:tc>
      </w:tr>
      <w:tr>
        <w:trPr>
          <w:trHeight w:val="255"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ind w:left="-142" w:hanging="0"/>
              <w:rPr/>
            </w:pPr>
            <w:r>
              <w:rPr>
                <w:rFonts w:eastAsia="Arial" w:cs="Arial" w:ascii="Arial" w:hAnsi="Arial"/>
                <w:sz w:val="20"/>
                <w:lang w:val="en-US" w:eastAsia="en-US"/>
              </w:rPr>
              <w:t xml:space="preserve"> </w:t>
            </w:r>
            <w:r>
              <w:rPr>
                <w:rFonts w:cs="Arial" w:ascii="Arial" w:hAnsi="Arial"/>
                <w:sz w:val="20"/>
                <w:lang w:val="en-US" w:eastAsia="en-US"/>
              </w:rPr>
              <w:t>Couple</w:t>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150,92 €</w:t>
            </w:r>
          </w:p>
        </w:tc>
        <w:tc>
          <w:tcPr>
            <w:tcW w:w="1149"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77,31 €</w:t>
            </w:r>
          </w:p>
        </w:tc>
        <w:tc>
          <w:tcPr>
            <w:tcW w:w="1095"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73,61 €</w:t>
            </w:r>
          </w:p>
        </w:tc>
      </w:tr>
      <w:tr>
        <w:trPr>
          <w:trHeight w:val="255" w:hRule="atLeast"/>
        </w:trPr>
        <w:tc>
          <w:tcPr>
            <w:tcW w:w="1780" w:type="dxa"/>
            <w:tcBorders>
              <w:left w:val="single" w:sz="4" w:space="0" w:color="000000"/>
            </w:tcBorders>
            <w:shd w:fill="auto" w:val="clear"/>
            <w:tcMar>
              <w:left w:w="103" w:type="dxa"/>
            </w:tcMar>
            <w:vAlign w:val="bottom"/>
          </w:tcPr>
          <w:p>
            <w:pPr>
              <w:pStyle w:val="Normal"/>
              <w:ind w:left="-142" w:hanging="0"/>
              <w:rPr/>
            </w:pPr>
            <w:r>
              <w:rPr>
                <w:rFonts w:eastAsia="Arial" w:cs="Arial" w:ascii="Arial" w:hAnsi="Arial"/>
                <w:sz w:val="20"/>
                <w:lang w:val="en-US" w:eastAsia="en-US"/>
              </w:rPr>
              <w:t xml:space="preserve"> </w:t>
            </w:r>
            <w:r>
              <w:rPr>
                <w:rFonts w:cs="Arial" w:ascii="Arial" w:hAnsi="Arial"/>
                <w:sz w:val="20"/>
                <w:lang w:val="en-US" w:eastAsia="en-US"/>
              </w:rPr>
              <w:t>Couple + enfant(s)</w:t>
            </w:r>
          </w:p>
        </w:tc>
        <w:tc>
          <w:tcPr>
            <w:tcW w:w="1606" w:type="dxa"/>
            <w:tcBorders>
              <w:left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191,58 €</w:t>
            </w:r>
          </w:p>
        </w:tc>
        <w:tc>
          <w:tcPr>
            <w:tcW w:w="1149" w:type="dxa"/>
            <w:tcBorders>
              <w:left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117,97 €</w:t>
            </w:r>
          </w:p>
        </w:tc>
        <w:tc>
          <w:tcPr>
            <w:tcW w:w="1095" w:type="dxa"/>
            <w:tcBorders>
              <w:left w:val="single" w:sz="4" w:space="0" w:color="000000"/>
              <w:right w:val="single" w:sz="4" w:space="0" w:color="000000"/>
              <w:insideV w:val="single" w:sz="4" w:space="0" w:color="000000"/>
            </w:tcBorders>
            <w:shd w:fill="D8E4BC" w:val="clear"/>
            <w:tcMar>
              <w:left w:w="103" w:type="dxa"/>
            </w:tcMar>
            <w:vAlign w:val="center"/>
          </w:tcPr>
          <w:p>
            <w:pPr>
              <w:pStyle w:val="Normal"/>
              <w:ind w:left="-142" w:hanging="0"/>
              <w:jc w:val="center"/>
              <w:rPr/>
            </w:pPr>
            <w:r>
              <w:rPr>
                <w:rFonts w:cs="Arial" w:ascii="Arial" w:hAnsi="Arial"/>
                <w:sz w:val="20"/>
                <w:lang w:val="en-US" w:eastAsia="en-US"/>
              </w:rPr>
              <w:t>73,61 €</w:t>
            </w:r>
          </w:p>
        </w:tc>
      </w:tr>
      <w:tr>
        <w:trPr>
          <w:trHeight w:val="255" w:hRule="atLeast"/>
        </w:trPr>
        <w:tc>
          <w:tcPr>
            <w:tcW w:w="17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snapToGrid w:val="false"/>
              <w:ind w:left="-142" w:hanging="0"/>
              <w:rPr>
                <w:rFonts w:ascii="Arial" w:hAnsi="Arial" w:cs="Arial"/>
                <w:sz w:val="20"/>
                <w:lang w:val="en-US" w:eastAsia="en-US"/>
              </w:rPr>
            </w:pPr>
            <w:r>
              <w:rPr>
                <w:rFonts w:cs="Arial" w:ascii="Arial" w:hAnsi="Arial"/>
                <w:sz w:val="20"/>
                <w:lang w:val="en-US" w:eastAsia="en-US"/>
              </w:rPr>
            </w:r>
          </w:p>
        </w:tc>
        <w:tc>
          <w:tcPr>
            <w:tcW w:w="1606"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snapToGrid w:val="false"/>
              <w:ind w:left="-142" w:hanging="0"/>
              <w:jc w:val="center"/>
              <w:rPr>
                <w:rFonts w:ascii="Arial" w:hAnsi="Arial" w:cs="Arial"/>
                <w:sz w:val="20"/>
                <w:lang w:val="en-US" w:eastAsia="en-US"/>
              </w:rPr>
            </w:pPr>
            <w:r>
              <w:rPr>
                <w:rFonts w:cs="Arial" w:ascii="Arial" w:hAnsi="Arial"/>
                <w:sz w:val="20"/>
                <w:lang w:val="en-US" w:eastAsia="en-US"/>
              </w:rPr>
            </w:r>
          </w:p>
        </w:tc>
        <w:tc>
          <w:tcPr>
            <w:tcW w:w="1149" w:type="dxa"/>
            <w:tcBorders>
              <w:left w:val="single" w:sz="4" w:space="0" w:color="000000"/>
              <w:bottom w:val="single" w:sz="4" w:space="0" w:color="000000"/>
              <w:insideH w:val="single" w:sz="4" w:space="0" w:color="000000"/>
            </w:tcBorders>
            <w:shd w:fill="D8E4BC" w:val="clear"/>
            <w:tcMar>
              <w:left w:w="103" w:type="dxa"/>
            </w:tcMar>
            <w:vAlign w:val="center"/>
          </w:tcPr>
          <w:p>
            <w:pPr>
              <w:pStyle w:val="Normal"/>
              <w:snapToGrid w:val="false"/>
              <w:ind w:left="-142" w:hanging="0"/>
              <w:jc w:val="center"/>
              <w:rPr>
                <w:rFonts w:ascii="Arial" w:hAnsi="Arial" w:cs="Arial"/>
                <w:sz w:val="20"/>
                <w:lang w:val="en-US" w:eastAsia="en-US"/>
              </w:rPr>
            </w:pPr>
            <w:r>
              <w:rPr>
                <w:rFonts w:cs="Arial" w:ascii="Arial" w:hAnsi="Arial"/>
                <w:sz w:val="20"/>
                <w:lang w:val="en-US" w:eastAsia="en-US"/>
              </w:rPr>
            </w:r>
          </w:p>
        </w:tc>
        <w:tc>
          <w:tcPr>
            <w:tcW w:w="1095" w:type="dxa"/>
            <w:tcBorders>
              <w:left w:val="single" w:sz="4" w:space="0" w:color="000000"/>
              <w:bottom w:val="single" w:sz="4" w:space="0" w:color="000000"/>
              <w:right w:val="single" w:sz="4" w:space="0" w:color="000000"/>
              <w:insideH w:val="single" w:sz="4" w:space="0" w:color="000000"/>
              <w:insideV w:val="single" w:sz="4" w:space="0" w:color="000000"/>
            </w:tcBorders>
            <w:shd w:fill="D8E4BC" w:val="clear"/>
            <w:tcMar>
              <w:left w:w="103" w:type="dxa"/>
            </w:tcMar>
            <w:vAlign w:val="center"/>
          </w:tcPr>
          <w:p>
            <w:pPr>
              <w:pStyle w:val="Normal"/>
              <w:snapToGrid w:val="false"/>
              <w:ind w:left="-142" w:hanging="0"/>
              <w:jc w:val="center"/>
              <w:rPr>
                <w:rFonts w:ascii="Arial" w:hAnsi="Arial" w:cs="Arial"/>
                <w:sz w:val="20"/>
                <w:lang w:val="en-US" w:eastAsia="en-US"/>
              </w:rPr>
            </w:pPr>
            <w:r>
              <w:rPr>
                <w:rFonts w:cs="Arial" w:ascii="Arial" w:hAnsi="Arial"/>
                <w:sz w:val="20"/>
                <w:lang w:val="en-US" w:eastAsia="en-US"/>
              </w:rPr>
            </w:r>
          </w:p>
        </w:tc>
      </w:tr>
    </w:tbl>
    <w:p>
      <w:pPr>
        <w:pStyle w:val="Paragraphedeliste"/>
        <w:rPr>
          <w:lang w:val="fr-FR" w:eastAsia="en-GB"/>
        </w:rPr>
      </w:pPr>
      <w:r>
        <w:rPr>
          <w:lang w:val="fr-FR" w:eastAsia="en-GB"/>
        </w:rPr>
      </w:r>
    </w:p>
    <w:p>
      <w:pPr>
        <w:pStyle w:val="Paragraphedeliste"/>
        <w:rPr>
          <w:lang w:val="fr-FR" w:eastAsia="en-GB"/>
        </w:rPr>
      </w:pPr>
      <w:r>
        <w:rPr>
          <w:lang w:val="fr-FR" w:eastAsia="en-GB"/>
        </w:rPr>
      </w:r>
    </w:p>
    <w:p>
      <w:pPr>
        <w:pStyle w:val="Paragraphedeliste"/>
        <w:rPr>
          <w:lang w:val="fr-FR" w:eastAsia="en-GB"/>
        </w:rPr>
      </w:pPr>
      <w:r>
        <w:rPr>
          <w:lang w:val="fr-FR" w:eastAsia="en-GB"/>
        </w:rPr>
      </w:r>
    </w:p>
    <w:p>
      <w:pPr>
        <w:pStyle w:val="Paragraphedeliste"/>
        <w:rPr>
          <w:lang w:val="fr-FR" w:eastAsia="en-GB"/>
        </w:rPr>
      </w:pPr>
      <w:r>
        <w:rPr>
          <w:lang w:val="fr-FR" w:eastAsia="en-GB"/>
        </w:rPr>
      </w:r>
    </w:p>
    <w:p>
      <w:pPr>
        <w:pStyle w:val="Normal"/>
        <w:numPr>
          <w:ilvl w:val="1"/>
          <w:numId w:val="3"/>
        </w:numPr>
        <w:tabs>
          <w:tab w:val="left" w:pos="426" w:leader="none"/>
        </w:tabs>
        <w:ind w:left="284" w:right="567" w:firstLine="709"/>
        <w:jc w:val="both"/>
        <w:rPr>
          <w:b/>
          <w:b/>
          <w:u w:val="single"/>
          <w:lang w:val="fr-FR" w:eastAsia="en-GB"/>
        </w:rPr>
      </w:pPr>
      <w:r>
        <w:rPr>
          <w:b/>
          <w:u w:val="single"/>
          <w:lang w:val="fr-FR" w:eastAsia="en-GB"/>
        </w:rPr>
        <w:t>Prime de Transport</w:t>
      </w:r>
    </w:p>
    <w:p>
      <w:pPr>
        <w:pStyle w:val="Normal"/>
        <w:tabs>
          <w:tab w:val="left" w:pos="426" w:leader="none"/>
        </w:tabs>
        <w:ind w:left="709" w:right="567" w:hanging="0"/>
        <w:jc w:val="both"/>
        <w:rPr>
          <w:b/>
          <w:b/>
          <w:szCs w:val="24"/>
          <w:u w:val="single"/>
          <w:lang w:val="fr-FR" w:eastAsia="en-GB"/>
        </w:rPr>
      </w:pPr>
      <w:r>
        <w:rPr>
          <w:b/>
          <w:szCs w:val="24"/>
          <w:u w:val="single"/>
          <w:lang w:val="fr-FR" w:eastAsia="en-GB"/>
        </w:rPr>
      </w:r>
    </w:p>
    <w:p>
      <w:pPr>
        <w:pStyle w:val="Normal"/>
        <w:tabs>
          <w:tab w:val="left" w:pos="426" w:leader="none"/>
        </w:tabs>
        <w:ind w:left="709" w:right="567" w:hanging="0"/>
        <w:jc w:val="both"/>
        <w:rPr/>
      </w:pPr>
      <w:r>
        <w:rPr>
          <w:szCs w:val="24"/>
          <w:lang w:val="fr-FR" w:eastAsia="en-GB"/>
        </w:rPr>
        <w:t>La prime de transport augmentera de 5% au 1</w:t>
      </w:r>
      <w:r>
        <w:rPr>
          <w:szCs w:val="24"/>
          <w:vertAlign w:val="superscript"/>
          <w:lang w:val="fr-FR" w:eastAsia="en-GB"/>
        </w:rPr>
        <w:t>er</w:t>
      </w:r>
      <w:r>
        <w:rPr>
          <w:szCs w:val="24"/>
          <w:lang w:val="fr-FR" w:eastAsia="en-GB"/>
        </w:rPr>
        <w:t xml:space="preserve"> mars 2022.</w:t>
      </w:r>
    </w:p>
    <w:p>
      <w:pPr>
        <w:pStyle w:val="Normal"/>
        <w:tabs>
          <w:tab w:val="left" w:pos="426" w:leader="none"/>
        </w:tabs>
        <w:ind w:left="709" w:right="567" w:hanging="0"/>
        <w:jc w:val="both"/>
        <w:rPr>
          <w:szCs w:val="24"/>
          <w:lang w:val="fr-FR" w:eastAsia="en-GB"/>
        </w:rPr>
      </w:pPr>
      <w:r>
        <w:rPr>
          <w:szCs w:val="24"/>
          <w:lang w:val="fr-FR" w:eastAsia="en-GB"/>
        </w:rPr>
      </w:r>
    </w:p>
    <w:tbl>
      <w:tblPr>
        <w:tblW w:w="8940" w:type="dxa"/>
        <w:jc w:val="left"/>
        <w:tblInd w:w="81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536"/>
        <w:gridCol w:w="4404"/>
      </w:tblGrid>
      <w:tr>
        <w:trPr/>
        <w:tc>
          <w:tcPr>
            <w:tcW w:w="45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26" w:leader="none"/>
              </w:tabs>
              <w:ind w:left="709" w:right="567" w:hanging="0"/>
              <w:jc w:val="both"/>
              <w:rPr>
                <w:szCs w:val="24"/>
                <w:lang w:val="fr-FR" w:eastAsia="en-GB"/>
              </w:rPr>
            </w:pPr>
            <w:r>
              <w:rPr>
                <w:szCs w:val="24"/>
                <w:lang w:val="fr-FR" w:eastAsia="en-GB"/>
              </w:rPr>
              <w:t>De 0 à 2 kms</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426" w:leader="none"/>
              </w:tabs>
              <w:ind w:left="462" w:right="567" w:hanging="0"/>
              <w:jc w:val="both"/>
              <w:rPr>
                <w:szCs w:val="24"/>
                <w:lang w:val="fr-FR" w:eastAsia="en-GB"/>
              </w:rPr>
            </w:pPr>
            <w:r>
              <w:rPr>
                <w:szCs w:val="24"/>
                <w:lang w:val="fr-FR" w:eastAsia="en-GB"/>
              </w:rPr>
              <w:t>De   2€ à   2.10€</w:t>
            </w:r>
          </w:p>
        </w:tc>
      </w:tr>
      <w:tr>
        <w:trPr/>
        <w:tc>
          <w:tcPr>
            <w:tcW w:w="45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26" w:leader="none"/>
              </w:tabs>
              <w:ind w:left="709" w:right="567" w:hanging="0"/>
              <w:jc w:val="both"/>
              <w:rPr>
                <w:szCs w:val="24"/>
                <w:lang w:val="fr-FR" w:eastAsia="en-GB"/>
              </w:rPr>
            </w:pPr>
            <w:r>
              <w:rPr>
                <w:szCs w:val="24"/>
                <w:lang w:val="fr-FR" w:eastAsia="en-GB"/>
              </w:rPr>
              <w:t>De 3 à 4 kms</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426" w:leader="none"/>
              </w:tabs>
              <w:ind w:left="462" w:right="567" w:hanging="0"/>
              <w:jc w:val="both"/>
              <w:rPr>
                <w:szCs w:val="24"/>
                <w:lang w:val="fr-FR" w:eastAsia="en-GB"/>
              </w:rPr>
            </w:pPr>
            <w:r>
              <w:rPr>
                <w:szCs w:val="24"/>
                <w:lang w:val="fr-FR" w:eastAsia="en-GB"/>
              </w:rPr>
              <w:t>De 30€ à 31.50€</w:t>
            </w:r>
          </w:p>
        </w:tc>
      </w:tr>
      <w:tr>
        <w:trPr/>
        <w:tc>
          <w:tcPr>
            <w:tcW w:w="45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26" w:leader="none"/>
              </w:tabs>
              <w:ind w:left="709" w:right="567" w:hanging="0"/>
              <w:jc w:val="both"/>
              <w:rPr>
                <w:szCs w:val="24"/>
                <w:lang w:val="fr-FR" w:eastAsia="en-GB"/>
              </w:rPr>
            </w:pPr>
            <w:r>
              <w:rPr>
                <w:szCs w:val="24"/>
                <w:lang w:val="fr-FR" w:eastAsia="en-GB"/>
              </w:rPr>
              <w:t>De 5 à 9 kms</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426" w:leader="none"/>
              </w:tabs>
              <w:ind w:left="462" w:right="567" w:hanging="0"/>
              <w:jc w:val="both"/>
              <w:rPr>
                <w:szCs w:val="24"/>
                <w:lang w:val="fr-FR" w:eastAsia="en-GB"/>
              </w:rPr>
            </w:pPr>
            <w:r>
              <w:rPr>
                <w:szCs w:val="24"/>
                <w:lang w:val="fr-FR" w:eastAsia="en-GB"/>
              </w:rPr>
              <w:t>De 41€ à 43.05€</w:t>
            </w:r>
          </w:p>
        </w:tc>
      </w:tr>
      <w:tr>
        <w:trPr/>
        <w:tc>
          <w:tcPr>
            <w:tcW w:w="45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26" w:leader="none"/>
              </w:tabs>
              <w:ind w:left="709" w:right="567" w:hanging="0"/>
              <w:jc w:val="both"/>
              <w:rPr>
                <w:szCs w:val="24"/>
                <w:lang w:val="fr-FR" w:eastAsia="en-GB"/>
              </w:rPr>
            </w:pPr>
            <w:r>
              <w:rPr>
                <w:szCs w:val="24"/>
                <w:lang w:val="fr-FR" w:eastAsia="en-GB"/>
              </w:rPr>
              <w:t>De 10 à 19 kms</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426" w:leader="none"/>
              </w:tabs>
              <w:ind w:left="462" w:right="567" w:hanging="0"/>
              <w:jc w:val="both"/>
              <w:rPr>
                <w:szCs w:val="24"/>
                <w:lang w:val="fr-FR" w:eastAsia="en-GB"/>
              </w:rPr>
            </w:pPr>
            <w:r>
              <w:rPr>
                <w:szCs w:val="24"/>
                <w:lang w:val="fr-FR" w:eastAsia="en-GB"/>
              </w:rPr>
              <w:t>De 52€ à 54.60€</w:t>
            </w:r>
          </w:p>
        </w:tc>
      </w:tr>
      <w:tr>
        <w:trPr/>
        <w:tc>
          <w:tcPr>
            <w:tcW w:w="45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426" w:leader="none"/>
              </w:tabs>
              <w:ind w:left="709" w:right="567" w:hanging="0"/>
              <w:jc w:val="both"/>
              <w:rPr>
                <w:szCs w:val="24"/>
                <w:lang w:val="fr-FR" w:eastAsia="en-GB"/>
              </w:rPr>
            </w:pPr>
            <w:r>
              <w:rPr>
                <w:szCs w:val="24"/>
                <w:lang w:val="fr-FR" w:eastAsia="en-GB"/>
              </w:rPr>
              <w:t>De 20 kms et plus</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426" w:leader="none"/>
              </w:tabs>
              <w:ind w:left="462" w:right="567" w:hanging="0"/>
              <w:jc w:val="both"/>
              <w:rPr>
                <w:szCs w:val="24"/>
                <w:lang w:val="fr-FR" w:eastAsia="en-GB"/>
              </w:rPr>
            </w:pPr>
            <w:r>
              <w:rPr>
                <w:szCs w:val="24"/>
                <w:lang w:val="fr-FR" w:eastAsia="en-GB"/>
              </w:rPr>
              <w:t>De 68€ à 71.40€</w:t>
            </w:r>
          </w:p>
        </w:tc>
      </w:tr>
    </w:tbl>
    <w:p>
      <w:pPr>
        <w:pStyle w:val="Normal"/>
        <w:tabs>
          <w:tab w:val="left" w:pos="426" w:leader="none"/>
        </w:tabs>
        <w:ind w:left="709" w:right="567" w:hanging="0"/>
        <w:jc w:val="both"/>
        <w:rPr>
          <w:szCs w:val="24"/>
          <w:lang w:val="fr-FR" w:eastAsia="en-GB"/>
        </w:rPr>
      </w:pPr>
      <w:r>
        <w:rPr>
          <w:szCs w:val="24"/>
          <w:lang w:val="fr-FR" w:eastAsia="en-GB"/>
        </w:rPr>
      </w:r>
    </w:p>
    <w:p>
      <w:pPr>
        <w:pStyle w:val="Normal"/>
        <w:tabs>
          <w:tab w:val="left" w:pos="426" w:leader="none"/>
        </w:tabs>
        <w:ind w:left="360" w:right="567" w:hanging="0"/>
        <w:jc w:val="both"/>
        <w:rPr>
          <w:szCs w:val="24"/>
          <w:lang w:val="fr-FR" w:eastAsia="en-GB"/>
        </w:rPr>
      </w:pPr>
      <w:r>
        <w:rPr>
          <w:szCs w:val="24"/>
          <w:lang w:val="fr-FR" w:eastAsia="en-GB"/>
        </w:rPr>
      </w:r>
    </w:p>
    <w:p>
      <w:pPr>
        <w:pStyle w:val="Normal"/>
        <w:numPr>
          <w:ilvl w:val="1"/>
          <w:numId w:val="3"/>
        </w:numPr>
        <w:tabs>
          <w:tab w:val="left" w:pos="426" w:leader="none"/>
        </w:tabs>
        <w:ind w:left="284" w:right="567" w:firstLine="709"/>
        <w:jc w:val="both"/>
        <w:rPr>
          <w:b/>
          <w:b/>
          <w:u w:val="single"/>
          <w:lang w:val="fr-FR" w:eastAsia="en-GB"/>
        </w:rPr>
      </w:pPr>
      <w:r>
        <w:rPr>
          <w:b/>
          <w:szCs w:val="24"/>
          <w:u w:val="single"/>
          <w:lang w:val="fr-FR" w:eastAsia="en-GB"/>
        </w:rPr>
        <w:t>Temps de travail</w:t>
      </w:r>
    </w:p>
    <w:p>
      <w:pPr>
        <w:pStyle w:val="Normal"/>
        <w:ind w:left="284" w:right="567" w:firstLine="425"/>
        <w:jc w:val="both"/>
        <w:rPr>
          <w:b/>
          <w:b/>
          <w:szCs w:val="24"/>
          <w:u w:val="single"/>
          <w:lang w:val="fr-FR" w:eastAsia="en-GB"/>
        </w:rPr>
      </w:pPr>
      <w:r>
        <w:rPr>
          <w:b/>
          <w:szCs w:val="24"/>
          <w:u w:val="single"/>
          <w:lang w:val="fr-FR" w:eastAsia="en-GB"/>
        </w:rPr>
      </w:r>
    </w:p>
    <w:p>
      <w:pPr>
        <w:pStyle w:val="Normal"/>
        <w:ind w:left="709" w:right="567" w:hanging="0"/>
        <w:jc w:val="both"/>
        <w:rPr>
          <w:szCs w:val="24"/>
          <w:lang w:val="fr-FR" w:eastAsia="en-GB"/>
        </w:rPr>
      </w:pPr>
      <w:r>
        <w:rPr>
          <w:szCs w:val="24"/>
          <w:lang w:val="fr-FR" w:eastAsia="en-GB"/>
        </w:rPr>
        <w:t>Un accord sur « l’organisation du temps de travail en 2022 » a été signé le 16 décembre 2021, à l’issue d’une réunion de négociations.</w:t>
      </w:r>
    </w:p>
    <w:p>
      <w:pPr>
        <w:pStyle w:val="Normal"/>
        <w:ind w:left="284" w:right="567" w:firstLine="709"/>
        <w:jc w:val="both"/>
        <w:rPr>
          <w:b/>
          <w:b/>
          <w:szCs w:val="24"/>
          <w:u w:val="single"/>
          <w:lang w:val="fr-FR" w:eastAsia="en-GB"/>
        </w:rPr>
      </w:pPr>
      <w:r>
        <w:rPr>
          <w:b/>
          <w:szCs w:val="24"/>
          <w:u w:val="single"/>
          <w:lang w:val="fr-FR" w:eastAsia="en-GB"/>
        </w:rPr>
      </w:r>
    </w:p>
    <w:p>
      <w:pPr>
        <w:pStyle w:val="Normal"/>
        <w:ind w:left="284" w:right="567" w:firstLine="709"/>
        <w:jc w:val="both"/>
        <w:rPr>
          <w:b/>
          <w:b/>
          <w:szCs w:val="24"/>
          <w:u w:val="single"/>
          <w:lang w:val="fr-FR" w:eastAsia="en-GB"/>
        </w:rPr>
      </w:pPr>
      <w:r>
        <w:rPr>
          <w:b/>
          <w:szCs w:val="24"/>
          <w:u w:val="single"/>
          <w:lang w:val="fr-FR" w:eastAsia="en-GB"/>
        </w:rPr>
      </w:r>
    </w:p>
    <w:p>
      <w:pPr>
        <w:pStyle w:val="Normal"/>
        <w:ind w:left="284" w:right="567" w:firstLine="709"/>
        <w:jc w:val="both"/>
        <w:rPr/>
      </w:pPr>
      <w:r>
        <w:rPr>
          <w:b/>
          <w:szCs w:val="24"/>
          <w:u w:val="single"/>
          <w:lang w:val="fr-FR" w:eastAsia="en-GB"/>
        </w:rPr>
        <w:t>3. Publicité</w:t>
      </w:r>
      <w:r>
        <w:rPr>
          <w:u w:val="single"/>
          <w:lang w:val="fr-FR" w:eastAsia="en-GB"/>
        </w:rPr>
        <w:t> :</w:t>
      </w:r>
    </w:p>
    <w:p>
      <w:pPr>
        <w:pStyle w:val="Normal"/>
        <w:ind w:left="284" w:right="567" w:hanging="0"/>
        <w:jc w:val="both"/>
        <w:rPr>
          <w:u w:val="single"/>
          <w:lang w:val="fr-FR" w:eastAsia="en-GB"/>
        </w:rPr>
      </w:pPr>
      <w:r>
        <w:rPr>
          <w:u w:val="single"/>
          <w:lang w:val="fr-FR" w:eastAsia="en-GB"/>
        </w:rPr>
      </w:r>
    </w:p>
    <w:p>
      <w:pPr>
        <w:pStyle w:val="Normal"/>
        <w:ind w:left="709" w:right="567" w:hanging="0"/>
        <w:jc w:val="both"/>
        <w:rPr>
          <w:szCs w:val="24"/>
          <w:lang w:val="fr-FR" w:eastAsia="en-GB"/>
        </w:rPr>
      </w:pPr>
      <w:r>
        <w:rPr>
          <w:szCs w:val="24"/>
          <w:lang w:val="fr-FR" w:eastAsia="en-GB"/>
        </w:rPr>
        <w:t>Le présent accord sera notifié dès sa conclusion, à l’ensemble des organisations représentatives dans l’entreprise.</w:t>
      </w:r>
    </w:p>
    <w:p>
      <w:pPr>
        <w:pStyle w:val="Normal"/>
        <w:ind w:left="709" w:right="567" w:hanging="0"/>
        <w:jc w:val="both"/>
        <w:rPr>
          <w:szCs w:val="24"/>
          <w:lang w:val="fr-FR" w:eastAsia="en-GB"/>
        </w:rPr>
      </w:pPr>
      <w:r>
        <w:rPr>
          <w:szCs w:val="24"/>
          <w:lang w:val="fr-FR" w:eastAsia="en-GB"/>
        </w:rPr>
      </w:r>
    </w:p>
    <w:p>
      <w:pPr>
        <w:pStyle w:val="Normal"/>
        <w:ind w:left="709" w:right="567" w:hanging="0"/>
        <w:jc w:val="both"/>
        <w:rPr>
          <w:szCs w:val="24"/>
          <w:lang w:val="fr-FR" w:eastAsia="en-GB"/>
        </w:rPr>
      </w:pPr>
      <w:r>
        <w:rPr>
          <w:szCs w:val="24"/>
          <w:lang w:val="fr-FR" w:eastAsia="en-GB"/>
        </w:rPr>
        <w:t>Il sera adressé et déposé, à la diligence de l'Entreprise, sur la plateforme du Ministère du Travail (la DDETS) prévue à cet effet.</w:t>
      </w:r>
    </w:p>
    <w:p>
      <w:pPr>
        <w:pStyle w:val="Normal"/>
        <w:ind w:left="709" w:right="567" w:hanging="0"/>
        <w:jc w:val="both"/>
        <w:rPr/>
      </w:pPr>
      <w:r>
        <w:rPr>
          <w:szCs w:val="24"/>
          <w:lang w:val="fr-FR" w:eastAsia="en-GB"/>
        </w:rPr>
        <w:t>Un exemplaire sera également remis au secrétariat-greffe du conseil de prud’hommes de X.</w:t>
      </w:r>
    </w:p>
    <w:p>
      <w:pPr>
        <w:pStyle w:val="Normal"/>
        <w:ind w:left="284" w:right="567" w:firstLine="425"/>
        <w:jc w:val="both"/>
        <w:rPr>
          <w:szCs w:val="24"/>
          <w:lang w:val="fr-FR" w:eastAsia="en-GB"/>
        </w:rPr>
      </w:pPr>
      <w:r>
        <w:rPr>
          <w:szCs w:val="24"/>
          <w:lang w:val="fr-FR" w:eastAsia="en-GB"/>
        </w:rPr>
      </w:r>
    </w:p>
    <w:p>
      <w:pPr>
        <w:pStyle w:val="Normal"/>
        <w:ind w:left="567" w:hanging="0"/>
        <w:jc w:val="both"/>
        <w:rPr>
          <w:rFonts w:ascii="Times New Roman" w:hAnsi="Times New Roman" w:cs="Times New Roman"/>
          <w:szCs w:val="24"/>
          <w:lang w:val="fr-FR" w:eastAsia="en-GB"/>
        </w:rPr>
      </w:pPr>
      <w:r>
        <w:rPr>
          <w:rFonts w:cs="Times New Roman" w:ascii="Times New Roman" w:hAnsi="Times New Roman"/>
          <w:szCs w:val="24"/>
          <w:lang w:val="fr-FR" w:eastAsia="en-GB"/>
        </w:rPr>
      </w:r>
    </w:p>
    <w:p>
      <w:pPr>
        <w:pStyle w:val="Normal"/>
        <w:ind w:left="709" w:right="567" w:hanging="0"/>
        <w:jc w:val="both"/>
        <w:rPr>
          <w:szCs w:val="24"/>
          <w:lang w:val="fr-FR" w:eastAsia="en-GB"/>
        </w:rPr>
      </w:pPr>
      <w:r>
        <w:rPr>
          <w:szCs w:val="24"/>
          <w:lang w:val="fr-FR" w:eastAsia="en-GB"/>
        </w:rPr>
        <w:t>X, le 08 mars 2022</w:t>
      </w:r>
    </w:p>
    <w:p>
      <w:pPr>
        <w:pStyle w:val="Normal"/>
        <w:ind w:left="709" w:right="567" w:hanging="0"/>
        <w:jc w:val="both"/>
        <w:rPr/>
      </w:pPr>
      <w:r>
        <w:rPr>
          <w:szCs w:val="24"/>
          <w:lang w:val="fr-FR" w:eastAsia="en-GB"/>
        </w:rPr>
        <w:t>En 5 exemplaires originaux,</w:t>
      </w:r>
    </w:p>
    <w:p>
      <w:pPr>
        <w:pStyle w:val="Normal"/>
        <w:ind w:left="284" w:hanging="0"/>
        <w:jc w:val="both"/>
        <w:rPr>
          <w:rFonts w:ascii="Times New Roman" w:hAnsi="Times New Roman" w:cs="Times New Roman"/>
          <w:szCs w:val="24"/>
          <w:lang w:val="fr-FR" w:eastAsia="en-GB"/>
        </w:rPr>
      </w:pPr>
      <w:r>
        <w:rPr>
          <w:rFonts w:cs="Times New Roman" w:ascii="Times New Roman" w:hAnsi="Times New Roman"/>
          <w:szCs w:val="24"/>
          <w:lang w:val="fr-FR" w:eastAsia="en-GB"/>
        </w:rPr>
      </w:r>
    </w:p>
    <w:p>
      <w:pPr>
        <w:pStyle w:val="Normal"/>
        <w:ind w:left="284" w:hanging="0"/>
        <w:jc w:val="both"/>
        <w:rPr>
          <w:rFonts w:ascii="Times New Roman" w:hAnsi="Times New Roman" w:cs="Times New Roman"/>
          <w:szCs w:val="24"/>
          <w:lang w:val="fr-FR" w:eastAsia="en-GB"/>
        </w:rPr>
      </w:pPr>
      <w:r>
        <w:rPr>
          <w:rFonts w:cs="Times New Roman" w:ascii="Times New Roman" w:hAnsi="Times New Roman"/>
          <w:szCs w:val="24"/>
          <w:lang w:val="fr-FR" w:eastAsia="en-GB"/>
        </w:rPr>
      </w:r>
    </w:p>
    <w:p>
      <w:pPr>
        <w:pStyle w:val="Normal"/>
        <w:ind w:left="426" w:right="567" w:hanging="0"/>
        <w:jc w:val="both"/>
        <w:rPr/>
      </w:pPr>
      <w:r>
        <w:rPr>
          <w:szCs w:val="24"/>
          <w:lang w:val="fr-FR" w:eastAsia="en-GB"/>
        </w:rPr>
        <w:t>Pour la Direction,</w:t>
        <w:tab/>
        <w:tab/>
        <w:tab/>
        <w:tab/>
        <w:tab/>
        <w:t>Pour la CFDT,</w:t>
      </w:r>
    </w:p>
    <w:p>
      <w:pPr>
        <w:pStyle w:val="Normal"/>
        <w:ind w:left="426" w:right="567" w:hanging="0"/>
        <w:jc w:val="both"/>
        <w:rPr>
          <w:szCs w:val="24"/>
          <w:lang w:val="fr-FR" w:eastAsia="en-GB"/>
        </w:rPr>
      </w:pPr>
      <w:r>
        <w:rPr>
          <w:szCs w:val="24"/>
          <w:lang w:val="fr-FR" w:eastAsia="en-GB"/>
        </w:rPr>
        <w:t>X</w:t>
        <w:tab/>
        <w:tab/>
        <w:tab/>
        <w:tab/>
        <w:tab/>
        <w:tab/>
        <w:tab/>
        <w:tab/>
        <w:t>X et X</w:t>
      </w:r>
    </w:p>
    <w:p>
      <w:pPr>
        <w:pStyle w:val="Normal"/>
        <w:ind w:left="426" w:right="567" w:hanging="0"/>
        <w:jc w:val="both"/>
        <w:rPr>
          <w:szCs w:val="24"/>
          <w:lang w:val="fr-FR" w:eastAsia="en-GB"/>
        </w:rPr>
      </w:pPr>
      <w:r>
        <w:rPr>
          <w:szCs w:val="24"/>
          <w:lang w:val="fr-FR" w:eastAsia="en-GB"/>
        </w:rPr>
      </w:r>
    </w:p>
    <w:p>
      <w:pPr>
        <w:pStyle w:val="Normal"/>
        <w:ind w:left="426" w:right="567" w:hanging="0"/>
        <w:jc w:val="both"/>
        <w:rPr>
          <w:szCs w:val="24"/>
          <w:lang w:val="fr-FR" w:eastAsia="en-GB"/>
        </w:rPr>
      </w:pPr>
      <w:r>
        <w:rPr>
          <w:szCs w:val="24"/>
          <w:lang w:val="fr-FR" w:eastAsia="en-GB"/>
        </w:rPr>
      </w:r>
    </w:p>
    <w:p>
      <w:pPr>
        <w:pStyle w:val="Normal"/>
        <w:ind w:left="426" w:right="567" w:hanging="0"/>
        <w:jc w:val="both"/>
        <w:rPr>
          <w:szCs w:val="24"/>
          <w:lang w:val="fr-FR" w:eastAsia="en-GB"/>
        </w:rPr>
      </w:pPr>
      <w:r>
        <w:rPr>
          <w:szCs w:val="24"/>
          <w:lang w:val="fr-FR" w:eastAsia="en-GB"/>
        </w:rPr>
      </w:r>
    </w:p>
    <w:p>
      <w:pPr>
        <w:pStyle w:val="Normal"/>
        <w:ind w:left="426" w:right="567" w:hanging="0"/>
        <w:jc w:val="both"/>
        <w:rPr>
          <w:szCs w:val="24"/>
          <w:lang w:val="fr-FR" w:eastAsia="en-GB"/>
        </w:rPr>
      </w:pPr>
      <w:r>
        <w:rPr>
          <w:szCs w:val="24"/>
          <w:lang w:val="fr-FR" w:eastAsia="en-GB"/>
        </w:rPr>
      </w:r>
    </w:p>
    <w:p>
      <w:pPr>
        <w:pStyle w:val="Normal"/>
        <w:ind w:left="426" w:right="567" w:hanging="0"/>
        <w:jc w:val="both"/>
        <w:rPr>
          <w:szCs w:val="24"/>
          <w:lang w:val="fr-FR" w:eastAsia="en-GB"/>
        </w:rPr>
      </w:pPr>
      <w:r>
        <w:rPr>
          <w:szCs w:val="24"/>
          <w:lang w:val="fr-FR" w:eastAsia="en-GB"/>
        </w:rPr>
      </w:r>
    </w:p>
    <w:p>
      <w:pPr>
        <w:pStyle w:val="Normal"/>
        <w:ind w:left="426" w:right="567" w:hanging="0"/>
        <w:jc w:val="both"/>
        <w:rPr>
          <w:szCs w:val="24"/>
          <w:lang w:val="fr-FR" w:eastAsia="en-GB"/>
        </w:rPr>
      </w:pPr>
      <w:r>
        <w:rPr>
          <w:szCs w:val="24"/>
          <w:lang w:val="fr-FR" w:eastAsia="en-GB"/>
        </w:rPr>
        <w:t xml:space="preserve">Pour la CFTC, </w:t>
        <w:tab/>
        <w:tab/>
        <w:tab/>
        <w:tab/>
        <w:tab/>
        <w:tab/>
        <w:t>Pour la CGT,</w:t>
      </w:r>
    </w:p>
    <w:p>
      <w:pPr>
        <w:pStyle w:val="Normal"/>
        <w:ind w:left="426" w:hanging="0"/>
        <w:rPr>
          <w:szCs w:val="24"/>
          <w:lang w:val="fr-FR" w:eastAsia="en-GB"/>
        </w:rPr>
      </w:pPr>
      <w:r>
        <w:rPr>
          <w:szCs w:val="24"/>
          <w:lang w:val="fr-FR" w:eastAsia="en-GB"/>
        </w:rPr>
        <w:t>X et X</w:t>
        <w:tab/>
        <w:tab/>
        <w:tab/>
        <w:tab/>
        <w:tab/>
        <w:tab/>
        <w:tab/>
        <w:t>X et X</w:t>
      </w:r>
    </w:p>
    <w:p>
      <w:pPr>
        <w:pStyle w:val="Normal"/>
        <w:ind w:left="567" w:hanging="0"/>
        <w:jc w:val="both"/>
        <w:rPr>
          <w:rFonts w:ascii="Times New Roman" w:hAnsi="Times New Roman" w:cs="Times New Roman"/>
          <w:szCs w:val="24"/>
          <w:lang w:val="fr-FR" w:eastAsia="en-GB"/>
        </w:rPr>
      </w:pPr>
      <w:r>
        <w:rPr>
          <w:rFonts w:cs="Times New Roman" w:ascii="Times New Roman" w:hAnsi="Times New Roman"/>
          <w:szCs w:val="24"/>
          <w:lang w:val="fr-FR" w:eastAsia="en-GB"/>
        </w:rPr>
      </w:r>
    </w:p>
    <w:sectPr>
      <w:headerReference w:type="default" r:id="rId2"/>
      <w:footerReference w:type="default" r:id="rId3"/>
      <w:type w:val="nextPage"/>
      <w:pgSz w:w="11906" w:h="16838"/>
      <w:pgMar w:left="567" w:right="567" w:header="720" w:top="1701" w:footer="23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altName w:val="Times New Roman"/>
    <w:charset w:val="00"/>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0" w:leader="none"/>
        <w:tab w:val="left" w:pos="9599" w:leader="none"/>
      </w:tabs>
      <w:ind w:left="200" w:right="-960" w:hanging="0"/>
      <w:jc w:val="center"/>
      <w:rPr>
        <w:sz w:val="18"/>
        <w:szCs w:val="18"/>
        <w:lang w:val="fr-FR" w:eastAsia="en-GB"/>
      </w:rPr>
    </w:pPr>
    <w:r>
      <w:rPr>
        <w:sz w:val="18"/>
        <w:szCs w:val="18"/>
        <w:lang w:val="fr-FR" w:eastAsia="en-GB"/>
      </w:rPr>
      <w:t>x, le 08 mars 2022</w:t>
    </w:r>
  </w:p>
  <w:p>
    <w:pPr>
      <w:pStyle w:val="Normal"/>
      <w:tabs>
        <w:tab w:val="left" w:pos="7200" w:leader="none"/>
        <w:tab w:val="left" w:pos="9599" w:leader="none"/>
      </w:tabs>
      <w:ind w:left="200" w:right="-960" w:hanging="0"/>
      <w:jc w:val="center"/>
      <w:rPr>
        <w:sz w:val="18"/>
        <w:szCs w:val="18"/>
        <w:lang w:val="fr-FR" w:eastAsia="en-GB"/>
      </w:rPr>
    </w:pPr>
    <w:r>
      <w:rPr>
        <w:sz w:val="18"/>
        <w:szCs w:val="18"/>
        <w:lang w:val="fr-FR" w:eastAsia="en-GB"/>
      </w:rPr>
      <w:t xml:space="preserve">Page </w:t>
    </w:r>
    <w:r>
      <w:rPr>
        <w:sz w:val="18"/>
        <w:szCs w:val="18"/>
        <w:lang w:val="fr-FR" w:eastAsia="en-GB"/>
      </w:rPr>
      <w:fldChar w:fldCharType="begin"/>
    </w:r>
    <w:r>
      <w:instrText> PAGE </w:instrText>
    </w:r>
    <w:r>
      <w:fldChar w:fldCharType="separate"/>
    </w:r>
    <w:r>
      <w:t>4</w:t>
    </w:r>
    <w:r>
      <w:fldChar w:fldCharType="end"/>
    </w:r>
    <w:r>
      <w:rPr>
        <w:sz w:val="18"/>
        <w:szCs w:val="18"/>
        <w:lang w:val="fr-FR" w:eastAsia="en-GB"/>
      </w:rPr>
      <w:t xml:space="preserve"> sur </w:t>
    </w:r>
    <w:r>
      <w:rPr>
        <w:sz w:val="18"/>
        <w:szCs w:val="18"/>
        <w:lang w:val="fr-FR" w:eastAsia="en-GB"/>
      </w:rPr>
      <w:fldChar w:fldCharType="begin"/>
    </w:r>
    <w:r>
      <w:instrText> NUMPAGES \* ARABIC </w:instrText>
    </w:r>
    <w:r>
      <w:fldChar w:fldCharType="separate"/>
    </w:r>
    <w:r>
      <w:t>4</w:t>
    </w:r>
    <w:r>
      <w:fldChar w:fldCharType="end"/>
    </w:r>
  </w:p>
  <w:p>
    <w:pPr>
      <w:pStyle w:val="Normal"/>
      <w:tabs>
        <w:tab w:val="left" w:pos="7200" w:leader="none"/>
        <w:tab w:val="left" w:pos="9599" w:leader="none"/>
      </w:tabs>
      <w:ind w:left="200" w:right="-960" w:hanging="0"/>
      <w:jc w:val="center"/>
      <w:rPr>
        <w:sz w:val="20"/>
        <w:szCs w:val="18"/>
        <w:lang w:val="fr-FR" w:eastAsia="en-GB"/>
      </w:rPr>
    </w:pPr>
    <w:r>
      <w:rPr>
        <w:sz w:val="20"/>
        <w:szCs w:val="18"/>
        <w:lang w:val="fr-FR" w:eastAsia="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1" w:color="000000"/>
        <w:bottom w:val="single" w:sz="12" w:space="1" w:color="000000"/>
        <w:right w:val="single" w:sz="12" w:space="1" w:color="000000"/>
      </w:pBdr>
      <w:tabs>
        <w:tab w:val="left" w:pos="6379" w:leader="none"/>
      </w:tabs>
      <w:ind w:left="2694" w:right="69" w:hanging="2694"/>
      <w:rPr>
        <w:rStyle w:val="PageNumber"/>
        <w:sz w:val="20"/>
      </w:rPr>
    </w:pPr>
    <w:r>
      <w:rPr>
        <w:rStyle w:val="PageNumber"/>
      </w:rPr>
      <w:fldChar w:fldCharType="begin"/>
    </w:r>
    <w:r>
      <w:instrText> PAGE </w:instrText>
    </w:r>
    <w:r>
      <w:fldChar w:fldCharType="separate"/>
    </w:r>
    <w:r>
      <w:t>4</w:t>
    </w:r>
    <w:r>
      <w:fldChar w:fldCharType="end"/>
    </w:r>
  </w:p>
  <w:p>
    <w:pPr>
      <w:pStyle w:val="Normal"/>
      <w:pBdr>
        <w:top w:val="single" w:sz="12" w:space="1" w:color="000000"/>
        <w:left w:val="single" w:sz="12" w:space="1" w:color="000000"/>
        <w:bottom w:val="single" w:sz="12" w:space="1" w:color="000000"/>
        <w:right w:val="single" w:sz="12" w:space="1" w:color="000000"/>
      </w:pBdr>
      <w:tabs>
        <w:tab w:val="left" w:pos="6379" w:leader="none"/>
      </w:tabs>
      <w:ind w:left="2694" w:right="69" w:hanging="2694"/>
      <w:jc w:val="center"/>
      <w:rPr>
        <w:b/>
        <w:b/>
        <w:sz w:val="28"/>
        <w:lang w:val="fr-FR" w:eastAsia="en-GB"/>
      </w:rPr>
    </w:pPr>
    <w:r>
      <w:rPr>
        <w:b/>
        <w:sz w:val="32"/>
        <w:szCs w:val="32"/>
        <w:lang w:val="fr-FR" w:eastAsia="en-GB"/>
      </w:rPr>
      <w:t>NEGOCIATION ANNUELLE OBLIGATOIRE - ANNEE  2022</w:t>
    </w:r>
    <w:r>
      <w:rPr>
        <w:sz w:val="20"/>
        <w:lang w:val="fr-FR" w:eastAsia="en-GB"/>
      </w:rPr>
      <w:t xml:space="preserve"> </w:t>
    </w:r>
  </w:p>
  <w:p>
    <w:pPr>
      <w:pStyle w:val="Normal"/>
      <w:tabs>
        <w:tab w:val="left" w:pos="7200" w:leader="none"/>
        <w:tab w:val="left" w:pos="9599" w:leader="none"/>
      </w:tabs>
      <w:ind w:left="200" w:right="-960" w:hanging="0"/>
      <w:jc w:val="center"/>
      <w:rPr>
        <w:b/>
        <w:b/>
        <w:sz w:val="20"/>
        <w:lang w:val="fr-FR" w:eastAsia="en-GB"/>
      </w:rPr>
    </w:pPr>
    <w:r>
      <w:rPr>
        <w:b/>
        <w:sz w:val="20"/>
        <w:lang w:val="fr-FR"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146" w:hanging="360"/>
      </w:pPr>
      <w:rPr>
        <w:rFonts w:ascii="Wingdings" w:hAnsi="Wingdings" w:cs="Wingdings" w:hint="default"/>
        <w:rFonts w:cs="Wingdings"/>
        <w:lang w:val="en-GB"/>
      </w:rPr>
    </w:lvl>
  </w:abstractNum>
  <w:abstractNum w:abstractNumId="3">
    <w:lvl w:ilvl="0">
      <w:start w:val="2"/>
      <w:numFmt w:val="decimal"/>
      <w:lvlText w:val="%1"/>
      <w:lvlJc w:val="left"/>
      <w:pPr>
        <w:ind w:left="360" w:hanging="360"/>
      </w:pPr>
      <w:rPr>
        <w:lang w:val="en-GB"/>
      </w:rPr>
    </w:lvl>
    <w:lvl w:ilvl="1">
      <w:start w:val="1"/>
      <w:numFmt w:val="decimal"/>
      <w:lvlText w:val="%1.%2"/>
      <w:lvlJc w:val="left"/>
      <w:pPr>
        <w:ind w:left="1778" w:hanging="360"/>
      </w:pPr>
      <w:rPr>
        <w:lang w:val="en-GB"/>
      </w:rPr>
    </w:lvl>
    <w:lvl w:ilvl="2">
      <w:start w:val="1"/>
      <w:numFmt w:val="decimal"/>
      <w:lvlText w:val="%1.%2.%3"/>
      <w:lvlJc w:val="left"/>
      <w:pPr>
        <w:ind w:left="2706" w:hanging="720"/>
      </w:pPr>
      <w:rPr>
        <w:lang w:val="en-GB"/>
      </w:rPr>
    </w:lvl>
    <w:lvl w:ilvl="3">
      <w:start w:val="1"/>
      <w:numFmt w:val="decimal"/>
      <w:lvlText w:val="%1.%2.%3.%4"/>
      <w:lvlJc w:val="left"/>
      <w:pPr>
        <w:ind w:left="3699" w:hanging="720"/>
      </w:pPr>
      <w:rPr>
        <w:lang w:val="en-GB"/>
      </w:rPr>
    </w:lvl>
    <w:lvl w:ilvl="4">
      <w:start w:val="1"/>
      <w:numFmt w:val="decimal"/>
      <w:lvlText w:val="%1.%2.%3.%4.%5"/>
      <w:lvlJc w:val="left"/>
      <w:pPr>
        <w:ind w:left="5052" w:hanging="1080"/>
      </w:pPr>
      <w:rPr>
        <w:lang w:val="en-GB"/>
      </w:rPr>
    </w:lvl>
    <w:lvl w:ilvl="5">
      <w:start w:val="1"/>
      <w:numFmt w:val="decimal"/>
      <w:lvlText w:val="%1.%2.%3.%4.%5.%6"/>
      <w:lvlJc w:val="left"/>
      <w:pPr>
        <w:ind w:left="6045" w:hanging="1080"/>
      </w:pPr>
      <w:rPr>
        <w:lang w:val="en-GB"/>
      </w:rPr>
    </w:lvl>
    <w:lvl w:ilvl="6">
      <w:start w:val="1"/>
      <w:numFmt w:val="decimal"/>
      <w:lvlText w:val="%1.%2.%3.%4.%5.%6.%7"/>
      <w:lvlJc w:val="left"/>
      <w:pPr>
        <w:ind w:left="7398" w:hanging="1440"/>
      </w:pPr>
      <w:rPr>
        <w:lang w:val="en-GB"/>
      </w:rPr>
    </w:lvl>
    <w:lvl w:ilvl="7">
      <w:start w:val="1"/>
      <w:numFmt w:val="decimal"/>
      <w:lvlText w:val="%1.%2.%3.%4.%5.%6.%7.%8"/>
      <w:lvlJc w:val="left"/>
      <w:pPr>
        <w:ind w:left="8391" w:hanging="1440"/>
      </w:pPr>
      <w:rPr>
        <w:lang w:val="en-GB"/>
      </w:rPr>
    </w:lvl>
    <w:lvl w:ilvl="8">
      <w:start w:val="1"/>
      <w:numFmt w:val="decimal"/>
      <w:lvlText w:val="%1.%2.%3.%4.%5.%6.%7.%8.%9"/>
      <w:lvlJc w:val="left"/>
      <w:pPr>
        <w:ind w:left="9744" w:hanging="1800"/>
      </w:pPr>
      <w:rPr>
        <w:lang w:val="en-GB"/>
      </w:rPr>
    </w:lvl>
  </w:abstractNum>
  <w:abstractNum w:abstractNumId="4">
    <w:lvl w:ilvl="0">
      <w:start w:val="1"/>
      <w:numFmt w:val="decimal"/>
      <w:lvlText w:val="%1."/>
      <w:lvlJc w:val="left"/>
      <w:pPr>
        <w:tabs>
          <w:tab w:val="num" w:pos="360"/>
        </w:tabs>
        <w:ind w:left="360" w:hanging="360"/>
      </w:pPr>
      <w:rPr>
        <w:lang w:val="en-GB"/>
      </w:rPr>
    </w:lvl>
    <w:lvl w:ilvl="1">
      <w:start w:val="1"/>
      <w:numFmt w:val="decimal"/>
      <w:lvlText w:val="%1.%2."/>
      <w:lvlJc w:val="left"/>
      <w:pPr>
        <w:tabs>
          <w:tab w:val="num" w:pos="1080"/>
        </w:tabs>
        <w:ind w:left="792" w:hanging="432"/>
      </w:pPr>
      <w:rPr/>
    </w:lvl>
    <w:lvl w:ilvl="2">
      <w:start w:val="1"/>
      <w:numFmt w:val="decimal"/>
      <w:lvlText w:val="%1.%2.%3."/>
      <w:lvlJc w:val="left"/>
      <w:pPr>
        <w:tabs>
          <w:tab w:val="num" w:pos="1931"/>
        </w:tabs>
        <w:ind w:left="1355" w:hanging="504"/>
      </w:pPr>
      <w:rPr/>
    </w:lvl>
    <w:lvl w:ilvl="3">
      <w:start w:val="1"/>
      <w:numFmt w:val="decimal"/>
      <w:lvlText w:val="%1.%2.%3.%4."/>
      <w:lvlJc w:val="left"/>
      <w:pPr>
        <w:tabs>
          <w:tab w:val="num" w:pos="2160"/>
        </w:tabs>
        <w:ind w:left="1728" w:hanging="648"/>
      </w:pPr>
      <w:rPr/>
    </w:lvl>
    <w:lvl w:ilvl="4">
      <w:start w:val="1"/>
      <w:numFmt w:val="decimal"/>
      <w:lvlText w:val="%1.%2.%3.%4.%5."/>
      <w:lvlJc w:val="left"/>
      <w:pPr>
        <w:tabs>
          <w:tab w:val="num" w:pos="2880"/>
        </w:tabs>
        <w:ind w:left="2232" w:hanging="792"/>
      </w:pPr>
      <w:rPr/>
    </w:lvl>
    <w:lvl w:ilvl="5">
      <w:start w:val="1"/>
      <w:numFmt w:val="decimal"/>
      <w:lvlText w:val="%1.%2.%3.%4.%5.%6."/>
      <w:lvlJc w:val="left"/>
      <w:pPr>
        <w:tabs>
          <w:tab w:val="num" w:pos="3600"/>
        </w:tabs>
        <w:ind w:left="2736" w:hanging="936"/>
      </w:pPr>
      <w:rPr/>
    </w:lvl>
    <w:lvl w:ilvl="6">
      <w:start w:val="1"/>
      <w:numFmt w:val="decimal"/>
      <w:lvlText w:val="%1.%2.%3.%4.%5.%6.%7."/>
      <w:lvlJc w:val="left"/>
      <w:pPr>
        <w:tabs>
          <w:tab w:val="num" w:pos="3960"/>
        </w:tabs>
        <w:ind w:left="3240" w:hanging="1080"/>
      </w:pPr>
      <w:rPr/>
    </w:lvl>
    <w:lvl w:ilvl="7">
      <w:start w:val="1"/>
      <w:numFmt w:val="decimal"/>
      <w:lvlText w:val="%1.%2.%3.%4.%5.%6.%7.%8."/>
      <w:lvlJc w:val="left"/>
      <w:pPr>
        <w:tabs>
          <w:tab w:val="num" w:pos="4680"/>
        </w:tabs>
        <w:ind w:left="3744" w:hanging="1224"/>
      </w:pPr>
      <w:rPr/>
    </w:lvl>
    <w:lvl w:ilvl="8">
      <w:start w:val="1"/>
      <w:numFmt w:val="decimal"/>
      <w:lvlText w:val="%1.%2.%3.%4.%5.%6.%7.%8.%9."/>
      <w:lvlJc w:val="left"/>
      <w:pPr>
        <w:tabs>
          <w:tab w:val="num" w:pos="5400"/>
        </w:tabs>
        <w:ind w:left="4320" w:hanging="1440"/>
      </w:pPr>
      <w:rPr/>
    </w:lvl>
  </w:abstractNum>
  <w:abstractNum w:abstractNumId="5">
    <w:lvl w:ilvl="0">
      <w:start w:val="1"/>
      <w:numFmt w:val="decimal"/>
      <w:lvlText w:val="(%1)"/>
      <w:lvlJc w:val="left"/>
      <w:pPr>
        <w:ind w:left="1287" w:hanging="720"/>
      </w:pPr>
      <w:rPr>
        <w:sz w:val="22"/>
        <w:lang w:val="en-GB"/>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New York;Times New Roman" w:hAnsi="New York;Times New Roman" w:eastAsia="Times New Roman" w:cs="New York;Times New Roman"/>
      <w:color w:val="auto"/>
      <w:sz w:val="24"/>
      <w:szCs w:val="20"/>
      <w:lang w:val="en-US" w:eastAsia="en-GB" w:bidi="ar-SA"/>
    </w:rPr>
  </w:style>
  <w:style w:type="paragraph" w:styleId="Heading1">
    <w:name w:val="Heading 1"/>
    <w:basedOn w:val="Normal"/>
    <w:next w:val="Normal"/>
    <w:qFormat/>
    <w:pPr>
      <w:keepNext w:val="true"/>
      <w:numPr>
        <w:ilvl w:val="0"/>
        <w:numId w:val="1"/>
      </w:numPr>
      <w:tabs>
        <w:tab w:val="left" w:pos="1700" w:leader="none"/>
        <w:tab w:val="left" w:pos="3840" w:leader="none"/>
        <w:tab w:val="left" w:pos="5660" w:leader="none"/>
        <w:tab w:val="left" w:pos="7500" w:leader="none"/>
        <w:tab w:val="left" w:pos="9599" w:leader="none"/>
        <w:tab w:val="left" w:pos="9860" w:leader="none"/>
      </w:tabs>
      <w:ind w:left="-86" w:right="65" w:hanging="0"/>
      <w:jc w:val="center"/>
      <w:outlineLvl w:val="0"/>
    </w:pPr>
    <w:rPr>
      <w:b/>
    </w:rPr>
  </w:style>
  <w:style w:type="paragraph" w:styleId="Heading2">
    <w:name w:val="Heading 2"/>
    <w:basedOn w:val="Normal"/>
    <w:next w:val="Normal"/>
    <w:qFormat/>
    <w:pPr>
      <w:keepNext w:val="true"/>
      <w:numPr>
        <w:ilvl w:val="1"/>
        <w:numId w:val="1"/>
      </w:numPr>
      <w:tabs>
        <w:tab w:val="left" w:pos="640" w:leader="none"/>
        <w:tab w:val="left" w:pos="1700" w:leader="none"/>
        <w:tab w:val="left" w:pos="3840" w:leader="none"/>
        <w:tab w:val="left" w:pos="5660" w:leader="none"/>
        <w:tab w:val="left" w:pos="7500" w:leader="none"/>
        <w:tab w:val="left" w:pos="9599" w:leader="none"/>
        <w:tab w:val="left" w:pos="9860" w:leader="none"/>
      </w:tabs>
      <w:ind w:right="65" w:hanging="0"/>
      <w:jc w:val="center"/>
      <w:outlineLvl w:val="1"/>
    </w:pPr>
    <w:rPr>
      <w:b/>
    </w:rPr>
  </w:style>
  <w:style w:type="paragraph" w:styleId="Heading3">
    <w:name w:val="Heading 3"/>
    <w:basedOn w:val="Normal"/>
    <w:next w:val="Normal"/>
    <w:qFormat/>
    <w:pPr>
      <w:keepNext w:val="true"/>
      <w:numPr>
        <w:ilvl w:val="2"/>
        <w:numId w:val="1"/>
      </w:numPr>
      <w:ind w:right="-285" w:hanging="0"/>
      <w:jc w:val="both"/>
      <w:outlineLvl w:val="2"/>
    </w:pPr>
    <w:rPr>
      <w:b/>
    </w:rPr>
  </w:style>
  <w:style w:type="character" w:styleId="WW8Num1z0">
    <w:name w:val="WW8Num1z0"/>
    <w:qFormat/>
    <w:rPr>
      <w:rFonts w:ascii="Wingdings" w:hAnsi="Wingdings" w:cs="Wingdings"/>
      <w:lang w:val="en-GB"/>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style>
  <w:style w:type="character" w:styleId="WW8Num4z0">
    <w:name w:val="WW8Num4z0"/>
    <w:qFormat/>
    <w:rPr>
      <w:rFonts w:ascii="New York;Times New Roman" w:hAnsi="New York;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New York;Times New Roman" w:hAnsi="New York;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New York;Times New Roman" w:hAnsi="New York;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1z0">
    <w:name w:val="WW8Num11z0"/>
    <w:qFormat/>
    <w:rPr>
      <w:rFonts w:ascii="Wingdings" w:hAnsi="Wingdings" w:cs="Wingdings"/>
    </w:rPr>
  </w:style>
  <w:style w:type="character" w:styleId="WW8Num12z0">
    <w:name w:val="WW8Num12z0"/>
    <w:qFormat/>
    <w:rPr/>
  </w:style>
  <w:style w:type="character" w:styleId="WW8Num13z0">
    <w:name w:val="WW8Num13z0"/>
    <w:qFormat/>
    <w:rPr>
      <w:rFonts w:ascii="New York;Times New Roman" w:hAnsi="New York;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b/>
    </w:rPr>
  </w:style>
  <w:style w:type="character" w:styleId="WW8Num17z0">
    <w:name w:val="WW8Num17z0"/>
    <w:qFormat/>
    <w:rPr>
      <w:rFonts w:ascii="Wingdings" w:hAnsi="Wingdings" w:cs="Wingdings"/>
    </w:rPr>
  </w:style>
  <w:style w:type="character" w:styleId="WW8Num18z0">
    <w:name w:val="WW8Num18z0"/>
    <w:qFormat/>
    <w:rPr/>
  </w:style>
  <w:style w:type="character" w:styleId="WW8Num19z0">
    <w:name w:val="WW8Num19z0"/>
    <w:qFormat/>
    <w:rPr>
      <w:lang w:val="en-GB"/>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cs="Times New Roman"/>
    </w:rPr>
  </w:style>
  <w:style w:type="character" w:styleId="WW8Num23z0">
    <w:name w:val="WW8Num23z0"/>
    <w:qFormat/>
    <w:rPr>
      <w:lang w:val="en-GB"/>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Wingdings" w:hAnsi="Wingdings" w:cs="Wingdings"/>
    </w:rPr>
  </w:style>
  <w:style w:type="character" w:styleId="WW8Num25z0">
    <w:name w:val="WW8Num25z0"/>
    <w:qFormat/>
    <w:rPr>
      <w:rFonts w:ascii="Wingdings" w:hAnsi="Wingdings" w:cs="Wingdings"/>
    </w:rPr>
  </w:style>
  <w:style w:type="character" w:styleId="WW8Num26z0">
    <w:name w:val="WW8Num26z0"/>
    <w:qFormat/>
    <w:rPr>
      <w:rFonts w:ascii="Times New Roman" w:hAnsi="Times New Roman" w:cs="Times New Roman"/>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z w:val="22"/>
      <w:lang w:val="en-GB"/>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Policepardfaut">
    <w:name w:val="Police par défaut"/>
    <w:qFormat/>
    <w:rPr/>
  </w:style>
  <w:style w:type="character" w:styleId="PageNumber">
    <w:name w:val="Page Number"/>
    <w:basedOn w:val="Policepardfaut"/>
    <w:rPr/>
  </w:style>
  <w:style w:type="character" w:styleId="InternetLink">
    <w:name w:val="Internet Link"/>
    <w:rPr>
      <w:color w:val="0000FF"/>
      <w:u w:val="single"/>
    </w:rPr>
  </w:style>
  <w:style w:type="character" w:styleId="TextedebullesCar">
    <w:name w:val="Texte de bulles Car"/>
    <w:qFormat/>
    <w:rPr>
      <w:rFonts w:ascii="Tahoma" w:hAnsi="Tahoma" w:cs="Tahoma"/>
      <w:sz w:val="16"/>
      <w:szCs w:val="16"/>
      <w:lang w:val="en-US" w:eastAsia="en-GB"/>
    </w:rPr>
  </w:style>
  <w:style w:type="character" w:styleId="PieddepageCar">
    <w:name w:val="Pied de page Car"/>
    <w:qFormat/>
    <w:rPr>
      <w:rFonts w:ascii="New York;Times New Roman" w:hAnsi="New York;Times New Roman" w:cs="New York;Times New Roman"/>
      <w:sz w:val="24"/>
      <w:lang w:val="en-US" w:eastAsia="en-GB"/>
    </w:rPr>
  </w:style>
  <w:style w:type="paragraph" w:styleId="Heading">
    <w:name w:val="Heading"/>
    <w:basedOn w:val="Normal"/>
    <w:next w:val="TextBody"/>
    <w:qFormat/>
    <w:pPr>
      <w:ind w:right="-285" w:hanging="0"/>
      <w:jc w:val="center"/>
    </w:pPr>
    <w:rPr>
      <w:b/>
      <w:sz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819" w:leader="none"/>
        <w:tab w:val="right" w:pos="9071" w:leader="none"/>
      </w:tabs>
    </w:pPr>
    <w:rPr/>
  </w:style>
  <w:style w:type="paragraph" w:styleId="Header">
    <w:name w:val="Header"/>
    <w:basedOn w:val="Normal"/>
    <w:pPr>
      <w:tabs>
        <w:tab w:val="center" w:pos="4819" w:leader="none"/>
        <w:tab w:val="right" w:pos="9071" w:leader="none"/>
      </w:tabs>
    </w:pPr>
    <w:rPr/>
  </w:style>
  <w:style w:type="paragraph" w:styleId="Normalcentr">
    <w:name w:val="Normal centré"/>
    <w:basedOn w:val="Normal"/>
    <w:qFormat/>
    <w:pPr>
      <w:tabs>
        <w:tab w:val="left" w:pos="1276" w:leader="none"/>
        <w:tab w:val="left" w:pos="3680" w:leader="none"/>
        <w:tab w:val="left" w:pos="5120" w:leader="none"/>
        <w:tab w:val="left" w:pos="5920" w:leader="none"/>
        <w:tab w:val="left" w:pos="9860" w:leader="none"/>
      </w:tabs>
      <w:ind w:left="1276" w:right="360" w:hanging="570"/>
      <w:jc w:val="both"/>
    </w:pPr>
    <w:rPr/>
  </w:style>
  <w:style w:type="paragraph" w:styleId="Subtitle">
    <w:name w:val="Subtitle"/>
    <w:basedOn w:val="Normal"/>
    <w:next w:val="TextBody"/>
    <w:qFormat/>
    <w:pPr>
      <w:ind w:right="-285" w:hanging="0"/>
      <w:jc w:val="center"/>
    </w:pPr>
    <w:rPr>
      <w:b/>
    </w:rPr>
  </w:style>
  <w:style w:type="paragraph" w:styleId="Paragraphedeliste">
    <w:name w:val="Paragraphe de liste"/>
    <w:basedOn w:val="Normal"/>
    <w:qFormat/>
    <w:pPr>
      <w:ind w:left="708" w:hanging="0"/>
    </w:pPr>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100" w:after="100"/>
    </w:pPr>
    <w:rPr>
      <w:rFonts w:ascii="Times New Roman" w:hAnsi="Times New Roman" w:cs="Times New Roman"/>
      <w:szCs w:val="24"/>
    </w:rPr>
  </w:style>
  <w:style w:type="paragraph" w:styleId="Standard">
    <w:name w:val="Standard"/>
    <w:qFormat/>
    <w:pPr>
      <w:widowControl w:val="false"/>
      <w:suppressAutoHyphens w:val="true"/>
      <w:textAlignment w:val="baseline"/>
    </w:pPr>
    <w:rPr>
      <w:rFonts w:ascii="Times New Roman" w:hAnsi="Times New Roman" w:eastAsia="SimSun;宋体" w:cs="Mangal"/>
      <w:color w:val="auto"/>
      <w:sz w:val="24"/>
      <w:szCs w:val="24"/>
      <w:lang w:val="fr-FR"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2022-03-15T13:39:00Z</dcterms:created>
  <dc:creator/>
  <dc:description/>
  <dc:language>en-GB</dc:language>
  <cp:lastModifiedBy/>
  <cp:lastPrinted>2022-03-09T09:52:00Z</cp:lastPrinted>
  <dcterms:modified xsi:type="dcterms:W3CDTF">2022-03-15T13:41:00Z</dcterms:modified>
  <cp:revision>3</cp:revision>
  <dc:subject/>
  <dc:title>PROTOCOLE  D'ACCORD</dc:title>
</cp:coreProperties>
</file>