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0"/>
          <w:szCs w:val="20"/>
        </w:rPr>
      </w:pPr>
      <w:r>
        <w:rPr>
          <w:rFonts w:cs="Arial" w:ascii="Arial" w:hAnsi="Arial"/>
          <w:b/>
          <w:sz w:val="20"/>
          <w:szCs w:val="20"/>
        </w:rPr>
      </w:r>
    </w:p>
    <w:p>
      <w:pPr>
        <w:pStyle w:val="Normal"/>
        <w:jc w:val="center"/>
        <w:rPr>
          <w:rFonts w:ascii="Arial" w:hAnsi="Arial" w:cs="Arial"/>
          <w:b/>
          <w:b/>
          <w:sz w:val="20"/>
          <w:szCs w:val="20"/>
        </w:rPr>
      </w:pPr>
      <w:r>
        <w:rPr>
          <w:rFonts w:cs="Arial" w:ascii="Arial" w:hAnsi="Arial"/>
          <w:b/>
          <w:sz w:val="20"/>
          <w:szCs w:val="20"/>
        </w:rPr>
      </w:r>
    </w:p>
    <w:p>
      <w:pPr>
        <w:pStyle w:val="Normal"/>
        <w:jc w:val="center"/>
        <w:rPr>
          <w:rFonts w:ascii="Arial" w:hAnsi="Arial" w:cs="Arial"/>
          <w:b/>
          <w:b/>
          <w:sz w:val="20"/>
          <w:szCs w:val="20"/>
        </w:rPr>
      </w:pPr>
      <w:r>
        <w:rPr>
          <w:rFonts w:cs="Arial" w:ascii="Arial" w:hAnsi="Arial"/>
          <w:b/>
          <w:sz w:val="20"/>
          <w:szCs w:val="20"/>
        </w:rPr>
        <w:t>NEGOCIATION ANNUELLE SUR LES SALAIRES</w:t>
      </w:r>
    </w:p>
    <w:p>
      <w:pPr>
        <w:pStyle w:val="Normal"/>
        <w:jc w:val="center"/>
        <w:rPr>
          <w:rFonts w:ascii="Arial" w:hAnsi="Arial" w:cs="Arial"/>
          <w:b/>
          <w:b/>
          <w:sz w:val="20"/>
          <w:szCs w:val="20"/>
        </w:rPr>
      </w:pPr>
      <w:r>
        <w:rPr>
          <w:rFonts w:eastAsia="Arial" w:cs="Arial" w:ascii="Arial" w:hAnsi="Arial"/>
          <w:b/>
          <w:sz w:val="20"/>
          <w:szCs w:val="20"/>
        </w:rPr>
        <w:t xml:space="preserve"> </w:t>
      </w:r>
      <w:r>
        <w:rPr>
          <w:rFonts w:cs="Arial" w:ascii="Arial" w:hAnsi="Arial"/>
          <w:b/>
          <w:sz w:val="20"/>
          <w:szCs w:val="20"/>
        </w:rPr>
        <w:t>ET SUR L’ORGANISATION DU TEMPS DE TRAVAIL 2022</w:t>
      </w:r>
    </w:p>
    <w:p>
      <w:pPr>
        <w:pStyle w:val="Normal"/>
        <w:jc w:val="center"/>
        <w:rPr>
          <w:rFonts w:ascii="Arial" w:hAnsi="Arial" w:cs="Arial"/>
          <w:b/>
          <w:b/>
          <w:sz w:val="20"/>
          <w:szCs w:val="20"/>
        </w:rPr>
      </w:pPr>
      <w:r>
        <w:rPr>
          <w:rFonts w:cs="Arial" w:ascii="Arial" w:hAnsi="Arial"/>
          <w:b/>
          <w:sz w:val="20"/>
          <w:szCs w:val="20"/>
        </w:rPr>
      </w:r>
    </w:p>
    <w:p>
      <w:pPr>
        <w:pStyle w:val="Normal"/>
        <w:jc w:val="center"/>
        <w:rPr>
          <w:rFonts w:ascii="Arial" w:hAnsi="Arial" w:cs="Arial"/>
          <w:b/>
          <w:b/>
          <w:sz w:val="20"/>
          <w:szCs w:val="20"/>
        </w:rPr>
      </w:pPr>
      <w:r>
        <w:rPr>
          <w:rFonts w:cs="Arial" w:ascii="Arial" w:hAnsi="Arial"/>
          <w:b/>
          <w:sz w:val="20"/>
          <w:szCs w:val="20"/>
        </w:rPr>
        <w:t>EIFFAGE ENERGIE SYSTEMES HAUTE NORMANDIE</w:t>
        <w:br/>
      </w:r>
    </w:p>
    <w:p>
      <w:pPr>
        <w:pStyle w:val="Normal"/>
        <w:numPr>
          <w:ilvl w:val="0"/>
          <w:numId w:val="0"/>
        </w:numPr>
        <w:jc w:val="center"/>
        <w:outlineLvl w:val="0"/>
        <w:rPr>
          <w:rFonts w:ascii="Arial" w:hAnsi="Arial" w:cs="Arial"/>
          <w:b/>
          <w:b/>
          <w:sz w:val="20"/>
          <w:szCs w:val="20"/>
        </w:rPr>
      </w:pPr>
      <w:r>
        <w:rPr>
          <w:rFonts w:cs="Arial" w:ascii="Arial" w:hAnsi="Arial"/>
          <w:b/>
          <w:sz w:val="20"/>
          <w:szCs w:val="20"/>
        </w:rPr>
        <w:t>PROCES VERBAL D’ACCORD</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Au terme des réunions de négociation des 1er février et 15 février 2022, après analyse de l’ensemble des documents remis par la direction ainsi que des revendications émises par les organisations syndicales, le PV suivant a été rédigé.</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spacing w:lineRule="auto" w:line="276"/>
        <w:rPr/>
      </w:pPr>
      <w:r>
        <w:rPr>
          <w:rFonts w:eastAsia="Calibri" w:cs="Arial" w:ascii="Arial" w:hAnsi="Arial"/>
          <w:sz w:val="20"/>
          <w:szCs w:val="20"/>
          <w:u w:val="single"/>
          <w:lang w:eastAsia="en-US"/>
        </w:rPr>
        <w:t>Etaient présents</w:t>
      </w:r>
      <w:r>
        <w:rPr>
          <w:rFonts w:eastAsia="Calibri" w:cs="Arial" w:ascii="Arial" w:hAnsi="Arial"/>
          <w:sz w:val="20"/>
          <w:szCs w:val="20"/>
          <w:lang w:eastAsia="en-US"/>
        </w:rPr>
        <w:t> lors des réunions :</w:t>
        <w:tab/>
      </w:r>
    </w:p>
    <w:p>
      <w:pPr>
        <w:pStyle w:val="Normal"/>
        <w:spacing w:lineRule="auto" w:line="276"/>
        <w:rPr>
          <w:rFonts w:ascii="Arial" w:hAnsi="Arial" w:eastAsia="Calibri" w:cs="Arial"/>
          <w:sz w:val="20"/>
          <w:szCs w:val="20"/>
          <w:lang w:eastAsia="en-US"/>
        </w:rPr>
      </w:pPr>
      <w:r>
        <w:rPr>
          <w:rFonts w:eastAsia="Calibri" w:cs="Arial" w:ascii="Arial" w:hAnsi="Arial"/>
          <w:sz w:val="20"/>
          <w:szCs w:val="20"/>
          <w:lang w:eastAsia="en-US"/>
        </w:rPr>
      </w:r>
    </w:p>
    <w:p>
      <w:pPr>
        <w:pStyle w:val="Normal"/>
        <w:tabs>
          <w:tab w:val="left" w:pos="4860" w:leader="none"/>
          <w:tab w:val="left" w:pos="5940" w:leader="none"/>
        </w:tabs>
        <w:spacing w:lineRule="auto" w:line="276"/>
        <w:ind w:left="539" w:hanging="0"/>
        <w:rPr>
          <w:rFonts w:ascii="Arial" w:hAnsi="Arial" w:eastAsia="Calibri" w:cs="Arial"/>
          <w:sz w:val="20"/>
          <w:szCs w:val="20"/>
          <w:lang w:eastAsia="en-US"/>
        </w:rPr>
      </w:pPr>
      <w:r>
        <w:rPr>
          <w:rFonts w:eastAsia="Calibri" w:cs="Arial" w:ascii="Arial" w:hAnsi="Arial"/>
          <w:sz w:val="20"/>
          <w:szCs w:val="20"/>
          <w:lang w:eastAsia="en-US"/>
        </w:rPr>
        <w:tab/>
        <w:t>Directeur de Filiale</w:t>
      </w:r>
    </w:p>
    <w:p>
      <w:pPr>
        <w:pStyle w:val="Normal"/>
        <w:spacing w:lineRule="auto" w:line="276"/>
        <w:ind w:left="539" w:hanging="0"/>
        <w:rPr>
          <w:rFonts w:ascii="Arial" w:hAnsi="Arial" w:eastAsia="Calibri" w:cs="Arial"/>
          <w:sz w:val="20"/>
          <w:szCs w:val="20"/>
          <w:lang w:eastAsia="en-US"/>
        </w:rPr>
      </w:pPr>
      <w:r>
        <w:rPr>
          <w:rFonts w:eastAsia="Calibri" w:cs="Arial" w:ascii="Arial" w:hAnsi="Arial"/>
          <w:sz w:val="20"/>
          <w:szCs w:val="20"/>
          <w:lang w:eastAsia="en-US"/>
        </w:rPr>
        <w:tab/>
      </w:r>
    </w:p>
    <w:p>
      <w:pPr>
        <w:pStyle w:val="Normal"/>
        <w:tabs>
          <w:tab w:val="left" w:pos="4860" w:leader="none"/>
          <w:tab w:val="left" w:pos="5940" w:leader="none"/>
        </w:tabs>
        <w:spacing w:lineRule="auto" w:line="276"/>
        <w:ind w:left="539" w:hanging="0"/>
        <w:rPr>
          <w:rFonts w:ascii="Arial" w:hAnsi="Arial" w:eastAsia="Calibri" w:cs="Arial"/>
          <w:sz w:val="20"/>
          <w:szCs w:val="20"/>
          <w:lang w:eastAsia="en-US"/>
        </w:rPr>
      </w:pPr>
      <w:r>
        <w:rPr>
          <w:rFonts w:eastAsia="Calibri" w:cs="Arial" w:ascii="Arial" w:hAnsi="Arial"/>
          <w:sz w:val="20"/>
          <w:szCs w:val="20"/>
          <w:lang w:eastAsia="en-US"/>
        </w:rPr>
        <w:tab/>
        <w:t>Délégation Syndicale CFE/CGC</w:t>
      </w:r>
    </w:p>
    <w:p>
      <w:pPr>
        <w:pStyle w:val="Normal"/>
        <w:tabs>
          <w:tab w:val="left" w:pos="4860" w:leader="none"/>
          <w:tab w:val="left" w:pos="5940" w:leader="none"/>
        </w:tabs>
        <w:spacing w:lineRule="auto" w:line="276"/>
        <w:ind w:left="539" w:hanging="0"/>
        <w:rPr/>
      </w:pPr>
      <w:r>
        <w:rPr>
          <w:rFonts w:eastAsia="Calibri" w:cs="Arial" w:ascii="Arial" w:hAnsi="Arial"/>
          <w:sz w:val="20"/>
          <w:szCs w:val="20"/>
          <w:lang w:eastAsia="en-US"/>
        </w:rPr>
        <w:tab/>
        <w:t xml:space="preserve">Délégation Syndicale CFE/CGC </w:t>
      </w:r>
    </w:p>
    <w:p>
      <w:pPr>
        <w:pStyle w:val="Normal"/>
        <w:tabs>
          <w:tab w:val="left" w:pos="4860" w:leader="none"/>
          <w:tab w:val="left" w:pos="5940" w:leader="none"/>
        </w:tabs>
        <w:spacing w:lineRule="auto" w:line="276"/>
        <w:ind w:left="539" w:hanging="0"/>
        <w:rPr>
          <w:rFonts w:ascii="Arial" w:hAnsi="Arial" w:eastAsia="Calibri" w:cs="Arial"/>
          <w:sz w:val="20"/>
          <w:szCs w:val="20"/>
          <w:lang w:eastAsia="en-US"/>
        </w:rPr>
      </w:pPr>
      <w:r>
        <w:rPr>
          <w:rFonts w:eastAsia="Calibri" w:cs="Arial" w:ascii="Arial" w:hAnsi="Arial"/>
          <w:sz w:val="20"/>
          <w:szCs w:val="20"/>
          <w:lang w:eastAsia="en-US"/>
        </w:rPr>
        <w:tab/>
        <w:t>Délégation Syndicale CGT</w:t>
      </w:r>
    </w:p>
    <w:p>
      <w:pPr>
        <w:pStyle w:val="Normal"/>
        <w:tabs>
          <w:tab w:val="left" w:pos="4860" w:leader="none"/>
          <w:tab w:val="left" w:pos="5940" w:leader="none"/>
        </w:tabs>
        <w:spacing w:lineRule="auto" w:line="276"/>
        <w:ind w:left="539" w:hanging="0"/>
        <w:rPr>
          <w:rFonts w:ascii="Arial" w:hAnsi="Arial" w:eastAsia="Calibri" w:cs="Arial"/>
          <w:sz w:val="20"/>
          <w:szCs w:val="20"/>
          <w:lang w:eastAsia="en-US"/>
        </w:rPr>
      </w:pPr>
      <w:r>
        <w:rPr>
          <w:rFonts w:eastAsia="Calibri" w:cs="Arial" w:ascii="Arial" w:hAnsi="Arial"/>
          <w:sz w:val="20"/>
          <w:szCs w:val="20"/>
          <w:lang w:eastAsia="en-US"/>
        </w:rPr>
        <w:tab/>
        <w:t>Délégation Syndicale CGT</w:t>
      </w:r>
    </w:p>
    <w:p>
      <w:pPr>
        <w:pStyle w:val="Normal"/>
        <w:tabs>
          <w:tab w:val="left" w:pos="4860" w:leader="none"/>
          <w:tab w:val="left" w:pos="5940" w:leader="none"/>
        </w:tabs>
        <w:spacing w:lineRule="auto" w:line="276"/>
        <w:ind w:left="539" w:hanging="0"/>
        <w:rPr>
          <w:rFonts w:ascii="Arial" w:hAnsi="Arial" w:eastAsia="Calibri" w:cs="Arial"/>
          <w:sz w:val="20"/>
          <w:szCs w:val="20"/>
          <w:lang w:eastAsia="en-US"/>
        </w:rPr>
      </w:pPr>
      <w:r>
        <w:rPr>
          <w:rFonts w:eastAsia="Calibri" w:cs="Arial" w:ascii="Arial" w:hAnsi="Arial"/>
          <w:sz w:val="20"/>
          <w:szCs w:val="20"/>
          <w:lang w:eastAsia="en-US"/>
        </w:rPr>
        <w:tab/>
        <w:t>Délégation syndicale CGT</w:t>
      </w:r>
    </w:p>
    <w:p>
      <w:pPr>
        <w:pStyle w:val="Normal"/>
        <w:tabs>
          <w:tab w:val="left" w:pos="4860" w:leader="none"/>
          <w:tab w:val="left" w:pos="5940" w:leader="none"/>
        </w:tabs>
        <w:spacing w:lineRule="auto" w:line="276"/>
        <w:ind w:left="539" w:hanging="0"/>
        <w:rPr/>
      </w:pPr>
      <w:r>
        <w:rPr>
          <w:rFonts w:eastAsia="Calibri" w:cs="Arial" w:ascii="Arial" w:hAnsi="Arial"/>
          <w:sz w:val="20"/>
          <w:szCs w:val="20"/>
          <w:lang w:eastAsia="en-US"/>
        </w:rPr>
        <w:tab/>
        <w:t>Délégation syndicale CFDT</w:t>
      </w:r>
    </w:p>
    <w:p>
      <w:pPr>
        <w:pStyle w:val="Normal"/>
        <w:tabs>
          <w:tab w:val="left" w:pos="4860" w:leader="none"/>
          <w:tab w:val="left" w:pos="5940" w:leader="none"/>
        </w:tabs>
        <w:spacing w:lineRule="auto" w:line="276"/>
        <w:ind w:left="539" w:hanging="0"/>
        <w:rPr/>
      </w:pPr>
      <w:r>
        <w:rPr>
          <w:rFonts w:eastAsia="Calibri" w:cs="Arial" w:ascii="Arial" w:hAnsi="Arial"/>
          <w:sz w:val="20"/>
          <w:szCs w:val="20"/>
          <w:lang w:eastAsia="en-US"/>
        </w:rPr>
        <w:tab/>
        <w:t>Délégation syndicale CFD</w:t>
      </w:r>
    </w:p>
    <w:p>
      <w:pPr>
        <w:pStyle w:val="Normal"/>
        <w:tabs>
          <w:tab w:val="left" w:pos="4860" w:leader="none"/>
          <w:tab w:val="left" w:pos="5940" w:leader="none"/>
        </w:tabs>
        <w:spacing w:lineRule="auto" w:line="276"/>
        <w:ind w:left="539" w:hanging="0"/>
        <w:rPr/>
      </w:pPr>
      <w:r>
        <w:rPr>
          <w:rFonts w:eastAsia="Calibri" w:cs="Arial" w:ascii="Arial" w:hAnsi="Arial"/>
          <w:sz w:val="20"/>
          <w:szCs w:val="20"/>
          <w:lang w:eastAsia="en-US"/>
        </w:rPr>
        <w:tab/>
        <w:t>Délégation syndicale CFD</w:t>
      </w:r>
    </w:p>
    <w:p>
      <w:pPr>
        <w:pStyle w:val="Normal"/>
        <w:tabs>
          <w:tab w:val="left" w:pos="4860" w:leader="none"/>
          <w:tab w:val="left" w:pos="5940" w:leader="none"/>
        </w:tabs>
        <w:spacing w:lineRule="auto" w:line="276"/>
        <w:rPr>
          <w:rFonts w:ascii="Arial" w:hAnsi="Arial" w:eastAsia="Calibri" w:cs="Arial"/>
          <w:sz w:val="20"/>
          <w:szCs w:val="20"/>
          <w:lang w:eastAsia="en-US"/>
        </w:rPr>
      </w:pPr>
      <w:r>
        <w:rPr>
          <w:rFonts w:eastAsia="Calibri" w:cs="Arial" w:ascii="Arial" w:hAnsi="Arial"/>
          <w:sz w:val="20"/>
          <w:szCs w:val="20"/>
          <w:lang w:eastAsia="en-US"/>
        </w:rPr>
        <w:tab/>
      </w:r>
    </w:p>
    <w:p>
      <w:pPr>
        <w:pStyle w:val="Normal"/>
        <w:tabs>
          <w:tab w:val="left" w:pos="4860" w:leader="none"/>
          <w:tab w:val="left" w:pos="5940" w:leader="none"/>
        </w:tabs>
        <w:spacing w:lineRule="auto" w:line="276"/>
        <w:ind w:left="539" w:hanging="0"/>
        <w:rPr>
          <w:rFonts w:ascii="Arial" w:hAnsi="Arial" w:eastAsia="Calibri" w:cs="Arial"/>
          <w:sz w:val="20"/>
          <w:szCs w:val="20"/>
          <w:lang w:eastAsia="en-US"/>
        </w:rPr>
      </w:pPr>
      <w:r>
        <w:rPr>
          <w:rFonts w:eastAsia="Calibri" w:cs="Arial" w:ascii="Arial" w:hAnsi="Arial"/>
          <w:sz w:val="20"/>
          <w:szCs w:val="20"/>
          <w:lang w:eastAsia="en-US"/>
        </w:rPr>
      </w:r>
    </w:p>
    <w:p>
      <w:pPr>
        <w:pStyle w:val="Normal"/>
        <w:tabs>
          <w:tab w:val="left" w:pos="4860" w:leader="none"/>
          <w:tab w:val="left" w:pos="5940" w:leader="none"/>
        </w:tabs>
        <w:spacing w:lineRule="auto" w:line="276"/>
        <w:ind w:left="539" w:hanging="0"/>
        <w:rPr>
          <w:rFonts w:ascii="Arial" w:hAnsi="Arial" w:eastAsia="Calibri" w:cs="Arial"/>
          <w:sz w:val="20"/>
          <w:szCs w:val="20"/>
          <w:lang w:eastAsia="en-US"/>
        </w:rPr>
      </w:pPr>
      <w:r>
        <w:rPr>
          <w:rFonts w:eastAsia="Calibri" w:cs="Arial" w:ascii="Arial" w:hAnsi="Arial"/>
          <w:sz w:val="20"/>
          <w:szCs w:val="20"/>
          <w:lang w:eastAsia="en-US"/>
        </w:rPr>
        <w:tab/>
        <w:t>RRH</w:t>
      </w:r>
    </w:p>
    <w:p>
      <w:pPr>
        <w:pStyle w:val="Normal"/>
        <w:jc w:val="both"/>
        <w:rPr>
          <w:rFonts w:ascii="Arial" w:hAnsi="Arial" w:eastAsia="Calibri" w:cs="Arial"/>
          <w:sz w:val="20"/>
          <w:szCs w:val="20"/>
          <w:lang w:eastAsia="en-US"/>
        </w:rPr>
      </w:pPr>
      <w:r>
        <w:rPr>
          <w:rFonts w:eastAsia="Calibri" w:cs="Arial" w:ascii="Arial" w:hAnsi="Arial"/>
          <w:sz w:val="20"/>
          <w:szCs w:val="20"/>
          <w:lang w:eastAsia="en-US"/>
        </w:rPr>
      </w:r>
    </w:p>
    <w:p>
      <w:pPr>
        <w:pStyle w:val="Normal"/>
        <w:spacing w:lineRule="auto" w:line="276"/>
        <w:jc w:val="both"/>
        <w:rPr>
          <w:rFonts w:ascii="Arial" w:hAnsi="Arial" w:eastAsia="Calibri" w:cs="Arial"/>
          <w:sz w:val="20"/>
          <w:szCs w:val="20"/>
          <w:lang w:eastAsia="en-US"/>
        </w:rPr>
      </w:pPr>
      <w:r>
        <w:rPr>
          <w:rFonts w:eastAsia="Calibri" w:cs="Arial" w:ascii="Arial" w:hAnsi="Arial"/>
          <w:sz w:val="20"/>
          <w:szCs w:val="20"/>
          <w:lang w:eastAsia="en-US"/>
        </w:rPr>
      </w:r>
    </w:p>
    <w:p>
      <w:pPr>
        <w:pStyle w:val="Normal"/>
        <w:spacing w:lineRule="auto" w:line="276"/>
        <w:jc w:val="both"/>
        <w:rPr>
          <w:rFonts w:ascii="Arial" w:hAnsi="Arial" w:eastAsia="Calibri" w:cs="Arial"/>
          <w:sz w:val="20"/>
          <w:szCs w:val="20"/>
          <w:lang w:eastAsia="en-US"/>
        </w:rPr>
      </w:pPr>
      <w:r>
        <w:rPr>
          <w:rFonts w:eastAsia="Calibri" w:cs="Arial" w:ascii="Arial" w:hAnsi="Arial"/>
          <w:sz w:val="20"/>
          <w:szCs w:val="20"/>
          <w:lang w:eastAsia="en-US"/>
        </w:rPr>
      </w:r>
    </w:p>
    <w:p>
      <w:pPr>
        <w:pStyle w:val="Normal"/>
        <w:spacing w:lineRule="auto" w:line="276"/>
        <w:jc w:val="both"/>
        <w:rPr>
          <w:rFonts w:ascii="Arial" w:hAnsi="Arial" w:eastAsia="Calibri" w:cs="Arial"/>
          <w:sz w:val="20"/>
          <w:szCs w:val="20"/>
          <w:lang w:eastAsia="en-US"/>
        </w:rPr>
      </w:pPr>
      <w:r>
        <w:rPr>
          <w:rFonts w:eastAsia="Calibri" w:cs="Arial" w:ascii="Arial" w:hAnsi="Arial"/>
          <w:sz w:val="20"/>
          <w:szCs w:val="20"/>
          <w:lang w:eastAsia="en-US"/>
        </w:rPr>
        <w:t>Il est convenu ce qui suit :</w:t>
      </w:r>
    </w:p>
    <w:p>
      <w:pPr>
        <w:pStyle w:val="Normal"/>
        <w:jc w:val="both"/>
        <w:rPr>
          <w:rFonts w:ascii="Arial" w:hAnsi="Arial" w:eastAsia="Calibri" w:cs="Arial"/>
          <w:sz w:val="20"/>
          <w:szCs w:val="20"/>
          <w:lang w:eastAsia="en-US"/>
        </w:rPr>
      </w:pPr>
      <w:r>
        <w:rPr>
          <w:rFonts w:eastAsia="Calibri" w:cs="Arial" w:ascii="Arial" w:hAnsi="Arial"/>
          <w:sz w:val="20"/>
          <w:szCs w:val="20"/>
          <w:lang w:eastAsia="en-US"/>
        </w:rPr>
      </w:r>
    </w:p>
    <w:p>
      <w:pPr>
        <w:pStyle w:val="Normal"/>
        <w:jc w:val="both"/>
        <w:rPr>
          <w:rFonts w:ascii="Arial" w:hAnsi="Arial" w:eastAsia="Calibri" w:cs="Arial"/>
          <w:sz w:val="20"/>
          <w:szCs w:val="20"/>
          <w:lang w:eastAsia="en-US"/>
        </w:rPr>
      </w:pPr>
      <w:r>
        <w:rPr>
          <w:rFonts w:eastAsia="Calibri" w:cs="Arial" w:ascii="Arial" w:hAnsi="Arial"/>
          <w:sz w:val="20"/>
          <w:szCs w:val="20"/>
          <w:lang w:eastAsia="en-US"/>
        </w:rPr>
      </w:r>
    </w:p>
    <w:p>
      <w:pPr>
        <w:pStyle w:val="Normal"/>
        <w:jc w:val="both"/>
        <w:rPr>
          <w:rFonts w:ascii="Arial" w:hAnsi="Arial" w:eastAsia="Calibri" w:cs="Arial"/>
          <w:sz w:val="20"/>
          <w:szCs w:val="20"/>
          <w:lang w:eastAsia="en-US"/>
        </w:rPr>
      </w:pPr>
      <w:r>
        <w:rPr>
          <w:rFonts w:eastAsia="Calibri" w:cs="Arial" w:ascii="Arial" w:hAnsi="Arial"/>
          <w:sz w:val="20"/>
          <w:szCs w:val="20"/>
          <w:lang w:eastAsia="en-US"/>
        </w:rPr>
      </w:r>
    </w:p>
    <w:p>
      <w:pPr>
        <w:pStyle w:val="Normal"/>
        <w:jc w:val="both"/>
        <w:rPr>
          <w:rFonts w:ascii="Arial" w:hAnsi="Arial" w:eastAsia="Calibri" w:cs="Arial"/>
          <w:sz w:val="20"/>
          <w:szCs w:val="20"/>
          <w:lang w:eastAsia="en-US"/>
        </w:rPr>
      </w:pPr>
      <w:r>
        <w:rPr>
          <w:rFonts w:eastAsia="Calibri" w:cs="Arial" w:ascii="Arial" w:hAnsi="Arial"/>
          <w:sz w:val="20"/>
          <w:szCs w:val="20"/>
          <w:lang w:eastAsia="en-US"/>
        </w:rPr>
        <w:t xml:space="preserve">La direction s’engage à respecter les engagements nationaux signés au sein d’Eiffage Energie Systèmes présentés en annexe. </w:t>
      </w:r>
    </w:p>
    <w:p>
      <w:pPr>
        <w:pStyle w:val="Normal"/>
        <w:jc w:val="both"/>
        <w:rPr>
          <w:rFonts w:ascii="Arial" w:hAnsi="Arial" w:eastAsia="Calibri" w:cs="Arial"/>
          <w:sz w:val="20"/>
          <w:szCs w:val="20"/>
          <w:lang w:eastAsia="en-US"/>
        </w:rPr>
      </w:pPr>
      <w:r>
        <w:rPr>
          <w:rFonts w:eastAsia="Calibri" w:cs="Arial" w:ascii="Arial" w:hAnsi="Arial"/>
          <w:sz w:val="20"/>
          <w:szCs w:val="20"/>
          <w:lang w:eastAsia="en-US"/>
        </w:rPr>
      </w:r>
    </w:p>
    <w:p>
      <w:pPr>
        <w:pStyle w:val="Normal"/>
        <w:spacing w:lineRule="auto" w:line="276" w:before="0" w:after="200"/>
        <w:jc w:val="both"/>
        <w:rPr>
          <w:rFonts w:ascii="Arial" w:hAnsi="Arial" w:eastAsia="Calibri" w:cs="Arial"/>
          <w:b/>
          <w:b/>
          <w:sz w:val="20"/>
          <w:szCs w:val="20"/>
          <w:lang w:eastAsia="en-US"/>
        </w:rPr>
      </w:pPr>
      <w:r>
        <w:rPr>
          <w:rFonts w:eastAsia="Calibri" w:cs="Arial" w:ascii="Arial" w:hAnsi="Arial"/>
          <w:b/>
          <w:sz w:val="20"/>
          <w:szCs w:val="20"/>
          <w:lang w:eastAsia="en-US"/>
        </w:rPr>
      </w:r>
    </w:p>
    <w:p>
      <w:pPr>
        <w:pStyle w:val="Normal"/>
        <w:spacing w:lineRule="auto" w:line="276" w:before="0" w:after="200"/>
        <w:jc w:val="both"/>
        <w:rPr>
          <w:rFonts w:ascii="Arial" w:hAnsi="Arial" w:eastAsia="Calibri" w:cs="Arial"/>
          <w:b/>
          <w:b/>
          <w:sz w:val="20"/>
          <w:szCs w:val="20"/>
          <w:lang w:eastAsia="en-US"/>
        </w:rPr>
      </w:pPr>
      <w:r>
        <w:rPr>
          <w:rFonts w:eastAsia="Calibri" w:cs="Arial" w:ascii="Arial" w:hAnsi="Arial"/>
          <w:b/>
          <w:sz w:val="20"/>
          <w:szCs w:val="20"/>
          <w:lang w:eastAsia="en-US"/>
        </w:rPr>
        <w:t xml:space="preserve">Augmentation de la masse salariale </w:t>
      </w:r>
    </w:p>
    <w:p>
      <w:pPr>
        <w:pStyle w:val="Normal"/>
        <w:suppressAutoHyphens w:val="true"/>
        <w:spacing w:before="280" w:after="0"/>
        <w:jc w:val="both"/>
        <w:rPr/>
      </w:pPr>
      <w:r>
        <w:rPr>
          <w:rFonts w:cs="Arial" w:ascii="Arial" w:hAnsi="Arial"/>
          <w:sz w:val="20"/>
          <w:szCs w:val="20"/>
          <w:lang w:eastAsia="en-US"/>
        </w:rPr>
        <w:t>Selon les dispositions nationales, l’augmentation globale de la filiale est modulée dans le respect de 3.4% sur l’ensemble du périmètre UES, en fonction du niveau de rentabilité de la structure et de l’évolution de celle-ci ces dernières années. Compte tenu de la situation encore fragile de la filiale, il est convenu que la moyenne de EES Haute Normandie sera de 3.2 % hors revalorisations conventionnelles intervenues en janvier 2022.</w:t>
      </w:r>
    </w:p>
    <w:p>
      <w:pPr>
        <w:pStyle w:val="Normal"/>
        <w:suppressAutoHyphens w:val="true"/>
        <w:spacing w:before="280" w:after="0"/>
        <w:jc w:val="both"/>
        <w:rPr/>
      </w:pPr>
      <w:r>
        <w:rPr>
          <w:rFonts w:cs="Arial" w:ascii="Arial" w:hAnsi="Arial"/>
          <w:sz w:val="20"/>
          <w:szCs w:val="20"/>
          <w:lang w:eastAsia="en-US"/>
        </w:rPr>
        <w:t>Cette enveloppe inclut les promotions ainsi que les mesures de rattrapage éventuellement identifiées dans le cadre de la politique d’égalité entre les femmes et les hommes ainsi que le respect d’un talon de 30 euros (y compris minima) pour un équivalent temps plein.</w:t>
      </w:r>
    </w:p>
    <w:p>
      <w:pPr>
        <w:pStyle w:val="Normal"/>
        <w:suppressAutoHyphens w:val="true"/>
        <w:jc w:val="both"/>
        <w:rPr>
          <w:rFonts w:ascii="Arial" w:hAnsi="Arial" w:cs="Arial"/>
          <w:sz w:val="20"/>
          <w:szCs w:val="20"/>
          <w:lang w:eastAsia="en-US"/>
        </w:rPr>
      </w:pPr>
      <w:r>
        <w:rPr>
          <w:rFonts w:cs="Arial" w:ascii="Arial" w:hAnsi="Arial"/>
          <w:sz w:val="20"/>
          <w:szCs w:val="20"/>
          <w:lang w:eastAsia="en-US"/>
        </w:rPr>
      </w:r>
    </w:p>
    <w:p>
      <w:pPr>
        <w:pStyle w:val="Normal"/>
        <w:spacing w:lineRule="auto" w:line="276" w:before="0" w:after="200"/>
        <w:jc w:val="both"/>
        <w:rPr>
          <w:rFonts w:ascii="Arial" w:hAnsi="Arial" w:eastAsia="Calibri" w:cs="Arial"/>
          <w:sz w:val="20"/>
          <w:szCs w:val="20"/>
          <w:lang w:eastAsia="en-US"/>
        </w:rPr>
      </w:pPr>
      <w:r>
        <w:rPr>
          <w:rFonts w:eastAsia="Calibri" w:cs="Arial" w:ascii="Arial" w:hAnsi="Arial"/>
          <w:sz w:val="20"/>
          <w:szCs w:val="20"/>
          <w:lang w:eastAsia="en-US"/>
        </w:rPr>
        <w:t xml:space="preserve">En toute hypothèse, il est rappelé que le collaborateur doit nécessairement connaitre les raisons qui conduisent à une non augmentation de sa rémunération. </w:t>
      </w:r>
    </w:p>
    <w:p>
      <w:pPr>
        <w:pStyle w:val="Normal"/>
        <w:spacing w:lineRule="auto" w:line="276" w:before="0" w:after="200"/>
        <w:jc w:val="both"/>
        <w:rPr>
          <w:rFonts w:ascii="Arial" w:hAnsi="Arial" w:eastAsia="Calibri" w:cs="Arial"/>
          <w:b/>
          <w:b/>
          <w:sz w:val="20"/>
          <w:szCs w:val="20"/>
          <w:lang w:eastAsia="en-US"/>
        </w:rPr>
      </w:pPr>
      <w:r>
        <w:rPr>
          <w:rFonts w:eastAsia="Calibri" w:cs="Arial" w:ascii="Arial" w:hAnsi="Arial"/>
          <w:b/>
          <w:sz w:val="20"/>
          <w:szCs w:val="20"/>
          <w:lang w:eastAsia="en-US"/>
        </w:rPr>
        <w:t>Tickets Restaurant</w:t>
      </w:r>
    </w:p>
    <w:p>
      <w:pPr>
        <w:pStyle w:val="Normal"/>
        <w:spacing w:lineRule="auto" w:line="276" w:before="0" w:after="200"/>
        <w:jc w:val="both"/>
        <w:rPr>
          <w:rFonts w:ascii="Arial" w:hAnsi="Arial" w:eastAsia="Calibri" w:cs="Arial"/>
          <w:sz w:val="20"/>
          <w:szCs w:val="20"/>
          <w:lang w:eastAsia="en-US"/>
        </w:rPr>
      </w:pPr>
      <w:r>
        <w:rPr>
          <w:rFonts w:eastAsia="Calibri" w:cs="Arial" w:ascii="Arial" w:hAnsi="Arial"/>
          <w:sz w:val="20"/>
          <w:szCs w:val="20"/>
          <w:lang w:eastAsia="en-US"/>
        </w:rPr>
        <w:t>La valeur faciale du ticket restaurant est portée à 9.45 € (contre 9.30 € en 2021) avec une participation de 60% pour l’entreprise et 40% pour le salarié.</w:t>
      </w:r>
    </w:p>
    <w:p>
      <w:pPr>
        <w:pStyle w:val="Normal"/>
        <w:spacing w:lineRule="auto" w:line="276" w:before="0" w:after="200"/>
        <w:jc w:val="both"/>
        <w:rPr/>
      </w:pPr>
      <w:r>
        <w:rPr>
          <w:rFonts w:eastAsia="Calibri" w:cs="Arial" w:ascii="Arial" w:hAnsi="Arial"/>
          <w:b/>
          <w:sz w:val="20"/>
          <w:szCs w:val="20"/>
          <w:lang w:eastAsia="en-US"/>
        </w:rPr>
        <w:t>Astreintes</w:t>
      </w:r>
    </w:p>
    <w:p>
      <w:pPr>
        <w:pStyle w:val="Normal"/>
        <w:spacing w:lineRule="auto" w:line="276" w:before="0" w:after="200"/>
        <w:jc w:val="both"/>
        <w:rPr/>
      </w:pPr>
      <w:r>
        <w:rPr>
          <w:rFonts w:eastAsia="Calibri" w:cs="Arial" w:ascii="Arial" w:hAnsi="Arial"/>
          <w:sz w:val="20"/>
          <w:szCs w:val="20"/>
          <w:lang w:eastAsia="en-US"/>
        </w:rPr>
        <w:t>Les primes d’astreintes seront réévaluées de 179 € à 182 € par semaine (245 pour une semaine intégrant un jour férié).</w:t>
      </w:r>
    </w:p>
    <w:p>
      <w:pPr>
        <w:pStyle w:val="Normal"/>
        <w:spacing w:lineRule="auto" w:line="276" w:before="0" w:after="200"/>
        <w:jc w:val="both"/>
        <w:rPr>
          <w:rFonts w:ascii="Arial" w:hAnsi="Arial" w:eastAsia="Calibri" w:cs="Arial"/>
          <w:sz w:val="20"/>
          <w:szCs w:val="20"/>
          <w:lang w:eastAsia="en-US"/>
        </w:rPr>
      </w:pPr>
      <w:r>
        <w:rPr>
          <w:rFonts w:eastAsia="Calibri" w:cs="Arial" w:ascii="Arial" w:hAnsi="Arial"/>
          <w:sz w:val="20"/>
          <w:szCs w:val="20"/>
          <w:lang w:eastAsia="en-US"/>
        </w:rPr>
        <w:t>Ces primes ne pourront, dans l’avenir, faire l’objet d’une réévaluation significative qu’à la condition d’une augmentation importante du nombre de collaborateurs acceptant le principe de l’astreinte multi-sites. L’astreinte exclusive pour un client ne pouvant être considérée que comme exceptionnelle et dérogatoire à la condition préalable et exclusive d’être prise en charge financièrement par le client.</w:t>
      </w:r>
    </w:p>
    <w:p>
      <w:pPr>
        <w:pStyle w:val="Normal"/>
        <w:spacing w:lineRule="auto" w:line="276" w:before="0" w:after="200"/>
        <w:jc w:val="both"/>
        <w:rPr>
          <w:rFonts w:ascii="Arial" w:hAnsi="Arial" w:eastAsia="Calibri" w:cs="Arial"/>
          <w:b/>
          <w:b/>
          <w:sz w:val="20"/>
          <w:szCs w:val="20"/>
          <w:lang w:eastAsia="en-US"/>
        </w:rPr>
      </w:pPr>
      <w:r>
        <w:rPr>
          <w:rFonts w:eastAsia="Calibri" w:cs="Arial" w:ascii="Arial" w:hAnsi="Arial"/>
          <w:b/>
          <w:sz w:val="20"/>
          <w:szCs w:val="20"/>
          <w:lang w:eastAsia="en-US"/>
        </w:rPr>
        <w:t xml:space="preserve">Déplacements </w:t>
      </w:r>
    </w:p>
    <w:p>
      <w:pPr>
        <w:pStyle w:val="Normal"/>
        <w:jc w:val="both"/>
        <w:rPr>
          <w:rFonts w:ascii="Arial" w:hAnsi="Arial" w:eastAsia="Calibri" w:cs="Arial"/>
          <w:sz w:val="20"/>
          <w:szCs w:val="20"/>
          <w:lang w:eastAsia="en-US"/>
        </w:rPr>
      </w:pPr>
      <w:r>
        <w:rPr>
          <w:rFonts w:eastAsia="Calibri" w:cs="Arial" w:ascii="Arial" w:hAnsi="Arial"/>
          <w:sz w:val="20"/>
          <w:szCs w:val="20"/>
          <w:lang w:eastAsia="en-US"/>
        </w:rPr>
        <w:t>Pour une semaine de travail de 5 jours, les grands déplacements seront indemnisés sur une base qui passera de 88 € à 90,40 € pour 4 jours et 19.4 €  le cinquième jour. Les salariés devront pouvoir justifier le fait qu’ils ne rentrent pas chez eux le soir. Les grands déplacements IDF et grandes Métropoles seront réévalués de 96 € à 100 € par jour pour 4 jours.</w:t>
      </w:r>
    </w:p>
    <w:p>
      <w:pPr>
        <w:pStyle w:val="Normal"/>
        <w:jc w:val="both"/>
        <w:rPr>
          <w:rFonts w:ascii="Arial" w:hAnsi="Arial" w:eastAsia="Calibri" w:cs="Arial"/>
          <w:sz w:val="20"/>
          <w:szCs w:val="20"/>
          <w:lang w:eastAsia="en-US"/>
        </w:rPr>
      </w:pPr>
      <w:r>
        <w:rPr>
          <w:rFonts w:eastAsia="Calibri" w:cs="Arial" w:ascii="Arial" w:hAnsi="Arial"/>
          <w:sz w:val="20"/>
          <w:szCs w:val="20"/>
          <w:lang w:eastAsia="en-US"/>
        </w:rPr>
      </w:r>
    </w:p>
    <w:p>
      <w:pPr>
        <w:pStyle w:val="Normal"/>
        <w:spacing w:lineRule="auto" w:line="276" w:before="0" w:after="200"/>
        <w:jc w:val="both"/>
        <w:rPr>
          <w:rFonts w:ascii="Arial" w:hAnsi="Arial" w:cs="Arial"/>
          <w:sz w:val="20"/>
          <w:szCs w:val="20"/>
        </w:rPr>
      </w:pPr>
      <w:r>
        <w:rPr>
          <w:rFonts w:cs="Arial" w:ascii="Arial" w:hAnsi="Arial"/>
          <w:sz w:val="20"/>
          <w:szCs w:val="20"/>
        </w:rPr>
        <w:t xml:space="preserve">Lorsque les conditions légales sont remplies pour bénéficier des grands déplacements, ceux –ci seront privilégiés aux IPD supérieurs à la zone 5 quand les salariés ne souhaiteront pas rentrer à leur domicile le soir.   </w:t>
      </w:r>
    </w:p>
    <w:p>
      <w:pPr>
        <w:pStyle w:val="Normal"/>
        <w:spacing w:lineRule="auto" w:line="276" w:before="0" w:after="200"/>
        <w:jc w:val="both"/>
        <w:rPr/>
      </w:pPr>
      <w:r>
        <w:rPr>
          <w:rFonts w:eastAsia="Arial" w:cs="Arial" w:ascii="Arial" w:hAnsi="Arial"/>
          <w:sz w:val="20"/>
          <w:szCs w:val="20"/>
        </w:rPr>
        <w:t xml:space="preserve"> </w:t>
      </w:r>
      <w:r>
        <w:rPr>
          <w:rFonts w:cs="Arial" w:ascii="Arial" w:hAnsi="Arial"/>
          <w:b/>
          <w:sz w:val="20"/>
          <w:szCs w:val="20"/>
        </w:rPr>
        <w:t>Egalité Hommes Femmes</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sz w:val="20"/>
          <w:szCs w:val="20"/>
        </w:rPr>
      </w:pPr>
      <w:r>
        <w:rPr>
          <w:rFonts w:cs="Arial" w:ascii="Arial" w:hAnsi="Arial"/>
          <w:sz w:val="20"/>
          <w:szCs w:val="20"/>
        </w:rPr>
        <w:t xml:space="preserve">La direction s’engage à examiner les salaires des femmes qui seraient différents des hommes à poste équivalent à niveau de responsabilité et de métier équivalent. </w:t>
      </w:r>
    </w:p>
    <w:p>
      <w:pPr>
        <w:pStyle w:val="Normal"/>
        <w:spacing w:lineRule="auto" w:line="276" w:before="0" w:after="200"/>
        <w:jc w:val="both"/>
        <w:rPr>
          <w:rFonts w:ascii="Arial" w:hAnsi="Arial" w:eastAsia="Calibri" w:cs="Arial"/>
          <w:sz w:val="20"/>
          <w:szCs w:val="20"/>
          <w:lang w:eastAsia="en-US"/>
        </w:rPr>
      </w:pPr>
      <w:r>
        <w:rPr>
          <w:rFonts w:eastAsia="Calibri" w:cs="Arial" w:ascii="Arial" w:hAnsi="Arial"/>
          <w:sz w:val="20"/>
          <w:szCs w:val="20"/>
          <w:lang w:eastAsia="en-US"/>
        </w:rPr>
      </w:r>
    </w:p>
    <w:p>
      <w:pPr>
        <w:pStyle w:val="Normal"/>
        <w:spacing w:lineRule="auto" w:line="276" w:before="0" w:after="200"/>
        <w:jc w:val="both"/>
        <w:rPr>
          <w:rFonts w:ascii="Arial" w:hAnsi="Arial" w:eastAsia="Calibri" w:cs="Arial"/>
          <w:b/>
          <w:b/>
          <w:sz w:val="20"/>
          <w:szCs w:val="20"/>
          <w:lang w:eastAsia="en-US"/>
        </w:rPr>
      </w:pPr>
      <w:r>
        <w:rPr>
          <w:rFonts w:eastAsia="Calibri" w:cs="Arial" w:ascii="Arial" w:hAnsi="Arial"/>
          <w:b/>
          <w:sz w:val="20"/>
          <w:szCs w:val="20"/>
          <w:lang w:eastAsia="en-US"/>
        </w:rPr>
        <w:t>Journée de solidarité</w:t>
      </w:r>
    </w:p>
    <w:p>
      <w:pPr>
        <w:pStyle w:val="Normal"/>
        <w:spacing w:lineRule="auto" w:line="276" w:before="0" w:after="200"/>
        <w:jc w:val="both"/>
        <w:rPr/>
      </w:pPr>
      <w:r>
        <w:rPr>
          <w:rFonts w:eastAsia="Calibri" w:cs="Arial" w:ascii="Arial" w:hAnsi="Arial"/>
          <w:sz w:val="20"/>
          <w:szCs w:val="20"/>
          <w:lang w:eastAsia="en-US"/>
        </w:rPr>
        <w:t xml:space="preserve">La journée de solidarité sera effectuée par la retenue d’un jour de RTT sur le compteur annuel. Pour des raisons techniques ce jour est fixé sur le lundi de pentecôte, soit le 06 juin 2022, sauf dérogation validée par la Direction. </w:t>
      </w:r>
    </w:p>
    <w:p>
      <w:pPr>
        <w:pStyle w:val="Normal"/>
        <w:spacing w:lineRule="auto" w:line="276" w:before="0" w:after="200"/>
        <w:jc w:val="both"/>
        <w:rPr>
          <w:rFonts w:ascii="Arial" w:hAnsi="Arial" w:eastAsia="Calibri" w:cs="Arial"/>
          <w:b/>
          <w:b/>
          <w:sz w:val="20"/>
          <w:szCs w:val="20"/>
          <w:lang w:eastAsia="en-US"/>
        </w:rPr>
      </w:pPr>
      <w:r>
        <w:rPr>
          <w:rFonts w:eastAsia="Calibri" w:cs="Arial" w:ascii="Arial" w:hAnsi="Arial"/>
          <w:b/>
          <w:sz w:val="20"/>
          <w:szCs w:val="20"/>
          <w:lang w:eastAsia="en-US"/>
        </w:rPr>
        <w:t>Absence autorisée payée</w:t>
      </w:r>
    </w:p>
    <w:p>
      <w:pPr>
        <w:pStyle w:val="Normal"/>
        <w:spacing w:lineRule="auto" w:line="276" w:before="0" w:after="200"/>
        <w:jc w:val="both"/>
        <w:rPr>
          <w:rFonts w:ascii="Arial" w:hAnsi="Arial" w:eastAsia="Calibri" w:cs="Arial"/>
          <w:sz w:val="20"/>
          <w:szCs w:val="20"/>
          <w:lang w:eastAsia="en-US"/>
        </w:rPr>
      </w:pPr>
      <w:r>
        <w:rPr>
          <w:rFonts w:eastAsia="Calibri" w:cs="Arial" w:ascii="Arial" w:hAnsi="Arial"/>
          <w:sz w:val="20"/>
          <w:szCs w:val="20"/>
          <w:lang w:eastAsia="en-US"/>
        </w:rPr>
        <w:t>Sous réserve de ne pas perturber l’organisation du chantier ou du service, une absence rémunérée de 2 heures sera autorisée pour les salariés accompagnant un enfant à l’occasion de la rentrée scolaire jusqu’à la classe de 6</w:t>
      </w:r>
      <w:r>
        <w:rPr>
          <w:rFonts w:eastAsia="Calibri" w:cs="Arial" w:ascii="Arial" w:hAnsi="Arial"/>
          <w:sz w:val="20"/>
          <w:szCs w:val="20"/>
          <w:vertAlign w:val="superscript"/>
          <w:lang w:eastAsia="en-US"/>
        </w:rPr>
        <w:t>ème,</w:t>
      </w:r>
      <w:r>
        <w:rPr>
          <w:rFonts w:eastAsia="Calibri" w:cs="Arial" w:ascii="Arial" w:hAnsi="Arial"/>
          <w:sz w:val="20"/>
          <w:szCs w:val="20"/>
          <w:lang w:eastAsia="en-US"/>
        </w:rPr>
        <w:t>.</w:t>
      </w:r>
    </w:p>
    <w:p>
      <w:pPr>
        <w:pStyle w:val="Normal"/>
        <w:spacing w:lineRule="auto" w:line="276" w:before="0" w:after="200"/>
        <w:jc w:val="both"/>
        <w:rPr>
          <w:rFonts w:ascii="Arial" w:hAnsi="Arial" w:eastAsia="Calibri" w:cs="Arial"/>
          <w:b/>
          <w:b/>
          <w:sz w:val="20"/>
          <w:szCs w:val="20"/>
          <w:lang w:eastAsia="en-US"/>
        </w:rPr>
      </w:pPr>
      <w:r>
        <w:rPr>
          <w:rFonts w:eastAsia="Calibri" w:cs="Arial" w:ascii="Arial" w:hAnsi="Arial"/>
          <w:b/>
          <w:sz w:val="20"/>
          <w:szCs w:val="20"/>
          <w:lang w:eastAsia="en-US"/>
        </w:rPr>
        <w:t>Prime tuteur</w:t>
      </w:r>
    </w:p>
    <w:p>
      <w:pPr>
        <w:pStyle w:val="Normal"/>
        <w:spacing w:lineRule="auto" w:line="276"/>
        <w:jc w:val="both"/>
        <w:rPr>
          <w:rFonts w:ascii="Arial" w:hAnsi="Arial" w:eastAsia="Calibri" w:cs="Arial"/>
          <w:sz w:val="20"/>
          <w:szCs w:val="20"/>
          <w:lang w:eastAsia="en-US"/>
        </w:rPr>
      </w:pPr>
      <w:r>
        <w:rPr>
          <w:rFonts w:eastAsia="Calibri" w:cs="Arial" w:ascii="Arial" w:hAnsi="Arial"/>
          <w:sz w:val="20"/>
          <w:szCs w:val="20"/>
          <w:lang w:eastAsia="en-US"/>
        </w:rPr>
        <w:t xml:space="preserve">Une « prime tuteur » d’un montant de 200 euros sera versée au tuteur en charge du suivi du jeune sous condition de réussite à l’examen de l’alternant à l’issue de son parcours d’apprentissage et embauche de l’alternant à l’issue de son parcours d’apprentissage. </w:t>
      </w:r>
    </w:p>
    <w:p>
      <w:pPr>
        <w:pStyle w:val="Normal"/>
        <w:spacing w:lineRule="auto" w:line="276"/>
        <w:jc w:val="both"/>
        <w:rPr>
          <w:rFonts w:ascii="Arial" w:hAnsi="Arial" w:eastAsia="Calibri" w:cs="Arial"/>
          <w:sz w:val="20"/>
          <w:szCs w:val="20"/>
          <w:lang w:eastAsia="en-US"/>
        </w:rPr>
      </w:pPr>
      <w:r>
        <w:rPr>
          <w:rFonts w:eastAsia="Calibri" w:cs="Arial" w:ascii="Arial" w:hAnsi="Arial"/>
          <w:sz w:val="20"/>
          <w:szCs w:val="20"/>
          <w:lang w:eastAsia="en-US"/>
        </w:rPr>
      </w:r>
    </w:p>
    <w:p>
      <w:pPr>
        <w:pStyle w:val="Normal"/>
        <w:spacing w:lineRule="auto" w:line="276"/>
        <w:jc w:val="both"/>
        <w:rPr>
          <w:rFonts w:ascii="Arial" w:hAnsi="Arial" w:eastAsia="Calibri" w:cs="Arial"/>
          <w:sz w:val="20"/>
          <w:szCs w:val="20"/>
          <w:lang w:eastAsia="en-US"/>
        </w:rPr>
      </w:pPr>
      <w:r>
        <w:rPr>
          <w:rFonts w:eastAsia="Calibri" w:cs="Arial" w:ascii="Arial" w:hAnsi="Arial"/>
          <w:sz w:val="20"/>
          <w:szCs w:val="20"/>
          <w:lang w:eastAsia="en-US"/>
        </w:rPr>
      </w:r>
    </w:p>
    <w:p>
      <w:pPr>
        <w:pStyle w:val="Normal"/>
        <w:spacing w:lineRule="auto" w:line="276"/>
        <w:jc w:val="both"/>
        <w:rPr>
          <w:rFonts w:ascii="Arial" w:hAnsi="Arial" w:eastAsia="Calibri" w:cs="Arial"/>
          <w:sz w:val="20"/>
          <w:szCs w:val="20"/>
          <w:lang w:eastAsia="en-US"/>
        </w:rPr>
      </w:pPr>
      <w:r>
        <w:rPr>
          <w:rFonts w:eastAsia="Calibri" w:cs="Arial" w:ascii="Arial" w:hAnsi="Arial"/>
          <w:sz w:val="20"/>
          <w:szCs w:val="20"/>
          <w:lang w:eastAsia="en-US"/>
        </w:rPr>
      </w:r>
    </w:p>
    <w:p>
      <w:pPr>
        <w:pStyle w:val="Normal"/>
        <w:spacing w:lineRule="auto" w:line="276"/>
        <w:jc w:val="both"/>
        <w:rPr>
          <w:rFonts w:ascii="Arial" w:hAnsi="Arial" w:eastAsia="Calibri" w:cs="Arial"/>
          <w:sz w:val="20"/>
          <w:szCs w:val="20"/>
          <w:lang w:eastAsia="en-US"/>
        </w:rPr>
      </w:pPr>
      <w:r>
        <w:rPr>
          <w:rFonts w:eastAsia="Calibri" w:cs="Arial" w:ascii="Arial" w:hAnsi="Arial"/>
          <w:sz w:val="20"/>
          <w:szCs w:val="20"/>
          <w:lang w:eastAsia="en-US"/>
        </w:rPr>
      </w:r>
    </w:p>
    <w:p>
      <w:pPr>
        <w:pStyle w:val="Normal"/>
        <w:spacing w:lineRule="auto" w:line="276"/>
        <w:jc w:val="both"/>
        <w:rPr>
          <w:rFonts w:ascii="Arial" w:hAnsi="Arial" w:eastAsia="Calibri" w:cs="Arial"/>
          <w:b/>
          <w:b/>
          <w:sz w:val="20"/>
          <w:szCs w:val="20"/>
          <w:lang w:eastAsia="en-US"/>
        </w:rPr>
      </w:pPr>
      <w:r>
        <w:rPr>
          <w:rFonts w:eastAsia="Calibri" w:cs="Arial" w:ascii="Arial" w:hAnsi="Arial"/>
          <w:b/>
          <w:sz w:val="20"/>
          <w:szCs w:val="20"/>
          <w:lang w:eastAsia="en-US"/>
        </w:rPr>
        <w:t xml:space="preserve">Dons de jours </w:t>
      </w:r>
    </w:p>
    <w:p>
      <w:pPr>
        <w:pStyle w:val="Normal"/>
        <w:spacing w:lineRule="auto" w:line="276"/>
        <w:jc w:val="both"/>
        <w:rPr>
          <w:rFonts w:ascii="Arial" w:hAnsi="Arial" w:eastAsia="Calibri" w:cs="Arial"/>
          <w:b/>
          <w:b/>
          <w:sz w:val="20"/>
          <w:szCs w:val="20"/>
          <w:lang w:eastAsia="en-US"/>
        </w:rPr>
      </w:pPr>
      <w:r>
        <w:rPr>
          <w:rFonts w:eastAsia="Calibri" w:cs="Arial" w:ascii="Arial" w:hAnsi="Arial"/>
          <w:b/>
          <w:sz w:val="20"/>
          <w:szCs w:val="20"/>
          <w:lang w:eastAsia="en-US"/>
        </w:rPr>
      </w:r>
    </w:p>
    <w:p>
      <w:pPr>
        <w:pStyle w:val="Normal"/>
        <w:jc w:val="both"/>
        <w:rPr/>
      </w:pPr>
      <w:r>
        <w:rPr>
          <w:rFonts w:cs="Arial" w:ascii="Arial" w:hAnsi="Arial"/>
          <w:sz w:val="20"/>
          <w:szCs w:val="20"/>
        </w:rPr>
        <w:t xml:space="preserve">La </w:t>
      </w:r>
      <w:hyperlink r:id="rId2" w:tgtFrame="_blank">
        <w:r>
          <w:rPr>
            <w:rStyle w:val="InternetLink"/>
            <w:rFonts w:cs="Arial" w:ascii="Arial" w:hAnsi="Arial"/>
            <w:color w:val="000000"/>
            <w:sz w:val="20"/>
            <w:szCs w:val="20"/>
          </w:rPr>
          <w:t xml:space="preserve">loi du 13 février 2018 </w:t>
        </w:r>
      </w:hyperlink>
      <w:r>
        <w:rPr>
          <w:rFonts w:cs="Arial" w:ascii="Arial" w:hAnsi="Arial"/>
          <w:sz w:val="20"/>
          <w:szCs w:val="20"/>
        </w:rPr>
        <w:t xml:space="preserve">crée un nouvel article L.3142-25-1 dans le code du travail. Elle porte sur le don de jours de congés non pris au bénéfice de salariés proches aidants de personnes en perte d'autonomie ou présentant un handicap a été publiée au journal officiel. Il est donc possible pour les salariés de faire don de congés non pris en faveur de collègues "aidants" qui s'occupent d'un proche en perte d'autonomie ou présentant un handicap.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sz w:val="20"/>
          <w:szCs w:val="20"/>
          <w:highlight w:val="yellow"/>
        </w:rPr>
      </w:pPr>
      <w:r>
        <w:rPr>
          <w:rFonts w:cs="Arial" w:ascii="Arial" w:hAnsi="Arial"/>
          <w:b/>
          <w:sz w:val="20"/>
          <w:szCs w:val="20"/>
          <w:highlight w:val="yellow"/>
        </w:rPr>
      </w:r>
    </w:p>
    <w:p>
      <w:pPr>
        <w:pStyle w:val="Normal"/>
        <w:jc w:val="both"/>
        <w:rPr>
          <w:rFonts w:ascii="Arial" w:hAnsi="Arial" w:cs="Arial"/>
          <w:b/>
          <w:b/>
          <w:sz w:val="20"/>
          <w:szCs w:val="20"/>
        </w:rPr>
      </w:pPr>
      <w:r>
        <w:rPr>
          <w:rFonts w:cs="Arial" w:ascii="Arial" w:hAnsi="Arial"/>
          <w:b/>
          <w:sz w:val="20"/>
          <w:szCs w:val="20"/>
        </w:rPr>
        <w:t>Cadres au forfait jours </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sz w:val="20"/>
          <w:szCs w:val="20"/>
        </w:rPr>
      </w:pPr>
      <w:r>
        <w:rPr>
          <w:rFonts w:cs="Arial" w:ascii="Arial" w:hAnsi="Arial"/>
          <w:sz w:val="20"/>
          <w:szCs w:val="20"/>
        </w:rPr>
        <w:t xml:space="preserve">Afin de garantir l’équilibre vie professionnelle/vie privée, il est demandé aux cadres au forfait jours de manifester lors de leurs entretiens individuels toute difficulté ayant trait à la charge et les amplitudes de travail. </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sz w:val="20"/>
          <w:szCs w:val="20"/>
        </w:rPr>
      </w:pPr>
      <w:r>
        <w:rPr>
          <w:rFonts w:cs="Arial" w:ascii="Arial" w:hAnsi="Arial"/>
          <w:b/>
          <w:sz w:val="20"/>
          <w:szCs w:val="20"/>
        </w:rPr>
        <w:t>Gestion prévisionnelle des emplois et des compétences</w:t>
      </w:r>
    </w:p>
    <w:p>
      <w:pPr>
        <w:pStyle w:val="Normal"/>
        <w:jc w:val="both"/>
        <w:rPr>
          <w:rFonts w:ascii="Arial" w:hAnsi="Arial" w:cs="Arial"/>
          <w:b/>
          <w:b/>
          <w:sz w:val="20"/>
          <w:szCs w:val="20"/>
        </w:rPr>
      </w:pPr>
      <w:r>
        <w:rPr>
          <w:rFonts w:cs="Arial" w:ascii="Arial" w:hAnsi="Arial"/>
          <w:b/>
          <w:sz w:val="20"/>
          <w:szCs w:val="20"/>
        </w:rPr>
      </w:r>
    </w:p>
    <w:p>
      <w:pPr>
        <w:pStyle w:val="Normal"/>
        <w:jc w:val="both"/>
        <w:rPr>
          <w:rFonts w:ascii="Arial" w:hAnsi="Arial" w:cs="Arial"/>
          <w:sz w:val="20"/>
          <w:szCs w:val="20"/>
        </w:rPr>
      </w:pPr>
      <w:r>
        <w:rPr>
          <w:rFonts w:cs="Arial" w:ascii="Arial" w:hAnsi="Arial"/>
          <w:sz w:val="20"/>
          <w:szCs w:val="20"/>
        </w:rPr>
        <w:t>Le principe d’une people revue dont l’objectif est d’identifier les collaborateurs susceptibles d’entrer dans un parcours de promotion réalisée a minima une fois par an est maintenu.</w:t>
      </w:r>
    </w:p>
    <w:p>
      <w:pPr>
        <w:pStyle w:val="Normal"/>
        <w:spacing w:lineRule="auto" w:line="276"/>
        <w:jc w:val="both"/>
        <w:rPr>
          <w:rFonts w:ascii="Arial" w:hAnsi="Arial" w:eastAsia="Calibri" w:cs="Arial"/>
          <w:b/>
          <w:b/>
          <w:sz w:val="20"/>
          <w:szCs w:val="20"/>
          <w:lang w:eastAsia="en-US"/>
        </w:rPr>
      </w:pPr>
      <w:r>
        <w:rPr>
          <w:rFonts w:eastAsia="Calibri" w:cs="Arial" w:ascii="Arial" w:hAnsi="Arial"/>
          <w:b/>
          <w:sz w:val="20"/>
          <w:szCs w:val="20"/>
          <w:lang w:eastAsia="en-US"/>
        </w:rPr>
      </w:r>
    </w:p>
    <w:p>
      <w:pPr>
        <w:pStyle w:val="Normal"/>
        <w:spacing w:lineRule="auto" w:line="276"/>
        <w:jc w:val="both"/>
        <w:rPr>
          <w:rFonts w:ascii="Arial" w:hAnsi="Arial" w:eastAsia="Calibri" w:cs="Arial"/>
          <w:b/>
          <w:b/>
          <w:sz w:val="20"/>
          <w:szCs w:val="20"/>
          <w:lang w:eastAsia="en-US"/>
        </w:rPr>
      </w:pPr>
      <w:r>
        <w:rPr>
          <w:rFonts w:eastAsia="Calibri" w:cs="Arial" w:ascii="Arial" w:hAnsi="Arial"/>
          <w:b/>
          <w:sz w:val="20"/>
          <w:szCs w:val="20"/>
          <w:lang w:eastAsia="en-US"/>
        </w:rPr>
      </w:r>
    </w:p>
    <w:p>
      <w:pPr>
        <w:pStyle w:val="Normal"/>
        <w:spacing w:lineRule="auto" w:line="276"/>
        <w:jc w:val="both"/>
        <w:rPr>
          <w:rFonts w:ascii="Arial" w:hAnsi="Arial" w:eastAsia="Calibri" w:cs="Arial"/>
          <w:b/>
          <w:b/>
          <w:sz w:val="20"/>
          <w:szCs w:val="20"/>
          <w:lang w:eastAsia="en-US"/>
        </w:rPr>
      </w:pPr>
      <w:r>
        <w:rPr>
          <w:rFonts w:eastAsia="Calibri" w:cs="Arial" w:ascii="Arial" w:hAnsi="Arial"/>
          <w:b/>
          <w:sz w:val="20"/>
          <w:szCs w:val="20"/>
          <w:lang w:eastAsia="en-US"/>
        </w:rPr>
        <w:t xml:space="preserve">Médaille du travail </w:t>
      </w:r>
    </w:p>
    <w:p>
      <w:pPr>
        <w:pStyle w:val="Normal"/>
        <w:spacing w:lineRule="auto" w:line="276"/>
        <w:jc w:val="both"/>
        <w:rPr>
          <w:rFonts w:ascii="Arial" w:hAnsi="Arial" w:eastAsia="Calibri" w:cs="Arial"/>
          <w:b/>
          <w:b/>
          <w:sz w:val="20"/>
          <w:szCs w:val="20"/>
          <w:lang w:eastAsia="en-US"/>
        </w:rPr>
      </w:pPr>
      <w:r>
        <w:rPr>
          <w:rFonts w:eastAsia="Calibri" w:cs="Arial" w:ascii="Arial" w:hAnsi="Arial"/>
          <w:b/>
          <w:sz w:val="20"/>
          <w:szCs w:val="20"/>
          <w:lang w:eastAsia="en-US"/>
        </w:rPr>
      </w:r>
    </w:p>
    <w:p>
      <w:pPr>
        <w:pStyle w:val="Normal"/>
        <w:spacing w:lineRule="auto" w:line="276"/>
        <w:jc w:val="both"/>
        <w:rPr/>
      </w:pPr>
      <w:r>
        <w:rPr>
          <w:rFonts w:eastAsia="Calibri" w:cs="Arial" w:ascii="Arial" w:hAnsi="Arial"/>
          <w:sz w:val="20"/>
          <w:szCs w:val="20"/>
          <w:lang w:eastAsia="en-US"/>
        </w:rPr>
        <w:t xml:space="preserve">Le montant de la prime d’ancienneté est fixée à 37 € par année d’ancienneté </w:t>
      </w:r>
    </w:p>
    <w:p>
      <w:pPr>
        <w:pStyle w:val="Normal"/>
        <w:spacing w:lineRule="auto" w:line="276"/>
        <w:jc w:val="both"/>
        <w:rPr>
          <w:rFonts w:ascii="Arial" w:hAnsi="Arial" w:eastAsia="Calibri" w:cs="Arial"/>
          <w:sz w:val="20"/>
          <w:szCs w:val="20"/>
          <w:lang w:eastAsia="en-US"/>
        </w:rPr>
      </w:pPr>
      <w:r>
        <w:rPr>
          <w:rFonts w:eastAsia="Calibri" w:cs="Arial" w:ascii="Arial" w:hAnsi="Arial"/>
          <w:sz w:val="20"/>
          <w:szCs w:val="20"/>
          <w:lang w:eastAsia="en-US"/>
        </w:rPr>
        <w:t>Le montant de la prime SERCE est fixée à 8 € par année d’ancienneté</w:t>
      </w:r>
    </w:p>
    <w:p>
      <w:pPr>
        <w:pStyle w:val="Normal"/>
        <w:spacing w:lineRule="auto" w:line="276"/>
        <w:jc w:val="both"/>
        <w:rPr>
          <w:rFonts w:ascii="Arial" w:hAnsi="Arial" w:eastAsia="Calibri" w:cs="Arial"/>
          <w:sz w:val="20"/>
          <w:szCs w:val="20"/>
          <w:lang w:eastAsia="en-US"/>
        </w:rPr>
      </w:pPr>
      <w:r>
        <w:rPr>
          <w:rFonts w:eastAsia="Calibri" w:cs="Arial" w:ascii="Arial" w:hAnsi="Arial"/>
          <w:sz w:val="20"/>
          <w:szCs w:val="20"/>
          <w:lang w:eastAsia="en-US"/>
        </w:rPr>
      </w:r>
    </w:p>
    <w:p>
      <w:pPr>
        <w:pStyle w:val="Normal"/>
        <w:spacing w:lineRule="auto" w:line="276"/>
        <w:jc w:val="both"/>
        <w:rPr>
          <w:rFonts w:ascii="Arial" w:hAnsi="Arial" w:eastAsia="Calibri" w:cs="Arial"/>
          <w:sz w:val="20"/>
          <w:szCs w:val="20"/>
          <w:lang w:eastAsia="en-US"/>
        </w:rPr>
      </w:pPr>
      <w:r>
        <w:rPr>
          <w:rFonts w:eastAsia="Calibri" w:cs="Arial" w:ascii="Arial" w:hAnsi="Arial"/>
          <w:sz w:val="20"/>
          <w:szCs w:val="20"/>
          <w:lang w:eastAsia="en-US"/>
        </w:rPr>
      </w:r>
    </w:p>
    <w:p>
      <w:pPr>
        <w:pStyle w:val="Normal"/>
        <w:spacing w:lineRule="auto" w:line="276"/>
        <w:jc w:val="both"/>
        <w:rPr/>
      </w:pPr>
      <w:r>
        <w:rPr>
          <w:rFonts w:eastAsia="Calibri" w:cs="Arial" w:ascii="Arial" w:hAnsi="Arial"/>
          <w:b/>
          <w:sz w:val="20"/>
          <w:szCs w:val="20"/>
          <w:lang w:eastAsia="en-US"/>
        </w:rPr>
        <w:t xml:space="preserve">Prime ARI  </w:t>
      </w:r>
    </w:p>
    <w:p>
      <w:pPr>
        <w:pStyle w:val="Normal"/>
        <w:spacing w:lineRule="auto" w:line="276"/>
        <w:jc w:val="both"/>
        <w:rPr>
          <w:rFonts w:ascii="Arial" w:hAnsi="Arial" w:eastAsia="Calibri" w:cs="Arial"/>
          <w:b/>
          <w:b/>
          <w:sz w:val="20"/>
          <w:szCs w:val="20"/>
          <w:lang w:eastAsia="en-US"/>
        </w:rPr>
      </w:pPr>
      <w:r>
        <w:rPr>
          <w:rFonts w:eastAsia="Calibri" w:cs="Arial" w:ascii="Arial" w:hAnsi="Arial"/>
          <w:b/>
          <w:sz w:val="20"/>
          <w:szCs w:val="20"/>
          <w:lang w:eastAsia="en-US"/>
        </w:rPr>
      </w:r>
    </w:p>
    <w:p>
      <w:pPr>
        <w:pStyle w:val="Normal"/>
        <w:spacing w:lineRule="auto" w:line="276"/>
        <w:jc w:val="both"/>
        <w:rPr/>
      </w:pPr>
      <w:r>
        <w:rPr>
          <w:rFonts w:eastAsia="Calibri" w:cs="Arial" w:ascii="Arial" w:hAnsi="Arial"/>
          <w:sz w:val="20"/>
          <w:szCs w:val="20"/>
          <w:lang w:eastAsia="en-US"/>
        </w:rPr>
        <w:t xml:space="preserve">Le montant de la prime ARI est portée à 1.75 € par heure (vs 1.70 € antérieurement) </w:t>
      </w:r>
    </w:p>
    <w:p>
      <w:pPr>
        <w:pStyle w:val="Normal"/>
        <w:spacing w:lineRule="auto" w:line="276"/>
        <w:jc w:val="both"/>
        <w:rPr>
          <w:rFonts w:ascii="Arial" w:hAnsi="Arial" w:eastAsia="Calibri" w:cs="Arial"/>
          <w:sz w:val="20"/>
          <w:szCs w:val="20"/>
          <w:lang w:eastAsia="en-US"/>
        </w:rPr>
      </w:pPr>
      <w:r>
        <w:rPr>
          <w:rFonts w:eastAsia="Calibri" w:cs="Arial" w:ascii="Arial" w:hAnsi="Arial"/>
          <w:sz w:val="20"/>
          <w:szCs w:val="20"/>
          <w:lang w:eastAsia="en-US"/>
        </w:rPr>
      </w:r>
    </w:p>
    <w:p>
      <w:pPr>
        <w:pStyle w:val="Normal"/>
        <w:spacing w:lineRule="auto" w:line="276"/>
        <w:jc w:val="both"/>
        <w:rPr>
          <w:rFonts w:eastAsia="Calibri"/>
        </w:rPr>
      </w:pPr>
      <w:r>
        <w:rPr>
          <w:rFonts w:eastAsia="Arial" w:cs="Arial" w:ascii="Arial" w:hAnsi="Arial"/>
          <w:sz w:val="20"/>
          <w:szCs w:val="20"/>
          <w:lang w:eastAsia="en-US"/>
        </w:rPr>
        <w:t xml:space="preserve"> </w:t>
      </w:r>
    </w:p>
    <w:p>
      <w:pPr>
        <w:pStyle w:val="Normal"/>
        <w:spacing w:lineRule="auto" w:line="276"/>
        <w:jc w:val="both"/>
        <w:rPr>
          <w:rFonts w:ascii="Arial" w:hAnsi="Arial" w:eastAsia="Calibri" w:cs="Arial"/>
          <w:b/>
          <w:b/>
          <w:sz w:val="20"/>
          <w:szCs w:val="20"/>
          <w:lang w:eastAsia="en-US"/>
        </w:rPr>
      </w:pPr>
      <w:r>
        <w:rPr>
          <w:rFonts w:eastAsia="Calibri" w:cs="Arial" w:ascii="Arial" w:hAnsi="Arial"/>
          <w:b/>
          <w:sz w:val="20"/>
          <w:szCs w:val="20"/>
          <w:lang w:eastAsia="en-US"/>
        </w:rPr>
        <w:t>Futures retraités</w:t>
      </w:r>
    </w:p>
    <w:p>
      <w:pPr>
        <w:pStyle w:val="Normal"/>
        <w:spacing w:lineRule="auto" w:line="276"/>
        <w:jc w:val="both"/>
        <w:rPr>
          <w:rFonts w:ascii="Arial" w:hAnsi="Arial" w:eastAsia="Calibri" w:cs="Arial"/>
          <w:b/>
          <w:b/>
          <w:sz w:val="20"/>
          <w:szCs w:val="20"/>
          <w:lang w:eastAsia="en-US"/>
        </w:rPr>
      </w:pPr>
      <w:r>
        <w:rPr>
          <w:rFonts w:eastAsia="Calibri" w:cs="Arial" w:ascii="Arial" w:hAnsi="Arial"/>
          <w:b/>
          <w:sz w:val="20"/>
          <w:szCs w:val="20"/>
          <w:lang w:eastAsia="en-US"/>
        </w:rPr>
      </w:r>
    </w:p>
    <w:p>
      <w:pPr>
        <w:pStyle w:val="Normal"/>
        <w:spacing w:lineRule="auto" w:line="276"/>
        <w:jc w:val="both"/>
        <w:rPr>
          <w:rFonts w:ascii="Arial" w:hAnsi="Arial" w:eastAsia="Calibri" w:cs="Arial"/>
          <w:sz w:val="20"/>
          <w:szCs w:val="20"/>
          <w:lang w:eastAsia="en-US"/>
        </w:rPr>
      </w:pPr>
      <w:r>
        <w:rPr>
          <w:rFonts w:eastAsia="Calibri" w:cs="Arial" w:ascii="Arial" w:hAnsi="Arial"/>
          <w:sz w:val="20"/>
          <w:szCs w:val="20"/>
          <w:lang w:eastAsia="en-US"/>
        </w:rPr>
        <w:t xml:space="preserve">Dans les 12 mois précédant leur départ, il leur sera accordé l’équivalent d’une journée d’absence rémunérée (prise en une seule fois ou de manière fractionnée) aux fins de constituer leur dossier de départ en retraite quand le départ </w:t>
      </w:r>
    </w:p>
    <w:p>
      <w:pPr>
        <w:pStyle w:val="Normal"/>
        <w:spacing w:lineRule="auto" w:line="276"/>
        <w:jc w:val="both"/>
        <w:rPr>
          <w:rFonts w:ascii="Arial" w:hAnsi="Arial" w:eastAsia="Calibri" w:cs="Arial"/>
          <w:sz w:val="20"/>
          <w:szCs w:val="20"/>
          <w:lang w:eastAsia="en-US"/>
        </w:rPr>
      </w:pPr>
      <w:r>
        <w:rPr>
          <w:rFonts w:eastAsia="Calibri" w:cs="Arial" w:ascii="Arial" w:hAnsi="Arial"/>
          <w:sz w:val="20"/>
          <w:szCs w:val="20"/>
          <w:lang w:eastAsia="en-US"/>
        </w:rPr>
      </w:r>
    </w:p>
    <w:p>
      <w:pPr>
        <w:pStyle w:val="Normal"/>
        <w:spacing w:lineRule="auto" w:line="276"/>
        <w:jc w:val="both"/>
        <w:rPr>
          <w:rFonts w:ascii="Arial" w:hAnsi="Arial" w:eastAsia="Calibri" w:cs="Arial"/>
          <w:sz w:val="20"/>
          <w:szCs w:val="20"/>
          <w:lang w:eastAsia="en-US"/>
        </w:rPr>
      </w:pPr>
      <w:r>
        <w:rPr>
          <w:rFonts w:eastAsia="Calibri" w:cs="Arial" w:ascii="Arial" w:hAnsi="Arial"/>
          <w:sz w:val="20"/>
          <w:szCs w:val="20"/>
          <w:lang w:eastAsia="en-US"/>
        </w:rPr>
      </w:r>
    </w:p>
    <w:p>
      <w:pPr>
        <w:pStyle w:val="Normal"/>
        <w:spacing w:lineRule="auto" w:line="276"/>
        <w:jc w:val="both"/>
        <w:rPr/>
      </w:pPr>
      <w:r>
        <w:rPr>
          <w:rFonts w:eastAsia="Calibri" w:cs="Arial" w:ascii="Arial" w:hAnsi="Arial"/>
          <w:sz w:val="20"/>
          <w:szCs w:val="20"/>
          <w:lang w:eastAsia="en-US"/>
        </w:rPr>
        <w:t>Conformément aux dispositions de l’article L.2242-4 du code du travail, le présent procès-verbal d’accord applicable au 1</w:t>
      </w:r>
      <w:r>
        <w:rPr>
          <w:rFonts w:eastAsia="Calibri" w:cs="Arial" w:ascii="Arial" w:hAnsi="Arial"/>
          <w:sz w:val="20"/>
          <w:szCs w:val="20"/>
          <w:vertAlign w:val="superscript"/>
          <w:lang w:eastAsia="en-US"/>
        </w:rPr>
        <w:t>er</w:t>
      </w:r>
      <w:r>
        <w:rPr>
          <w:rFonts w:eastAsia="Calibri" w:cs="Arial" w:ascii="Arial" w:hAnsi="Arial"/>
          <w:sz w:val="20"/>
          <w:szCs w:val="20"/>
          <w:lang w:eastAsia="en-US"/>
        </w:rPr>
        <w:t xml:space="preserve"> avril 2020 fera l’objet des dépôts légaux dans les conditions prévues aux articles D.2231-2 et suivants du code du travail.</w:t>
      </w:r>
    </w:p>
    <w:p>
      <w:pPr>
        <w:pStyle w:val="Normal"/>
        <w:spacing w:lineRule="auto" w:line="276"/>
        <w:jc w:val="both"/>
        <w:rPr>
          <w:rFonts w:ascii="Arial" w:hAnsi="Arial" w:eastAsia="Calibri" w:cs="Arial"/>
          <w:sz w:val="20"/>
          <w:szCs w:val="20"/>
          <w:lang w:eastAsia="en-US"/>
        </w:rPr>
      </w:pPr>
      <w:r>
        <w:rPr>
          <w:rFonts w:eastAsia="Calibri" w:cs="Arial" w:ascii="Arial" w:hAnsi="Arial"/>
          <w:sz w:val="20"/>
          <w:szCs w:val="20"/>
          <w:lang w:eastAsia="en-US"/>
        </w:rPr>
      </w:r>
    </w:p>
    <w:p>
      <w:pPr>
        <w:pStyle w:val="Normal"/>
        <w:tabs>
          <w:tab w:val="left" w:pos="540" w:leader="none"/>
          <w:tab w:val="left" w:pos="5940" w:leader="none"/>
        </w:tabs>
        <w:spacing w:lineRule="auto" w:line="276"/>
        <w:rPr>
          <w:rFonts w:ascii="Arial" w:hAnsi="Arial" w:eastAsia="Calibri" w:cs="Arial"/>
          <w:sz w:val="20"/>
          <w:szCs w:val="20"/>
          <w:lang w:eastAsia="en-US"/>
        </w:rPr>
      </w:pPr>
      <w:r>
        <w:rPr>
          <w:rFonts w:eastAsia="Calibri" w:cs="Arial" w:ascii="Arial" w:hAnsi="Arial"/>
          <w:sz w:val="20"/>
          <w:szCs w:val="20"/>
          <w:lang w:eastAsia="en-US"/>
        </w:rPr>
      </w:r>
    </w:p>
    <w:p>
      <w:pPr>
        <w:pStyle w:val="Normal"/>
        <w:tabs>
          <w:tab w:val="left" w:pos="540" w:leader="none"/>
          <w:tab w:val="left" w:pos="5940" w:leader="none"/>
        </w:tabs>
        <w:spacing w:lineRule="auto" w:line="276"/>
        <w:rPr>
          <w:rFonts w:ascii="Arial" w:hAnsi="Arial" w:eastAsia="Calibri" w:cs="Arial"/>
          <w:sz w:val="20"/>
          <w:szCs w:val="20"/>
          <w:lang w:eastAsia="en-US"/>
        </w:rPr>
      </w:pPr>
      <w:r>
        <w:rPr>
          <w:rFonts w:eastAsia="Calibri" w:cs="Arial" w:ascii="Arial" w:hAnsi="Arial"/>
          <w:sz w:val="20"/>
          <w:szCs w:val="20"/>
          <w:lang w:eastAsia="en-US"/>
        </w:rPr>
        <w:t>Fait à St Etienne du Rouvray, le 1</w:t>
      </w:r>
      <w:r>
        <w:rPr>
          <w:rFonts w:eastAsia="Calibri" w:cs="Arial" w:ascii="Arial" w:hAnsi="Arial"/>
          <w:sz w:val="20"/>
          <w:szCs w:val="20"/>
          <w:vertAlign w:val="superscript"/>
          <w:lang w:eastAsia="en-US"/>
        </w:rPr>
        <w:t>er</w:t>
      </w:r>
      <w:r>
        <w:rPr>
          <w:rFonts w:eastAsia="Calibri" w:cs="Arial" w:ascii="Arial" w:hAnsi="Arial"/>
          <w:sz w:val="20"/>
          <w:szCs w:val="20"/>
          <w:lang w:eastAsia="en-US"/>
        </w:rPr>
        <w:t xml:space="preserve"> mars 2022</w:t>
      </w:r>
    </w:p>
    <w:p>
      <w:pPr>
        <w:pStyle w:val="Normal"/>
        <w:spacing w:lineRule="auto" w:line="276"/>
        <w:rPr>
          <w:rFonts w:ascii="Arial" w:hAnsi="Arial" w:eastAsia="Calibri" w:cs="Arial"/>
          <w:b/>
          <w:b/>
          <w:sz w:val="20"/>
          <w:szCs w:val="20"/>
          <w:lang w:eastAsia="en-US"/>
        </w:rPr>
      </w:pPr>
      <w:r>
        <w:rPr>
          <w:rFonts w:eastAsia="Calibri" w:cs="Arial" w:ascii="Arial" w:hAnsi="Arial"/>
          <w:sz w:val="20"/>
          <w:szCs w:val="20"/>
          <w:lang w:eastAsia="en-US"/>
        </w:rPr>
        <w:tab/>
        <w:tab/>
        <w:tab/>
        <w:tab/>
        <w:tab/>
        <w:tab/>
        <w:tab/>
        <w:tab/>
        <w:tab/>
      </w:r>
    </w:p>
    <w:p>
      <w:pPr>
        <w:pStyle w:val="Normal"/>
        <w:spacing w:lineRule="auto" w:line="276"/>
        <w:ind w:hanging="540"/>
        <w:rPr/>
      </w:pPr>
      <w:r>
        <w:rPr>
          <w:rFonts w:eastAsia="Arial" w:cs="Arial" w:ascii="Arial" w:hAnsi="Arial"/>
          <w:b/>
          <w:sz w:val="20"/>
          <w:szCs w:val="20"/>
          <w:lang w:eastAsia="en-US"/>
        </w:rPr>
        <w:t xml:space="preserve"> </w:t>
      </w:r>
      <w:r>
        <w:rPr>
          <w:rFonts w:eastAsia="Calibri" w:cs="Arial" w:ascii="Arial" w:hAnsi="Arial"/>
          <w:b/>
          <w:sz w:val="20"/>
          <w:szCs w:val="20"/>
          <w:lang w:eastAsia="en-US"/>
        </w:rPr>
        <w:tab/>
      </w:r>
      <w:r>
        <w:rPr>
          <w:rFonts w:eastAsia="Calibri" w:cs="Arial" w:ascii="Arial" w:hAnsi="Arial"/>
          <w:sz w:val="20"/>
          <w:szCs w:val="20"/>
          <w:lang w:eastAsia="en-US"/>
        </w:rPr>
        <w:tab/>
        <w:tab/>
        <w:tab/>
        <w:tab/>
        <w:tab/>
        <w:tab/>
      </w:r>
    </w:p>
    <w:p>
      <w:pPr>
        <w:pStyle w:val="Normal"/>
        <w:spacing w:lineRule="auto" w:line="276"/>
        <w:rPr>
          <w:rFonts w:ascii="Arial" w:hAnsi="Arial" w:eastAsia="Calibri" w:cs="Arial"/>
          <w:sz w:val="20"/>
          <w:szCs w:val="20"/>
          <w:lang w:eastAsia="en-US"/>
        </w:rPr>
      </w:pPr>
      <w:r>
        <w:rPr>
          <w:rFonts w:eastAsia="Calibri" w:cs="Arial" w:ascii="Arial" w:hAnsi="Arial"/>
          <w:sz w:val="20"/>
          <w:szCs w:val="20"/>
          <w:lang w:eastAsia="en-US"/>
        </w:rPr>
        <w:t>Directeur</w:t>
      </w:r>
    </w:p>
    <w:p>
      <w:pPr>
        <w:pStyle w:val="Normal"/>
        <w:spacing w:lineRule="auto" w:line="276"/>
        <w:ind w:hanging="540"/>
        <w:rPr>
          <w:rFonts w:ascii="Arial" w:hAnsi="Arial" w:eastAsia="Calibri" w:cs="Arial"/>
          <w:sz w:val="20"/>
          <w:szCs w:val="20"/>
          <w:lang w:eastAsia="en-US"/>
        </w:rPr>
      </w:pPr>
      <w:r>
        <w:rPr>
          <w:rFonts w:eastAsia="Calibri" w:cs="Arial" w:ascii="Arial" w:hAnsi="Arial"/>
          <w:sz w:val="20"/>
          <w:szCs w:val="20"/>
          <w:lang w:eastAsia="en-US"/>
        </w:rPr>
        <w:tab/>
        <w:tab/>
        <w:tab/>
        <w:tab/>
        <w:tab/>
        <w:tab/>
      </w:r>
    </w:p>
    <w:p>
      <w:pPr>
        <w:pStyle w:val="Normal"/>
        <w:spacing w:lineRule="auto" w:line="276"/>
        <w:jc w:val="both"/>
        <w:rPr>
          <w:rFonts w:ascii="Arial" w:hAnsi="Arial" w:eastAsia="Calibri" w:cs="Arial"/>
          <w:sz w:val="20"/>
          <w:szCs w:val="20"/>
          <w:lang w:eastAsia="en-US"/>
        </w:rPr>
      </w:pPr>
      <w:r>
        <w:rPr>
          <w:rFonts w:eastAsia="Calibri" w:cs="Arial" w:ascii="Arial" w:hAnsi="Arial"/>
          <w:sz w:val="20"/>
          <w:szCs w:val="20"/>
          <w:lang w:eastAsia="en-US"/>
        </w:rPr>
      </w:r>
    </w:p>
    <w:p>
      <w:pPr>
        <w:pStyle w:val="Normal"/>
        <w:jc w:val="both"/>
        <w:rPr/>
      </w:pPr>
      <w:r>
        <w:rPr>
          <w:rFonts w:cs="Arial" w:ascii="Arial" w:hAnsi="Arial"/>
          <w:sz w:val="20"/>
          <w:szCs w:val="20"/>
        </w:rPr>
        <w:t xml:space="preserve">Pour la CGT, </w:t>
        <w:tab/>
        <w:tab/>
        <w:tab/>
        <w:tab/>
        <w:t>Pour la CFDT,</w:t>
        <w:tab/>
        <w:tab/>
        <w:tab/>
        <w:t>Pour la CFE CGC,</w:t>
      </w:r>
    </w:p>
    <w:p>
      <w:pPr>
        <w:pStyle w:val="Normal"/>
        <w:spacing w:lineRule="auto" w:line="276"/>
        <w:ind w:hanging="540"/>
        <w:rPr>
          <w:rFonts w:ascii="Arial Narrow" w:hAnsi="Arial Narrow" w:cs="Arial Narrow"/>
          <w:sz w:val="20"/>
          <w:szCs w:val="20"/>
        </w:rPr>
      </w:pPr>
      <w:r>
        <w:rPr>
          <w:rFonts w:eastAsia="Calibri" w:cs="Arial" w:ascii="Arial" w:hAnsi="Arial"/>
          <w:sz w:val="20"/>
          <w:szCs w:val="20"/>
          <w:lang w:eastAsia="en-US"/>
        </w:rPr>
        <w:tab/>
        <w:tab/>
        <w:tab/>
        <w:tab/>
        <w:tab/>
        <w:tab/>
      </w:r>
    </w:p>
    <w:sectPr>
      <w:headerReference w:type="default" r:id="rId3"/>
      <w:type w:val="nextPage"/>
      <w:pgSz w:w="11906" w:h="16838"/>
      <w:pgMar w:left="1417" w:right="1417" w:header="708"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Narrow">
    <w:charset w:val="00"/>
    <w:family w:val="swiss"/>
    <w:pitch w:val="variable"/>
  </w:font>
  <w:font w:name="Courier New">
    <w:charset w:val="00"/>
    <w:family w:val="modern"/>
    <w:pitch w:val="default"/>
  </w:font>
  <w:font w:name="Wingdings">
    <w:charset w:val="02"/>
    <w:family w:val="auto"/>
    <w:pitch w:val="variable"/>
  </w:font>
  <w:font w:name="Estrangelo Edessa">
    <w:charset w:val="01"/>
    <w:family w:val="roman"/>
    <w:pitch w:val="variable"/>
  </w:font>
  <w:font w:name="Segoe UI">
    <w:charset w:val="00"/>
    <w:family w:val="swiss"/>
    <w:pitch w:val="variable"/>
  </w:font>
  <w:font w:name="Liberation Sans">
    <w:altName w:val="Arial"/>
    <w:charset w:val="01"/>
    <w:family w:val="swiss"/>
    <w:pitch w:val="variable"/>
  </w:font>
  <w:font w:name="Tahoma">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GB" w:eastAsia="en-GB"/>
      </w:rPr>
    </w:pPr>
    <w:r>
      <w:rPr>
        <w:lang w:val="en-GB" w:eastAsia="en-GB"/>
      </w:rPr>
      <w:drawing>
        <wp:anchor behindDoc="1" distT="0" distB="0" distL="114935" distR="114935" simplePos="0" locked="0" layoutInCell="1" allowOverlap="1" relativeHeight="4">
          <wp:simplePos x="0" y="0"/>
          <wp:positionH relativeFrom="column">
            <wp:posOffset>-281940</wp:posOffset>
          </wp:positionH>
          <wp:positionV relativeFrom="paragraph">
            <wp:posOffset>-350520</wp:posOffset>
          </wp:positionV>
          <wp:extent cx="2036445" cy="791210"/>
          <wp:effectExtent l="0" t="0" r="0" b="0"/>
          <wp:wrapNone/>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1"/>
                  <a:srcRect l="-8" t="-21" r="-8" b="-21"/>
                  <a:stretch>
                    <a:fillRect/>
                  </a:stretch>
                </pic:blipFill>
                <pic:spPr bwMode="auto">
                  <a:xfrm>
                    <a:off x="0" y="0"/>
                    <a:ext cx="2036445" cy="791210"/>
                  </a:xfrm>
                  <a:prstGeom prst="rect">
                    <a:avLst/>
                  </a:prstGeom>
                </pic:spPr>
              </pic:pic>
            </a:graphicData>
          </a:graphic>
        </wp:anchor>
      </w:drawing>
    </w:r>
  </w:p>
</w:hd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character" w:styleId="WW8Num1z0">
    <w:name w:val="WW8Num1z0"/>
    <w:qFormat/>
    <w:rPr>
      <w:rFonts w:ascii="Arial Narrow" w:hAnsi="Arial Narrow"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Arial Narrow" w:hAnsi="Arial Narrow"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Estrangelo Edessa" w:hAnsi="Estrangelo Edessa" w:eastAsia="Times New Roman" w:cs="Estrangelo Edessa"/>
      <w:sz w:val="16"/>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sz w:val="16"/>
    </w:rPr>
  </w:style>
  <w:style w:type="character" w:styleId="WW8Num4z1">
    <w:name w:val="WW8Num4z1"/>
    <w:qFormat/>
    <w:rPr>
      <w:rFonts w:ascii="Estrangelo Edessa" w:hAnsi="Estrangelo Edessa" w:eastAsia="Times New Roman" w:cs="Estrangelo Edessa"/>
      <w:sz w:val="16"/>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4z4">
    <w:name w:val="WW8Num4z4"/>
    <w:qFormat/>
    <w:rPr>
      <w:rFonts w:ascii="Courier New" w:hAnsi="Courier New" w:cs="Courier New"/>
    </w:rPr>
  </w:style>
  <w:style w:type="character" w:styleId="Policepardfaut">
    <w:name w:val="Police par défaut"/>
    <w:qFormat/>
    <w:rPr/>
  </w:style>
  <w:style w:type="character" w:styleId="Spelle">
    <w:name w:val="spelle"/>
    <w:qFormat/>
    <w:rPr/>
  </w:style>
  <w:style w:type="character" w:styleId="InternetLink">
    <w:name w:val="Internet Link"/>
    <w:rPr>
      <w:color w:val="0563C1"/>
      <w:u w:val="single"/>
    </w:rPr>
  </w:style>
  <w:style w:type="character" w:styleId="TextedebullesCar">
    <w:name w:val="Texte de bulles Car"/>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Explorateurdedocuments">
    <w:name w:val="Explorateur de documents"/>
    <w:basedOn w:val="Normal"/>
    <w:qFormat/>
    <w:pPr>
      <w:shd w:fill="000080" w:val="clear"/>
    </w:pPr>
    <w:rPr>
      <w:rFonts w:ascii="Tahoma" w:hAnsi="Tahoma" w:cs="Tahoma"/>
      <w:sz w:val="20"/>
      <w:szCs w:val="20"/>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extedebulles">
    <w:name w:val="Texte de bulles"/>
    <w:basedOn w:val="Normal"/>
    <w:qFormat/>
    <w:pPr/>
    <w:rPr>
      <w:rFonts w:ascii="Segoe UI" w:hAnsi="Segoe UI" w:cs="Segoe UI"/>
      <w:sz w:val="18"/>
      <w:szCs w:val="1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egifrance.gouv.fr/affichTexte.do?cidTexte=JORFTEXT000036596170&amp;dateTexte=&amp;categorieLien=id"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2022-05-11T15:57:00Z</dcterms:created>
  <dc:creator/>
  <dc:description/>
  <dc:language>en-GB</dc:language>
  <cp:lastModifiedBy/>
  <cp:lastPrinted>2022-03-01T16:02:00Z</cp:lastPrinted>
  <dcterms:modified xsi:type="dcterms:W3CDTF">2022-05-11T15:57:00Z</dcterms:modified>
  <cp:revision>2</cp:revision>
  <dc:subject/>
  <dc:title>NEGOCIATION ANNUELLE SUR LES SALIRE ET SUR L’ORGANISATION DU TEMPS DE TRAVAIL 2010</dc:title>
</cp:coreProperties>
</file>