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2A2EE39A" w14:textId="77777777" w:rsidP="00DD4848" w:rsidR="00763098" w:rsidRDefault="00763098">
      <w:pPr>
        <w:spacing w:line="280" w:lineRule="atLeast"/>
        <w:jc w:val="center"/>
        <w:rPr>
          <w:rFonts w:ascii="Arial Narrow" w:cs="Arial" w:hAnsi="Arial Narrow"/>
          <w:b/>
          <w:sz w:val="21"/>
          <w:szCs w:val="21"/>
        </w:rPr>
      </w:pPr>
    </w:p>
    <w:p w14:paraId="68DC5B0D" w14:textId="4BEEFB63" w:rsidP="00DD4848" w:rsidR="009278FA" w:rsidRDefault="00982470" w:rsidRPr="00F32F96">
      <w:pPr>
        <w:spacing w:line="280" w:lineRule="atLeast"/>
        <w:jc w:val="center"/>
        <w:rPr>
          <w:rFonts w:ascii="Arial Narrow" w:cs="Arial" w:hAnsi="Arial Narrow"/>
          <w:b/>
          <w:sz w:val="21"/>
          <w:szCs w:val="21"/>
        </w:rPr>
      </w:pPr>
      <w:r w:rsidRPr="00F32F96">
        <w:rPr>
          <w:rFonts w:ascii="Arial Narrow" w:cs="Arial" w:hAnsi="Arial Narrow"/>
          <w:b/>
          <w:sz w:val="21"/>
          <w:szCs w:val="21"/>
        </w:rPr>
        <w:t>Protoc</w:t>
      </w:r>
      <w:r w:rsidR="000D5E63" w:rsidRPr="00F32F96">
        <w:rPr>
          <w:rFonts w:ascii="Arial Narrow" w:cs="Arial" w:hAnsi="Arial Narrow"/>
          <w:b/>
          <w:sz w:val="21"/>
          <w:szCs w:val="21"/>
        </w:rPr>
        <w:t>ole d’accord issu de la NAO 202</w:t>
      </w:r>
      <w:r w:rsidR="007D22ED">
        <w:rPr>
          <w:rFonts w:ascii="Arial Narrow" w:cs="Arial" w:hAnsi="Arial Narrow"/>
          <w:b/>
          <w:sz w:val="21"/>
          <w:szCs w:val="21"/>
        </w:rPr>
        <w:t>3</w:t>
      </w:r>
    </w:p>
    <w:p w14:paraId="689DF88F" w14:textId="77777777" w:rsidP="001A5F92" w:rsidR="009278FA" w:rsidRDefault="009278FA" w:rsidRPr="00F32F96">
      <w:pPr>
        <w:jc w:val="both"/>
        <w:rPr>
          <w:rFonts w:ascii="Arial Narrow" w:cs="Arial" w:hAnsi="Arial Narrow"/>
          <w:sz w:val="21"/>
          <w:szCs w:val="21"/>
        </w:rPr>
      </w:pPr>
    </w:p>
    <w:p w14:paraId="0F5562F0" w14:textId="77777777" w:rsidP="00531358" w:rsidR="009278FA" w:rsidRDefault="009278FA" w:rsidRPr="00F32F96">
      <w:pPr>
        <w:spacing w:after="160" w:before="120"/>
        <w:jc w:val="both"/>
        <w:rPr>
          <w:rFonts w:ascii="Arial Narrow" w:cs="Arial" w:hAnsi="Arial Narrow"/>
          <w:sz w:val="21"/>
          <w:szCs w:val="21"/>
        </w:rPr>
      </w:pPr>
      <w:r w:rsidRPr="00F32F96">
        <w:rPr>
          <w:rFonts w:ascii="Arial Narrow" w:cs="Arial" w:hAnsi="Arial Narrow"/>
          <w:sz w:val="21"/>
          <w:szCs w:val="21"/>
        </w:rPr>
        <w:t>Entre les soussignés :</w:t>
      </w:r>
    </w:p>
    <w:p w14:paraId="59C1549F" w14:textId="3716B688" w:rsidP="00531358" w:rsidR="009278FA" w:rsidRDefault="009278FA" w:rsidRPr="00F32F96">
      <w:pPr>
        <w:spacing w:after="160" w:before="120"/>
        <w:jc w:val="both"/>
        <w:rPr>
          <w:rFonts w:ascii="Arial Narrow" w:cs="Arial" w:hAnsi="Arial Narrow"/>
          <w:sz w:val="21"/>
          <w:szCs w:val="21"/>
        </w:rPr>
      </w:pPr>
      <w:r w:rsidRPr="00F32F96">
        <w:rPr>
          <w:rFonts w:ascii="Arial Narrow" w:cs="Arial" w:hAnsi="Arial Narrow"/>
          <w:sz w:val="21"/>
          <w:szCs w:val="21"/>
        </w:rPr>
        <w:t xml:space="preserve">La Société DSM, SAS au capital de 750 422 €, dont le siège social est situé 34 boulevard du midi – 76100 ROUEN, immatriculée au RCS de Rouen sous le numéro B 672 007 234 et représentée par </w:t>
      </w:r>
      <w:r w:rsidR="00F00A9E">
        <w:rPr>
          <w:rFonts w:ascii="Arial Narrow" w:cs="Arial" w:hAnsi="Arial Narrow"/>
          <w:sz w:val="21"/>
          <w:szCs w:val="21"/>
        </w:rPr>
        <w:t>…………</w:t>
      </w:r>
      <w:proofErr w:type="gramStart"/>
      <w:r w:rsidR="00F00A9E">
        <w:rPr>
          <w:rFonts w:ascii="Arial Narrow" w:cs="Arial" w:hAnsi="Arial Narrow"/>
          <w:sz w:val="21"/>
          <w:szCs w:val="21"/>
        </w:rPr>
        <w:t>…….</w:t>
      </w:r>
      <w:proofErr w:type="gramEnd"/>
      <w:r w:rsidRPr="00F32F96">
        <w:rPr>
          <w:rFonts w:ascii="Arial Narrow" w:cs="Arial" w:hAnsi="Arial Narrow"/>
          <w:sz w:val="21"/>
          <w:szCs w:val="21"/>
        </w:rPr>
        <w:t xml:space="preserve">, agissant en qualité de Directeur Général de la société </w:t>
      </w:r>
      <w:r w:rsidR="00F37CF7" w:rsidRPr="00F32F96">
        <w:rPr>
          <w:rFonts w:ascii="Arial Narrow" w:cs="Arial" w:hAnsi="Arial Narrow"/>
          <w:sz w:val="21"/>
          <w:szCs w:val="21"/>
        </w:rPr>
        <w:t>DOCKSEINE</w:t>
      </w:r>
      <w:r w:rsidRPr="00F32F96">
        <w:rPr>
          <w:rFonts w:ascii="Arial Narrow" w:cs="Arial" w:hAnsi="Arial Narrow"/>
          <w:sz w:val="21"/>
          <w:szCs w:val="21"/>
        </w:rPr>
        <w:t xml:space="preserve">, Président, </w:t>
      </w:r>
    </w:p>
    <w:p w14:paraId="4BB11310" w14:textId="77777777" w:rsidP="00F32F96" w:rsidR="009278FA" w:rsidRDefault="009278FA" w:rsidRPr="00F32F96">
      <w:pPr>
        <w:spacing w:before="120"/>
        <w:jc w:val="right"/>
        <w:rPr>
          <w:rFonts w:ascii="Arial Narrow" w:cs="Arial" w:hAnsi="Arial Narrow"/>
          <w:sz w:val="21"/>
          <w:szCs w:val="21"/>
        </w:rPr>
      </w:pPr>
      <w:r w:rsidRPr="00F32F96">
        <w:rPr>
          <w:rFonts w:ascii="Arial Narrow" w:cs="Arial" w:hAnsi="Arial Narrow"/>
          <w:sz w:val="21"/>
          <w:szCs w:val="21"/>
        </w:rPr>
        <w:t>D’une part,</w:t>
      </w:r>
    </w:p>
    <w:p w14:paraId="63351E1C" w14:textId="77777777" w:rsidP="00A20756" w:rsidR="00A94D98" w:rsidRDefault="009278FA" w:rsidRPr="00F32F96">
      <w:pPr>
        <w:spacing w:after="240" w:before="120"/>
        <w:jc w:val="both"/>
        <w:rPr>
          <w:rFonts w:ascii="Arial Narrow" w:cs="Arial" w:hAnsi="Arial Narrow"/>
          <w:sz w:val="21"/>
          <w:szCs w:val="21"/>
        </w:rPr>
      </w:pPr>
      <w:r w:rsidRPr="00F32F96">
        <w:rPr>
          <w:rFonts w:ascii="Arial Narrow" w:cs="Arial" w:hAnsi="Arial Narrow"/>
          <w:sz w:val="21"/>
          <w:szCs w:val="21"/>
        </w:rPr>
        <w:t>Et</w:t>
      </w:r>
    </w:p>
    <w:p w14:paraId="07D0F516" w14:textId="4BD0D851" w:rsidP="00531358" w:rsidR="00982470" w:rsidRDefault="00F00A9E" w:rsidRPr="00F32F96">
      <w:pPr>
        <w:spacing w:after="160" w:before="120"/>
        <w:jc w:val="both"/>
        <w:rPr>
          <w:rFonts w:ascii="Arial Narrow" w:cs="Arial" w:hAnsi="Arial Narrow"/>
          <w:sz w:val="21"/>
          <w:szCs w:val="21"/>
        </w:rPr>
      </w:pPr>
      <w:r>
        <w:rPr>
          <w:rFonts w:ascii="Arial Narrow" w:cs="Arial" w:hAnsi="Arial Narrow"/>
          <w:sz w:val="21"/>
          <w:szCs w:val="21"/>
        </w:rPr>
        <w:t>……………………</w:t>
      </w:r>
      <w:proofErr w:type="gramStart"/>
      <w:r>
        <w:rPr>
          <w:rFonts w:ascii="Arial Narrow" w:cs="Arial" w:hAnsi="Arial Narrow"/>
          <w:sz w:val="21"/>
          <w:szCs w:val="21"/>
        </w:rPr>
        <w:t>…….</w:t>
      </w:r>
      <w:proofErr w:type="gramEnd"/>
      <w:r>
        <w:rPr>
          <w:rFonts w:ascii="Arial Narrow" w:cs="Arial" w:hAnsi="Arial Narrow"/>
          <w:sz w:val="21"/>
          <w:szCs w:val="21"/>
        </w:rPr>
        <w:t>.</w:t>
      </w:r>
      <w:r w:rsidR="00197662" w:rsidRPr="00F32F96">
        <w:rPr>
          <w:rFonts w:ascii="Arial Narrow" w:cs="Arial" w:hAnsi="Arial Narrow"/>
          <w:sz w:val="21"/>
          <w:szCs w:val="21"/>
        </w:rPr>
        <w:t xml:space="preserve">, </w:t>
      </w:r>
      <w:r w:rsidR="00982470" w:rsidRPr="00F32F96">
        <w:rPr>
          <w:rFonts w:ascii="Arial Narrow" w:cs="Arial" w:hAnsi="Arial Narrow"/>
          <w:sz w:val="21"/>
          <w:szCs w:val="21"/>
        </w:rPr>
        <w:t xml:space="preserve">Délégué </w:t>
      </w:r>
      <w:r w:rsidR="00197662" w:rsidRPr="00F32F96">
        <w:rPr>
          <w:rFonts w:ascii="Arial Narrow" w:cs="Arial" w:hAnsi="Arial Narrow"/>
          <w:sz w:val="21"/>
          <w:szCs w:val="21"/>
        </w:rPr>
        <w:t>S</w:t>
      </w:r>
      <w:r w:rsidR="00982470" w:rsidRPr="00F32F96">
        <w:rPr>
          <w:rFonts w:ascii="Arial Narrow" w:cs="Arial" w:hAnsi="Arial Narrow"/>
          <w:sz w:val="21"/>
          <w:szCs w:val="21"/>
        </w:rPr>
        <w:t>yndical CGT</w:t>
      </w:r>
      <w:r w:rsidR="004E79EC" w:rsidRPr="00F32F96">
        <w:rPr>
          <w:rFonts w:ascii="Arial Narrow" w:cs="Arial" w:hAnsi="Arial Narrow"/>
          <w:sz w:val="21"/>
          <w:szCs w:val="21"/>
        </w:rPr>
        <w:t>,</w:t>
      </w:r>
    </w:p>
    <w:p w14:paraId="0412BDC0" w14:textId="77777777" w:rsidP="00531358" w:rsidR="009278FA" w:rsidRDefault="009278FA" w:rsidRPr="00F32F96">
      <w:pPr>
        <w:spacing w:after="160" w:before="120"/>
        <w:jc w:val="right"/>
        <w:rPr>
          <w:rFonts w:ascii="Arial Narrow" w:cs="Arial" w:hAnsi="Arial Narrow"/>
          <w:sz w:val="21"/>
          <w:szCs w:val="21"/>
        </w:rPr>
      </w:pPr>
      <w:r w:rsidRPr="00F32F96">
        <w:rPr>
          <w:rFonts w:ascii="Arial Narrow" w:cs="Arial" w:hAnsi="Arial Narrow"/>
          <w:sz w:val="21"/>
          <w:szCs w:val="21"/>
        </w:rPr>
        <w:t>D’autre part,</w:t>
      </w:r>
    </w:p>
    <w:p w14:paraId="5E06261F" w14:textId="77777777" w:rsidP="00531358" w:rsidR="009278FA" w:rsidRDefault="009278FA" w:rsidRPr="00F32F96">
      <w:pPr>
        <w:spacing w:after="160" w:before="120"/>
        <w:jc w:val="both"/>
        <w:rPr>
          <w:rFonts w:ascii="Arial Narrow" w:cs="Arial" w:hAnsi="Arial Narrow"/>
          <w:b/>
          <w:sz w:val="21"/>
          <w:szCs w:val="21"/>
        </w:rPr>
      </w:pPr>
    </w:p>
    <w:p w14:paraId="698CC215" w14:textId="0373769B" w:rsidP="00DD4848" w:rsidR="00531358" w:rsidRDefault="00531358">
      <w:pPr>
        <w:spacing w:after="120" w:before="120"/>
        <w:jc w:val="both"/>
        <w:rPr>
          <w:rFonts w:ascii="Arial Narrow" w:cs="Arial" w:hAnsi="Arial Narrow"/>
          <w:b/>
          <w:sz w:val="21"/>
          <w:szCs w:val="21"/>
        </w:rPr>
      </w:pPr>
    </w:p>
    <w:p w14:paraId="7F99D78B" w14:textId="77777777" w:rsidP="00DD4848" w:rsidR="00763098" w:rsidRDefault="00763098" w:rsidRPr="00F32F96">
      <w:pPr>
        <w:spacing w:after="120" w:before="120"/>
        <w:jc w:val="both"/>
        <w:rPr>
          <w:rFonts w:ascii="Arial Narrow" w:cs="Arial" w:hAnsi="Arial Narrow"/>
          <w:b/>
          <w:sz w:val="21"/>
          <w:szCs w:val="21"/>
        </w:rPr>
      </w:pPr>
    </w:p>
    <w:p w14:paraId="146B89B4" w14:textId="63DE4E3B" w:rsidP="00DD4848" w:rsidR="00531358" w:rsidRDefault="00531358">
      <w:pPr>
        <w:spacing w:after="120" w:before="120"/>
        <w:jc w:val="both"/>
        <w:rPr>
          <w:rFonts w:ascii="Arial Narrow" w:cs="Arial" w:hAnsi="Arial Narrow"/>
          <w:b/>
          <w:sz w:val="21"/>
          <w:szCs w:val="21"/>
        </w:rPr>
      </w:pPr>
    </w:p>
    <w:p w14:paraId="626C0B9E" w14:textId="77777777" w:rsidP="00DD4848" w:rsidR="00763098" w:rsidRDefault="00763098" w:rsidRPr="00F32F96">
      <w:pPr>
        <w:spacing w:after="120" w:before="120"/>
        <w:jc w:val="both"/>
        <w:rPr>
          <w:rFonts w:ascii="Arial Narrow" w:cs="Arial" w:hAnsi="Arial Narrow"/>
          <w:b/>
          <w:sz w:val="21"/>
          <w:szCs w:val="21"/>
        </w:rPr>
      </w:pPr>
    </w:p>
    <w:p w14:paraId="0807553E" w14:textId="008697E5" w:rsidP="00150B2A" w:rsidR="00F37CF7" w:rsidRDefault="00150B2A" w:rsidRPr="00F32F96">
      <w:pPr>
        <w:spacing w:after="120" w:before="280"/>
        <w:jc w:val="both"/>
        <w:rPr>
          <w:rFonts w:ascii="Arial Narrow" w:cs="Arial" w:hAnsi="Arial Narrow"/>
          <w:b/>
          <w:sz w:val="21"/>
          <w:szCs w:val="21"/>
        </w:rPr>
      </w:pPr>
      <w:r w:rsidRPr="00F32F96">
        <w:rPr>
          <w:rFonts w:ascii="Arial Narrow" w:cs="Arial" w:hAnsi="Arial Narrow"/>
          <w:b/>
          <w:sz w:val="21"/>
          <w:szCs w:val="21"/>
        </w:rPr>
        <w:t>Préambule</w:t>
      </w:r>
    </w:p>
    <w:p w14:paraId="1C5DD3D6" w14:textId="39A8D4F0" w:rsidP="00DD4848" w:rsidR="009278FA" w:rsidRDefault="005B61E5" w:rsidRPr="005B6532">
      <w:pPr>
        <w:spacing w:after="120" w:before="120"/>
        <w:jc w:val="both"/>
        <w:rPr>
          <w:rFonts w:ascii="Arial Narrow" w:cs="Arial" w:hAnsi="Arial Narrow"/>
          <w:spacing w:val="-2"/>
          <w:sz w:val="21"/>
          <w:szCs w:val="21"/>
        </w:rPr>
      </w:pPr>
      <w:r w:rsidRPr="00F32F96">
        <w:rPr>
          <w:rFonts w:ascii="Arial Narrow" w:cs="Arial" w:hAnsi="Arial Narrow"/>
          <w:sz w:val="21"/>
          <w:szCs w:val="21"/>
        </w:rPr>
        <w:t xml:space="preserve">Les parties </w:t>
      </w:r>
      <w:r w:rsidRPr="00F32F96">
        <w:rPr>
          <w:rFonts w:ascii="Arial Narrow" w:cs="Arial" w:hAnsi="Arial Narrow"/>
          <w:spacing w:val="-2"/>
          <w:sz w:val="21"/>
          <w:szCs w:val="21"/>
        </w:rPr>
        <w:t xml:space="preserve">se sont réunies </w:t>
      </w:r>
      <w:r w:rsidR="003D54A1" w:rsidRPr="00F32F96">
        <w:rPr>
          <w:rFonts w:ascii="Arial Narrow" w:cs="Arial" w:hAnsi="Arial Narrow"/>
          <w:spacing w:val="-2"/>
          <w:sz w:val="21"/>
          <w:szCs w:val="21"/>
        </w:rPr>
        <w:t xml:space="preserve">une première fois </w:t>
      </w:r>
      <w:r w:rsidR="000D5E63" w:rsidRPr="00F32F96">
        <w:rPr>
          <w:rFonts w:ascii="Arial Narrow" w:cs="Arial" w:hAnsi="Arial Narrow"/>
          <w:spacing w:val="-2"/>
          <w:sz w:val="21"/>
          <w:szCs w:val="21"/>
        </w:rPr>
        <w:t xml:space="preserve">le </w:t>
      </w:r>
      <w:r w:rsidR="007D22ED">
        <w:rPr>
          <w:rFonts w:ascii="Arial Narrow" w:cs="Arial" w:hAnsi="Arial Narrow"/>
          <w:spacing w:val="-2"/>
          <w:sz w:val="21"/>
          <w:szCs w:val="21"/>
        </w:rPr>
        <w:t>13 octobre 2022</w:t>
      </w:r>
      <w:r w:rsidRPr="00F32F96">
        <w:rPr>
          <w:rFonts w:ascii="Arial Narrow" w:cs="Arial" w:hAnsi="Arial Narrow"/>
          <w:spacing w:val="-2"/>
          <w:sz w:val="21"/>
          <w:szCs w:val="21"/>
        </w:rPr>
        <w:t>, afin d’engager les négociations annuelles prévues par l’’article L</w:t>
      </w:r>
      <w:r w:rsidRPr="005B6532">
        <w:rPr>
          <w:rFonts w:ascii="Arial Narrow" w:cs="Arial" w:hAnsi="Arial Narrow"/>
          <w:spacing w:val="-2"/>
          <w:sz w:val="21"/>
          <w:szCs w:val="21"/>
        </w:rPr>
        <w:t>.2242-</w:t>
      </w:r>
      <w:r w:rsidR="00DD4848" w:rsidRPr="005B6532">
        <w:rPr>
          <w:rFonts w:ascii="Arial Narrow" w:cs="Arial" w:hAnsi="Arial Narrow"/>
          <w:spacing w:val="-2"/>
          <w:sz w:val="21"/>
          <w:szCs w:val="21"/>
        </w:rPr>
        <w:t>1</w:t>
      </w:r>
      <w:r w:rsidRPr="005B6532">
        <w:rPr>
          <w:rFonts w:ascii="Arial Narrow" w:cs="Arial" w:hAnsi="Arial Narrow"/>
          <w:spacing w:val="-2"/>
          <w:sz w:val="21"/>
          <w:szCs w:val="21"/>
        </w:rPr>
        <w:t xml:space="preserve"> du code du travail.</w:t>
      </w:r>
    </w:p>
    <w:p w14:paraId="569487F1" w14:textId="61EA25EB" w:rsidP="00DD4848" w:rsidR="005B61E5" w:rsidRDefault="005B61E5" w:rsidRPr="005B6532">
      <w:pPr>
        <w:spacing w:after="120" w:before="120"/>
        <w:jc w:val="both"/>
        <w:rPr>
          <w:rFonts w:ascii="Arial Narrow" w:cs="Arial" w:hAnsi="Arial Narrow"/>
          <w:sz w:val="21"/>
          <w:szCs w:val="21"/>
        </w:rPr>
      </w:pPr>
      <w:r w:rsidRPr="005B6532">
        <w:rPr>
          <w:rFonts w:ascii="Arial Narrow" w:cs="Arial" w:hAnsi="Arial Narrow"/>
          <w:sz w:val="21"/>
          <w:szCs w:val="21"/>
        </w:rPr>
        <w:t>Elles ont poursuivi leurs échanges lors d</w:t>
      </w:r>
      <w:r w:rsidR="00CD5AB0" w:rsidRPr="005B6532">
        <w:rPr>
          <w:rFonts w:ascii="Arial Narrow" w:cs="Arial" w:hAnsi="Arial Narrow"/>
          <w:sz w:val="21"/>
          <w:szCs w:val="21"/>
        </w:rPr>
        <w:t>’une seconde</w:t>
      </w:r>
      <w:r w:rsidRPr="005B6532">
        <w:rPr>
          <w:rFonts w:ascii="Arial Narrow" w:cs="Arial" w:hAnsi="Arial Narrow"/>
          <w:sz w:val="21"/>
          <w:szCs w:val="21"/>
        </w:rPr>
        <w:t xml:space="preserve"> réunion qui </w:t>
      </w:r>
      <w:r w:rsidR="00CD5AB0" w:rsidRPr="005B6532">
        <w:rPr>
          <w:rFonts w:ascii="Arial Narrow" w:cs="Arial" w:hAnsi="Arial Narrow"/>
          <w:sz w:val="21"/>
          <w:szCs w:val="21"/>
        </w:rPr>
        <w:t>s’est tenue le</w:t>
      </w:r>
      <w:r w:rsidR="003647D1" w:rsidRPr="005B6532">
        <w:rPr>
          <w:rFonts w:ascii="Arial Narrow" w:cs="Arial" w:hAnsi="Arial Narrow"/>
          <w:sz w:val="21"/>
          <w:szCs w:val="21"/>
        </w:rPr>
        <w:t xml:space="preserve"> </w:t>
      </w:r>
      <w:r w:rsidR="007D22ED" w:rsidRPr="005B6532">
        <w:rPr>
          <w:rFonts w:ascii="Arial Narrow" w:cs="Arial" w:hAnsi="Arial Narrow"/>
          <w:sz w:val="21"/>
          <w:szCs w:val="21"/>
        </w:rPr>
        <w:t>17 octobre</w:t>
      </w:r>
      <w:r w:rsidR="00CD5AB0" w:rsidRPr="005B6532">
        <w:rPr>
          <w:rFonts w:ascii="Arial Narrow" w:cs="Arial" w:hAnsi="Arial Narrow"/>
          <w:sz w:val="21"/>
          <w:szCs w:val="21"/>
        </w:rPr>
        <w:t xml:space="preserve"> 202</w:t>
      </w:r>
      <w:r w:rsidR="00B154A1" w:rsidRPr="005B6532">
        <w:rPr>
          <w:rFonts w:ascii="Arial Narrow" w:cs="Arial" w:hAnsi="Arial Narrow"/>
          <w:sz w:val="21"/>
          <w:szCs w:val="21"/>
        </w:rPr>
        <w:t>2</w:t>
      </w:r>
      <w:r w:rsidRPr="005B6532">
        <w:rPr>
          <w:rFonts w:ascii="Arial Narrow" w:cs="Arial" w:hAnsi="Arial Narrow"/>
          <w:sz w:val="21"/>
          <w:szCs w:val="21"/>
        </w:rPr>
        <w:t>.</w:t>
      </w:r>
    </w:p>
    <w:p w14:paraId="1B30022B" w14:textId="060EBF1F" w:rsidP="00763098" w:rsidR="00033E0F" w:rsidRDefault="00340689" w:rsidRPr="005B6532">
      <w:pPr>
        <w:spacing w:after="360" w:before="120"/>
        <w:jc w:val="both"/>
        <w:rPr>
          <w:rFonts w:ascii="Arial Narrow" w:cs="Arial" w:hAnsi="Arial Narrow"/>
          <w:sz w:val="21"/>
          <w:szCs w:val="21"/>
        </w:rPr>
      </w:pPr>
      <w:r w:rsidRPr="005B6532">
        <w:rPr>
          <w:rFonts w:ascii="Arial Narrow" w:cs="Arial" w:hAnsi="Arial Narrow"/>
          <w:sz w:val="21"/>
          <w:szCs w:val="21"/>
        </w:rPr>
        <w:t>Compte tenu de la conjoncture national</w:t>
      </w:r>
      <w:r w:rsidR="007D22ED" w:rsidRPr="005B6532">
        <w:rPr>
          <w:rFonts w:ascii="Arial Narrow" w:cs="Arial" w:hAnsi="Arial Narrow"/>
          <w:sz w:val="21"/>
          <w:szCs w:val="21"/>
        </w:rPr>
        <w:t>e et dans un contexte inflationniste particulièrement important</w:t>
      </w:r>
      <w:r w:rsidRPr="005B6532">
        <w:rPr>
          <w:rFonts w:ascii="Arial Narrow" w:cs="Arial" w:hAnsi="Arial Narrow"/>
          <w:sz w:val="21"/>
          <w:szCs w:val="21"/>
        </w:rPr>
        <w:t xml:space="preserve">, </w:t>
      </w:r>
      <w:r w:rsidR="007D22ED" w:rsidRPr="005B6532">
        <w:rPr>
          <w:rFonts w:ascii="Arial Narrow" w:cs="Arial" w:hAnsi="Arial Narrow"/>
          <w:sz w:val="21"/>
          <w:szCs w:val="21"/>
        </w:rPr>
        <w:t xml:space="preserve">tout en gardant à l’esprit la situation encore fragile de la société, </w:t>
      </w:r>
      <w:r w:rsidR="00033E0F" w:rsidRPr="005B6532">
        <w:rPr>
          <w:rFonts w:ascii="Arial Narrow" w:cs="Arial" w:hAnsi="Arial Narrow"/>
          <w:sz w:val="21"/>
          <w:szCs w:val="21"/>
        </w:rPr>
        <w:t xml:space="preserve">les parties </w:t>
      </w:r>
      <w:r w:rsidR="00A94D98" w:rsidRPr="005B6532">
        <w:rPr>
          <w:rFonts w:ascii="Arial Narrow" w:cs="Arial" w:hAnsi="Arial Narrow"/>
          <w:sz w:val="21"/>
          <w:szCs w:val="21"/>
        </w:rPr>
        <w:t>se sont mis</w:t>
      </w:r>
      <w:r w:rsidR="00DD4848" w:rsidRPr="005B6532">
        <w:rPr>
          <w:rFonts w:ascii="Arial Narrow" w:cs="Arial" w:hAnsi="Arial Narrow"/>
          <w:sz w:val="21"/>
          <w:szCs w:val="21"/>
        </w:rPr>
        <w:t>es</w:t>
      </w:r>
      <w:r w:rsidR="00A94D98" w:rsidRPr="005B6532">
        <w:rPr>
          <w:rFonts w:ascii="Arial Narrow" w:cs="Arial" w:hAnsi="Arial Narrow"/>
          <w:sz w:val="21"/>
          <w:szCs w:val="21"/>
        </w:rPr>
        <w:t xml:space="preserve"> d’accord sur</w:t>
      </w:r>
      <w:r w:rsidR="00033E0F" w:rsidRPr="005B6532">
        <w:rPr>
          <w:rFonts w:ascii="Arial Narrow" w:cs="Arial" w:hAnsi="Arial Narrow"/>
          <w:sz w:val="21"/>
          <w:szCs w:val="21"/>
        </w:rPr>
        <w:t xml:space="preserve"> les dispositions suivantes : </w:t>
      </w:r>
    </w:p>
    <w:p w14:paraId="522A439F" w14:textId="4692B8F3" w:rsidP="00763098" w:rsidR="0011428C" w:rsidRDefault="00CD5AB0" w:rsidRPr="005B6532">
      <w:pPr>
        <w:spacing w:after="120" w:before="280"/>
        <w:jc w:val="both"/>
        <w:rPr>
          <w:rFonts w:ascii="Arial Narrow" w:cs="Arial" w:hAnsi="Arial Narrow"/>
          <w:b/>
          <w:sz w:val="21"/>
          <w:szCs w:val="21"/>
        </w:rPr>
      </w:pPr>
      <w:bookmarkStart w:id="0" w:name="_Hlk97222706"/>
      <w:r w:rsidRPr="005B6532">
        <w:rPr>
          <w:rFonts w:ascii="Arial Narrow" w:cs="Arial" w:hAnsi="Arial Narrow"/>
          <w:b/>
          <w:sz w:val="21"/>
          <w:szCs w:val="21"/>
        </w:rPr>
        <w:t>1</w:t>
      </w:r>
      <w:r w:rsidR="0011428C" w:rsidRPr="005B6532">
        <w:rPr>
          <w:rFonts w:ascii="Arial Narrow" w:cs="Arial" w:hAnsi="Arial Narrow"/>
          <w:b/>
          <w:sz w:val="21"/>
          <w:szCs w:val="21"/>
        </w:rPr>
        <w:t xml:space="preserve"> – </w:t>
      </w:r>
      <w:r w:rsidR="009E302A" w:rsidRPr="005B6532">
        <w:rPr>
          <w:rFonts w:ascii="Arial Narrow" w:cs="Arial" w:hAnsi="Arial Narrow"/>
          <w:b/>
          <w:sz w:val="21"/>
          <w:szCs w:val="21"/>
        </w:rPr>
        <w:t>Revalorisation</w:t>
      </w:r>
      <w:r w:rsidR="007D22ED" w:rsidRPr="005B6532">
        <w:rPr>
          <w:rFonts w:ascii="Arial Narrow" w:cs="Arial" w:hAnsi="Arial Narrow"/>
          <w:b/>
          <w:sz w:val="21"/>
          <w:szCs w:val="21"/>
        </w:rPr>
        <w:t xml:space="preserve"> de la</w:t>
      </w:r>
      <w:r w:rsidR="009E302A" w:rsidRPr="005B6532">
        <w:rPr>
          <w:rFonts w:ascii="Arial Narrow" w:cs="Arial" w:hAnsi="Arial Narrow"/>
          <w:b/>
          <w:sz w:val="21"/>
          <w:szCs w:val="21"/>
        </w:rPr>
        <w:t xml:space="preserve"> grille interne des salaires des personnels mensualisés</w:t>
      </w:r>
    </w:p>
    <w:bookmarkEnd w:id="0"/>
    <w:p w14:paraId="3CACAC97" w14:textId="218FFAB3" w:rsidP="001A5F92" w:rsidR="00807594" w:rsidRDefault="00396B78" w:rsidRPr="005B6532">
      <w:pPr>
        <w:spacing w:after="100" w:before="100"/>
        <w:jc w:val="both"/>
        <w:rPr>
          <w:rFonts w:ascii="Arial Narrow" w:cs="Arial" w:hAnsi="Arial Narrow"/>
          <w:sz w:val="21"/>
          <w:szCs w:val="21"/>
        </w:rPr>
      </w:pPr>
      <w:r w:rsidRPr="005B6532">
        <w:rPr>
          <w:rFonts w:ascii="Arial Narrow" w:cs="Arial" w:hAnsi="Arial Narrow"/>
          <w:sz w:val="21"/>
          <w:szCs w:val="21"/>
        </w:rPr>
        <w:t>Pour cette NAO, l</w:t>
      </w:r>
      <w:r w:rsidR="00CD5AB0" w:rsidRPr="005B6532">
        <w:rPr>
          <w:rFonts w:ascii="Arial Narrow" w:cs="Arial" w:hAnsi="Arial Narrow"/>
          <w:sz w:val="21"/>
          <w:szCs w:val="21"/>
        </w:rPr>
        <w:t xml:space="preserve">es parties s’accordent </w:t>
      </w:r>
      <w:r w:rsidR="009E302A" w:rsidRPr="005B6532">
        <w:rPr>
          <w:rFonts w:ascii="Arial Narrow" w:cs="Arial" w:hAnsi="Arial Narrow"/>
          <w:sz w:val="21"/>
          <w:szCs w:val="21"/>
        </w:rPr>
        <w:t>pour allouer une enveloppe globale représentant 6 % de</w:t>
      </w:r>
      <w:r w:rsidR="00763098" w:rsidRPr="005B6532">
        <w:rPr>
          <w:rFonts w:ascii="Arial Narrow" w:cs="Arial" w:hAnsi="Arial Narrow"/>
          <w:sz w:val="21"/>
          <w:szCs w:val="21"/>
        </w:rPr>
        <w:t>s</w:t>
      </w:r>
      <w:r w:rsidR="009E302A" w:rsidRPr="005B6532">
        <w:rPr>
          <w:rFonts w:ascii="Arial Narrow" w:cs="Arial" w:hAnsi="Arial Narrow"/>
          <w:sz w:val="21"/>
          <w:szCs w:val="21"/>
        </w:rPr>
        <w:t xml:space="preserve"> SBMH** </w:t>
      </w:r>
      <w:r w:rsidR="00763098" w:rsidRPr="005B6532">
        <w:rPr>
          <w:rFonts w:ascii="Arial Narrow" w:cs="Arial" w:hAnsi="Arial Narrow"/>
          <w:sz w:val="21"/>
          <w:szCs w:val="21"/>
        </w:rPr>
        <w:t xml:space="preserve">de l’ensemble des </w:t>
      </w:r>
      <w:r w:rsidR="009E302A" w:rsidRPr="005B6532">
        <w:rPr>
          <w:rFonts w:ascii="Arial Narrow" w:cs="Arial" w:hAnsi="Arial Narrow"/>
          <w:sz w:val="21"/>
          <w:szCs w:val="21"/>
        </w:rPr>
        <w:t xml:space="preserve">personnels mensualisés de DSM </w:t>
      </w:r>
      <w:r w:rsidR="00807594" w:rsidRPr="005B6532">
        <w:rPr>
          <w:rFonts w:ascii="Arial Narrow" w:cs="Arial" w:hAnsi="Arial Narrow"/>
          <w:sz w:val="21"/>
          <w:szCs w:val="21"/>
        </w:rPr>
        <w:t xml:space="preserve">à la revalorisation </w:t>
      </w:r>
      <w:r w:rsidR="006C7AE2" w:rsidRPr="005B6532">
        <w:rPr>
          <w:rFonts w:ascii="Arial Narrow" w:cs="Arial" w:hAnsi="Arial Narrow"/>
          <w:sz w:val="21"/>
          <w:szCs w:val="21"/>
        </w:rPr>
        <w:t xml:space="preserve">des salaires </w:t>
      </w:r>
      <w:r w:rsidR="00763098" w:rsidRPr="005B6532">
        <w:rPr>
          <w:rFonts w:ascii="Arial Narrow" w:cs="Arial" w:hAnsi="Arial Narrow"/>
          <w:sz w:val="21"/>
          <w:szCs w:val="21"/>
        </w:rPr>
        <w:t xml:space="preserve">de ces derniers </w:t>
      </w:r>
      <w:r w:rsidR="009E302A" w:rsidRPr="005B6532">
        <w:rPr>
          <w:rFonts w:ascii="Arial Narrow" w:cs="Arial" w:hAnsi="Arial Narrow"/>
          <w:i/>
          <w:iCs/>
          <w:sz w:val="21"/>
          <w:szCs w:val="21"/>
        </w:rPr>
        <w:t>(**</w:t>
      </w:r>
      <w:r w:rsidR="006C7AE2" w:rsidRPr="005B6532">
        <w:rPr>
          <w:rFonts w:ascii="Arial Narrow" w:cs="Arial" w:hAnsi="Arial Narrow"/>
          <w:i/>
          <w:iCs/>
          <w:sz w:val="21"/>
          <w:szCs w:val="21"/>
        </w:rPr>
        <w:t xml:space="preserve">SBMH DSM = </w:t>
      </w:r>
      <w:r w:rsidR="009E302A" w:rsidRPr="005B6532">
        <w:rPr>
          <w:rFonts w:ascii="Arial Narrow" w:cs="Arial" w:hAnsi="Arial Narrow"/>
          <w:i/>
          <w:iCs/>
          <w:sz w:val="21"/>
          <w:szCs w:val="21"/>
        </w:rPr>
        <w:t>salaire de base + ancienneté de la grille interne à DSM</w:t>
      </w:r>
      <w:r w:rsidR="009E302A" w:rsidRPr="005B6532">
        <w:rPr>
          <w:rFonts w:ascii="Arial Narrow" w:cs="Arial" w:hAnsi="Arial Narrow"/>
          <w:sz w:val="21"/>
          <w:szCs w:val="21"/>
        </w:rPr>
        <w:t>)</w:t>
      </w:r>
      <w:r w:rsidR="00807594" w:rsidRPr="005B6532">
        <w:rPr>
          <w:rFonts w:ascii="Arial Narrow" w:cs="Arial" w:hAnsi="Arial Narrow"/>
          <w:sz w:val="21"/>
          <w:szCs w:val="21"/>
        </w:rPr>
        <w:t>.</w:t>
      </w:r>
    </w:p>
    <w:p w14:paraId="7DF19DF4" w14:textId="0816618D" w:rsidP="001A5F92" w:rsidR="00807594" w:rsidRDefault="00396B78" w:rsidRPr="005B6532">
      <w:pPr>
        <w:spacing w:after="100" w:before="100"/>
        <w:jc w:val="both"/>
        <w:rPr>
          <w:rFonts w:ascii="Arial Narrow" w:cs="Arial" w:hAnsi="Arial Narrow"/>
          <w:sz w:val="21"/>
          <w:szCs w:val="21"/>
        </w:rPr>
      </w:pPr>
      <w:r w:rsidRPr="005B6532">
        <w:rPr>
          <w:rFonts w:ascii="Arial Narrow" w:cs="Arial" w:hAnsi="Arial Narrow"/>
          <w:sz w:val="21"/>
          <w:szCs w:val="21"/>
        </w:rPr>
        <w:t>Pour cette NAO également, i</w:t>
      </w:r>
      <w:r w:rsidR="00763098" w:rsidRPr="005B6532">
        <w:rPr>
          <w:rFonts w:ascii="Arial Narrow" w:cs="Arial" w:hAnsi="Arial Narrow"/>
          <w:sz w:val="21"/>
          <w:szCs w:val="21"/>
        </w:rPr>
        <w:t>l est ensuite décidé de répartir uniformément c</w:t>
      </w:r>
      <w:r w:rsidR="00807594" w:rsidRPr="005B6532">
        <w:rPr>
          <w:rFonts w:ascii="Arial Narrow" w:cs="Arial" w:hAnsi="Arial Narrow"/>
          <w:sz w:val="21"/>
          <w:szCs w:val="21"/>
        </w:rPr>
        <w:t>ette enveloppe sur la rémunération de base hors ancienneté de chacun</w:t>
      </w:r>
      <w:r w:rsidR="009E302A" w:rsidRPr="005B6532">
        <w:rPr>
          <w:rFonts w:ascii="Arial Narrow" w:cs="Arial" w:hAnsi="Arial Narrow"/>
          <w:sz w:val="21"/>
          <w:szCs w:val="21"/>
        </w:rPr>
        <w:t xml:space="preserve"> </w:t>
      </w:r>
      <w:r w:rsidR="00807594" w:rsidRPr="005B6532">
        <w:rPr>
          <w:rFonts w:ascii="Arial Narrow" w:cs="Arial" w:hAnsi="Arial Narrow"/>
          <w:sz w:val="21"/>
          <w:szCs w:val="21"/>
        </w:rPr>
        <w:t>des personnels mensualisés</w:t>
      </w:r>
      <w:r w:rsidR="005268CB" w:rsidRPr="005B6532">
        <w:rPr>
          <w:rFonts w:ascii="Arial Narrow" w:cs="Arial" w:hAnsi="Arial Narrow"/>
          <w:sz w:val="21"/>
          <w:szCs w:val="21"/>
        </w:rPr>
        <w:t>, au prorata de leur durée contractuelle de travail</w:t>
      </w:r>
      <w:r w:rsidR="00807594" w:rsidRPr="005B6532">
        <w:rPr>
          <w:rFonts w:ascii="Arial Narrow" w:cs="Arial" w:hAnsi="Arial Narrow"/>
          <w:sz w:val="21"/>
          <w:szCs w:val="21"/>
        </w:rPr>
        <w:t xml:space="preserve">. </w:t>
      </w:r>
    </w:p>
    <w:p w14:paraId="0853ACD8" w14:textId="77777777" w:rsidP="001A5F92" w:rsidR="005268CB" w:rsidRDefault="00807594" w:rsidRPr="005B6532">
      <w:pPr>
        <w:spacing w:after="100" w:before="100"/>
        <w:jc w:val="both"/>
        <w:rPr>
          <w:rFonts w:ascii="Arial Narrow" w:cs="Arial" w:hAnsi="Arial Narrow"/>
          <w:sz w:val="21"/>
          <w:szCs w:val="21"/>
        </w:rPr>
      </w:pPr>
      <w:r w:rsidRPr="005B6532">
        <w:rPr>
          <w:rFonts w:ascii="Arial Narrow" w:cs="Arial" w:hAnsi="Arial Narrow"/>
          <w:sz w:val="21"/>
          <w:szCs w:val="21"/>
        </w:rPr>
        <w:t xml:space="preserve">Ceci représente </w:t>
      </w:r>
      <w:r w:rsidR="005268CB" w:rsidRPr="005B6532">
        <w:rPr>
          <w:rFonts w:ascii="Arial Narrow" w:cs="Arial" w:hAnsi="Arial Narrow"/>
          <w:sz w:val="21"/>
          <w:szCs w:val="21"/>
        </w:rPr>
        <w:t>pour un salarié à temps plein une augmentation individuelle de son salaire mensuel brut de base de 198,02 €, soit 2574,26 € bruts par an avec le 13</w:t>
      </w:r>
      <w:r w:rsidR="005268CB" w:rsidRPr="005B6532">
        <w:rPr>
          <w:rFonts w:ascii="Arial Narrow" w:cs="Arial" w:hAnsi="Arial Narrow"/>
          <w:sz w:val="21"/>
          <w:szCs w:val="21"/>
          <w:vertAlign w:val="superscript"/>
        </w:rPr>
        <w:t>ème</w:t>
      </w:r>
      <w:r w:rsidR="005268CB" w:rsidRPr="005B6532">
        <w:rPr>
          <w:rFonts w:ascii="Arial Narrow" w:cs="Arial" w:hAnsi="Arial Narrow"/>
          <w:sz w:val="21"/>
          <w:szCs w:val="21"/>
        </w:rPr>
        <w:t xml:space="preserve"> mois.</w:t>
      </w:r>
    </w:p>
    <w:p w14:paraId="4FD65EA2" w14:textId="77777777" w:rsidP="001A5F92" w:rsidR="005268CB" w:rsidRDefault="005268CB" w:rsidRPr="005B6532">
      <w:pPr>
        <w:spacing w:after="100" w:before="100"/>
        <w:jc w:val="both"/>
        <w:rPr>
          <w:rFonts w:ascii="Arial Narrow" w:cs="Arial" w:hAnsi="Arial Narrow"/>
          <w:sz w:val="21"/>
          <w:szCs w:val="21"/>
        </w:rPr>
      </w:pPr>
      <w:r w:rsidRPr="005B6532">
        <w:rPr>
          <w:rFonts w:ascii="Arial Narrow" w:cs="Arial" w:hAnsi="Arial Narrow"/>
          <w:sz w:val="21"/>
          <w:szCs w:val="21"/>
        </w:rPr>
        <w:t>La nouvelle grille ainsi redéfinie est jointe en annexe au présent accord.</w:t>
      </w:r>
    </w:p>
    <w:p w14:paraId="482C7F77" w14:textId="6423414E" w:rsidP="00763098" w:rsidR="005268CB" w:rsidRDefault="005268CB" w:rsidRPr="005B6532">
      <w:pPr>
        <w:spacing w:before="100"/>
        <w:jc w:val="both"/>
        <w:rPr>
          <w:rFonts w:ascii="Arial Narrow" w:cs="Arial" w:hAnsi="Arial Narrow"/>
          <w:sz w:val="21"/>
          <w:szCs w:val="21"/>
        </w:rPr>
      </w:pPr>
      <w:r w:rsidRPr="005B6532">
        <w:rPr>
          <w:rFonts w:ascii="Arial Narrow" w:cs="Arial" w:hAnsi="Arial Narrow"/>
          <w:sz w:val="21"/>
          <w:szCs w:val="21"/>
        </w:rPr>
        <w:t>Elle est applicable dès le 1</w:t>
      </w:r>
      <w:r w:rsidRPr="005B6532">
        <w:rPr>
          <w:rFonts w:ascii="Arial Narrow" w:cs="Arial" w:hAnsi="Arial Narrow"/>
          <w:sz w:val="21"/>
          <w:szCs w:val="21"/>
          <w:vertAlign w:val="superscript"/>
        </w:rPr>
        <w:t>er</w:t>
      </w:r>
      <w:r w:rsidRPr="005B6532">
        <w:rPr>
          <w:rFonts w:ascii="Arial Narrow" w:cs="Arial" w:hAnsi="Arial Narrow"/>
          <w:sz w:val="21"/>
          <w:szCs w:val="21"/>
        </w:rPr>
        <w:t xml:space="preserve"> novembre 2022, afin de se caler </w:t>
      </w:r>
      <w:r w:rsidR="00763098" w:rsidRPr="005B6532">
        <w:rPr>
          <w:rFonts w:ascii="Arial Narrow" w:cs="Arial" w:hAnsi="Arial Narrow"/>
          <w:sz w:val="21"/>
          <w:szCs w:val="21"/>
        </w:rPr>
        <w:t>sur</w:t>
      </w:r>
      <w:r w:rsidRPr="005B6532">
        <w:rPr>
          <w:rFonts w:ascii="Arial Narrow" w:cs="Arial" w:hAnsi="Arial Narrow"/>
          <w:sz w:val="21"/>
          <w:szCs w:val="21"/>
        </w:rPr>
        <w:t xml:space="preserve"> la </w:t>
      </w:r>
      <w:r w:rsidR="00763098" w:rsidRPr="005B6532">
        <w:rPr>
          <w:rFonts w:ascii="Arial Narrow" w:cs="Arial" w:hAnsi="Arial Narrow"/>
          <w:sz w:val="21"/>
          <w:szCs w:val="21"/>
        </w:rPr>
        <w:t xml:space="preserve">date d’effet de la </w:t>
      </w:r>
      <w:r w:rsidRPr="005B6532">
        <w:rPr>
          <w:rFonts w:ascii="Arial Narrow" w:cs="Arial" w:hAnsi="Arial Narrow"/>
          <w:sz w:val="21"/>
          <w:szCs w:val="21"/>
        </w:rPr>
        <w:t>NAO nationale de branche.</w:t>
      </w:r>
    </w:p>
    <w:p w14:paraId="268D3A8E" w14:textId="2B94C1DF" w:rsidP="00763098" w:rsidR="005268CB" w:rsidRDefault="005268CB" w:rsidRPr="005B6532">
      <w:pPr>
        <w:spacing w:after="120" w:before="280"/>
        <w:jc w:val="both"/>
        <w:rPr>
          <w:rFonts w:ascii="Arial Narrow" w:cs="Arial" w:hAnsi="Arial Narrow"/>
          <w:b/>
          <w:sz w:val="21"/>
          <w:szCs w:val="21"/>
        </w:rPr>
      </w:pPr>
      <w:r w:rsidRPr="005B6532">
        <w:rPr>
          <w:rFonts w:ascii="Arial Narrow" w:cs="Arial" w:hAnsi="Arial Narrow"/>
          <w:b/>
          <w:sz w:val="21"/>
          <w:szCs w:val="21"/>
        </w:rPr>
        <w:t>2 – Revalorisation du taux horaire brut des ODO – Ouvriers Dockers Occasionnels</w:t>
      </w:r>
    </w:p>
    <w:p w14:paraId="130C2A23" w14:textId="42E4D933" w:rsidP="005268CB" w:rsidR="005268CB" w:rsidRDefault="00396B78" w:rsidRPr="005B6532">
      <w:pPr>
        <w:spacing w:after="100" w:before="100"/>
        <w:jc w:val="both"/>
        <w:rPr>
          <w:rFonts w:ascii="Arial Narrow" w:cs="Arial" w:hAnsi="Arial Narrow"/>
          <w:sz w:val="21"/>
          <w:szCs w:val="21"/>
        </w:rPr>
      </w:pPr>
      <w:r w:rsidRPr="005B6532">
        <w:rPr>
          <w:rFonts w:ascii="Arial Narrow" w:cs="Arial" w:hAnsi="Arial Narrow"/>
          <w:sz w:val="21"/>
          <w:szCs w:val="21"/>
        </w:rPr>
        <w:t>Pour cette NAO, l</w:t>
      </w:r>
      <w:r w:rsidR="005268CB" w:rsidRPr="005B6532">
        <w:rPr>
          <w:rFonts w:ascii="Arial Narrow" w:cs="Arial" w:hAnsi="Arial Narrow"/>
          <w:sz w:val="21"/>
          <w:szCs w:val="21"/>
        </w:rPr>
        <w:t>es taux horaires bruts des ODO et des ODO prioritaires sont revalorisés de 6 %</w:t>
      </w:r>
      <w:r w:rsidR="00763098" w:rsidRPr="005B6532">
        <w:rPr>
          <w:rFonts w:ascii="Arial Narrow" w:cs="Arial" w:hAnsi="Arial Narrow"/>
          <w:sz w:val="21"/>
          <w:szCs w:val="21"/>
        </w:rPr>
        <w:t> :</w:t>
      </w:r>
    </w:p>
    <w:p w14:paraId="15E799B9" w14:textId="6F52B91B" w:rsidP="00763098" w:rsidR="00763098" w:rsidRDefault="00763098" w:rsidRPr="005B6532">
      <w:pPr>
        <w:pStyle w:val="Paragraphedeliste"/>
        <w:numPr>
          <w:ilvl w:val="0"/>
          <w:numId w:val="17"/>
        </w:numPr>
        <w:spacing w:after="100" w:before="100"/>
        <w:jc w:val="both"/>
        <w:rPr>
          <w:rFonts w:ascii="Arial Narrow" w:cs="Arial" w:hAnsi="Arial Narrow"/>
          <w:sz w:val="21"/>
          <w:szCs w:val="21"/>
        </w:rPr>
      </w:pPr>
      <w:r w:rsidRPr="005B6532">
        <w:rPr>
          <w:rFonts w:ascii="Arial Narrow" w:cs="Arial" w:hAnsi="Arial Narrow"/>
          <w:sz w:val="21"/>
          <w:szCs w:val="21"/>
        </w:rPr>
        <w:t>Taux horaire brut ODO au 11/2022 : 13.26 €</w:t>
      </w:r>
    </w:p>
    <w:p w14:paraId="71010799" w14:textId="680AAED2" w:rsidP="00763098" w:rsidR="00763098" w:rsidRDefault="00763098" w:rsidRPr="005B6532">
      <w:pPr>
        <w:pStyle w:val="Paragraphedeliste"/>
        <w:numPr>
          <w:ilvl w:val="0"/>
          <w:numId w:val="17"/>
        </w:numPr>
        <w:spacing w:after="0" w:before="100"/>
        <w:ind w:hanging="357" w:left="714"/>
        <w:jc w:val="both"/>
        <w:rPr>
          <w:rFonts w:ascii="Arial Narrow" w:cs="Arial" w:hAnsi="Arial Narrow"/>
          <w:sz w:val="21"/>
          <w:szCs w:val="21"/>
        </w:rPr>
      </w:pPr>
      <w:r w:rsidRPr="005B6532">
        <w:rPr>
          <w:rFonts w:ascii="Arial Narrow" w:cs="Arial" w:hAnsi="Arial Narrow"/>
          <w:sz w:val="21"/>
          <w:szCs w:val="21"/>
        </w:rPr>
        <w:t>Taux horaire brut ODO prioritaires au 11/2022 : 13.58 €</w:t>
      </w:r>
    </w:p>
    <w:p w14:paraId="56D0AE21" w14:textId="77179299" w:rsidP="00763098" w:rsidR="00212122" w:rsidRDefault="00212122" w:rsidRPr="005B6532">
      <w:pPr>
        <w:spacing w:after="120" w:before="280"/>
        <w:jc w:val="both"/>
        <w:rPr>
          <w:rFonts w:ascii="Arial Narrow" w:cs="Arial" w:hAnsi="Arial Narrow"/>
          <w:b/>
          <w:sz w:val="21"/>
          <w:szCs w:val="21"/>
        </w:rPr>
      </w:pPr>
      <w:r w:rsidRPr="005B6532">
        <w:rPr>
          <w:rFonts w:ascii="Arial Narrow" w:cs="Arial" w:hAnsi="Arial Narrow"/>
          <w:b/>
          <w:sz w:val="21"/>
          <w:szCs w:val="21"/>
        </w:rPr>
        <w:t>3 – Tickets restaurant et paniers</w:t>
      </w:r>
    </w:p>
    <w:p w14:paraId="108FACB5" w14:textId="77777777" w:rsidP="00212122" w:rsidR="00212122" w:rsidRDefault="00212122">
      <w:pPr>
        <w:spacing w:after="100" w:before="100"/>
        <w:jc w:val="both"/>
        <w:rPr>
          <w:rFonts w:ascii="Arial Narrow" w:cs="Arial" w:hAnsi="Arial Narrow"/>
          <w:sz w:val="21"/>
          <w:szCs w:val="21"/>
        </w:rPr>
      </w:pPr>
      <w:r w:rsidRPr="005B6532">
        <w:rPr>
          <w:rFonts w:ascii="Arial Narrow" w:cs="Arial" w:hAnsi="Arial Narrow"/>
          <w:sz w:val="21"/>
          <w:szCs w:val="21"/>
        </w:rPr>
        <w:t>Il est rappelé que depuis la paie de septembre</w:t>
      </w:r>
      <w:r>
        <w:rPr>
          <w:rFonts w:ascii="Arial Narrow" w:cs="Arial" w:hAnsi="Arial Narrow"/>
          <w:sz w:val="21"/>
          <w:szCs w:val="21"/>
        </w:rPr>
        <w:t xml:space="preserve"> 2023 : </w:t>
      </w:r>
    </w:p>
    <w:p w14:paraId="74AA756E" w14:textId="356F9C2A" w:rsidP="00212122" w:rsidR="00212122" w:rsidRDefault="002F12D1">
      <w:pPr>
        <w:pStyle w:val="Paragraphedeliste"/>
        <w:numPr>
          <w:ilvl w:val="0"/>
          <w:numId w:val="16"/>
        </w:numPr>
        <w:spacing w:after="100" w:before="100"/>
        <w:jc w:val="both"/>
        <w:rPr>
          <w:rFonts w:ascii="Arial Narrow" w:cs="Arial" w:hAnsi="Arial Narrow"/>
          <w:sz w:val="21"/>
          <w:szCs w:val="21"/>
        </w:rPr>
      </w:pPr>
      <w:r w:rsidRPr="00212122">
        <w:rPr>
          <w:rFonts w:ascii="Arial Narrow" w:cs="Arial" w:hAnsi="Arial Narrow"/>
          <w:sz w:val="21"/>
          <w:szCs w:val="21"/>
        </w:rPr>
        <w:t>La</w:t>
      </w:r>
      <w:r w:rsidR="00212122" w:rsidRPr="00212122">
        <w:rPr>
          <w:rFonts w:ascii="Arial Narrow" w:cs="Arial" w:hAnsi="Arial Narrow"/>
          <w:sz w:val="21"/>
          <w:szCs w:val="21"/>
        </w:rPr>
        <w:t xml:space="preserve"> valeur nominale des titres restaurant </w:t>
      </w:r>
      <w:r w:rsidR="00212122">
        <w:rPr>
          <w:rFonts w:ascii="Arial Narrow" w:cs="Arial" w:hAnsi="Arial Narrow"/>
          <w:sz w:val="21"/>
          <w:szCs w:val="21"/>
        </w:rPr>
        <w:t xml:space="preserve">des personnels mensualisés </w:t>
      </w:r>
      <w:r w:rsidR="00212122" w:rsidRPr="00212122">
        <w:rPr>
          <w:rFonts w:ascii="Arial Narrow" w:cs="Arial" w:hAnsi="Arial Narrow"/>
          <w:sz w:val="21"/>
          <w:szCs w:val="21"/>
        </w:rPr>
        <w:t xml:space="preserve">a été portée à 9 €, dont 5,40 € en part patronale, </w:t>
      </w:r>
    </w:p>
    <w:p w14:paraId="1EB51370" w14:textId="66069299" w:rsidP="00763098" w:rsidR="00212122" w:rsidRDefault="002F12D1">
      <w:pPr>
        <w:pStyle w:val="Paragraphedeliste"/>
        <w:numPr>
          <w:ilvl w:val="0"/>
          <w:numId w:val="16"/>
        </w:numPr>
        <w:spacing w:after="0" w:before="100"/>
        <w:ind w:hanging="357" w:left="714"/>
        <w:jc w:val="both"/>
        <w:rPr>
          <w:rFonts w:ascii="Arial Narrow" w:cs="Arial" w:hAnsi="Arial Narrow"/>
          <w:sz w:val="21"/>
          <w:szCs w:val="21"/>
        </w:rPr>
      </w:pPr>
      <w:r>
        <w:rPr>
          <w:rFonts w:ascii="Arial Narrow" w:cs="Arial" w:hAnsi="Arial Narrow"/>
          <w:sz w:val="21"/>
          <w:szCs w:val="21"/>
        </w:rPr>
        <w:t>La</w:t>
      </w:r>
      <w:r w:rsidR="00212122">
        <w:rPr>
          <w:rFonts w:ascii="Arial Narrow" w:cs="Arial" w:hAnsi="Arial Narrow"/>
          <w:sz w:val="21"/>
          <w:szCs w:val="21"/>
        </w:rPr>
        <w:t xml:space="preserve"> valeur des paniers des ODO a parallèlement été portée à 5,40 €.</w:t>
      </w:r>
    </w:p>
    <w:p w14:paraId="2532EE7F" w14:textId="2DF43BBB" w:rsidP="00763098" w:rsidR="00763098" w:rsidRDefault="00763098">
      <w:pPr>
        <w:pStyle w:val="Paragraphedeliste"/>
        <w:spacing w:after="0" w:before="100"/>
        <w:ind w:left="714"/>
        <w:jc w:val="both"/>
        <w:rPr>
          <w:rFonts w:ascii="Arial Narrow" w:cs="Arial" w:hAnsi="Arial Narrow"/>
          <w:sz w:val="21"/>
          <w:szCs w:val="21"/>
        </w:rPr>
      </w:pPr>
    </w:p>
    <w:p w14:paraId="0DA43440" w14:textId="6F754161" w:rsidP="00763098" w:rsidR="00763098" w:rsidRDefault="00763098">
      <w:pPr>
        <w:pStyle w:val="Paragraphedeliste"/>
        <w:spacing w:after="0" w:before="100"/>
        <w:ind w:left="714"/>
        <w:jc w:val="both"/>
        <w:rPr>
          <w:rFonts w:ascii="Arial Narrow" w:cs="Arial" w:hAnsi="Arial Narrow"/>
          <w:sz w:val="21"/>
          <w:szCs w:val="21"/>
        </w:rPr>
      </w:pPr>
    </w:p>
    <w:p w14:paraId="005A270B" w14:textId="54A2A044" w:rsidP="00763098" w:rsidR="00763098" w:rsidRDefault="00763098">
      <w:pPr>
        <w:pStyle w:val="Paragraphedeliste"/>
        <w:spacing w:after="0" w:line="240" w:lineRule="auto"/>
        <w:ind w:left="714"/>
        <w:jc w:val="both"/>
        <w:rPr>
          <w:rFonts w:ascii="Arial Narrow" w:cs="Arial" w:hAnsi="Arial Narrow"/>
          <w:sz w:val="8"/>
          <w:szCs w:val="8"/>
        </w:rPr>
      </w:pPr>
    </w:p>
    <w:p w14:paraId="7DEB39C0" w14:textId="77777777" w:rsidP="00763098" w:rsidR="00763098" w:rsidRDefault="00763098" w:rsidRPr="00763098">
      <w:pPr>
        <w:pStyle w:val="Paragraphedeliste"/>
        <w:spacing w:after="0" w:line="240" w:lineRule="auto"/>
        <w:ind w:left="714"/>
        <w:jc w:val="both"/>
        <w:rPr>
          <w:rFonts w:ascii="Arial Narrow" w:cs="Arial" w:hAnsi="Arial Narrow"/>
          <w:sz w:val="8"/>
          <w:szCs w:val="8"/>
        </w:rPr>
      </w:pPr>
    </w:p>
    <w:p w14:paraId="011F7555" w14:textId="1F168FD1" w:rsidP="00763098" w:rsidR="005C299F" w:rsidRDefault="00212122" w:rsidRPr="00F32F96">
      <w:pPr>
        <w:spacing w:after="120" w:before="240"/>
        <w:jc w:val="both"/>
        <w:rPr>
          <w:rFonts w:ascii="Arial Narrow" w:cs="Arial" w:hAnsi="Arial Narrow"/>
          <w:b/>
          <w:sz w:val="21"/>
          <w:szCs w:val="21"/>
        </w:rPr>
      </w:pPr>
      <w:r>
        <w:rPr>
          <w:rFonts w:ascii="Arial Narrow" w:cs="Arial" w:hAnsi="Arial Narrow"/>
          <w:b/>
          <w:sz w:val="21"/>
          <w:szCs w:val="21"/>
        </w:rPr>
        <w:t>4</w:t>
      </w:r>
      <w:r w:rsidR="004E79EC" w:rsidRPr="00F32F96">
        <w:rPr>
          <w:rFonts w:ascii="Arial Narrow" w:cs="Arial" w:hAnsi="Arial Narrow"/>
          <w:b/>
          <w:sz w:val="21"/>
          <w:szCs w:val="21"/>
        </w:rPr>
        <w:t xml:space="preserve"> - </w:t>
      </w:r>
      <w:r w:rsidR="005C299F" w:rsidRPr="00F32F96">
        <w:rPr>
          <w:rFonts w:ascii="Arial Narrow" w:cs="Arial" w:hAnsi="Arial Narrow"/>
          <w:b/>
          <w:sz w:val="21"/>
          <w:szCs w:val="21"/>
        </w:rPr>
        <w:t>Egalité professionnelle entre les hommes et les femmes, lutte contre les discriminations, sexisme au travail, exc</w:t>
      </w:r>
      <w:r w:rsidR="001A5F92" w:rsidRPr="00F32F96">
        <w:rPr>
          <w:rFonts w:ascii="Arial Narrow" w:cs="Arial" w:hAnsi="Arial Narrow"/>
          <w:b/>
          <w:sz w:val="21"/>
          <w:szCs w:val="21"/>
        </w:rPr>
        <w:t>lusion des personnes handicapée</w:t>
      </w:r>
      <w:r w:rsidR="005C299F" w:rsidRPr="00F32F96">
        <w:rPr>
          <w:rFonts w:ascii="Arial Narrow" w:cs="Arial" w:hAnsi="Arial Narrow"/>
          <w:b/>
          <w:sz w:val="21"/>
          <w:szCs w:val="21"/>
        </w:rPr>
        <w:t>s et qualité de vie au travail</w:t>
      </w:r>
    </w:p>
    <w:p w14:paraId="2EE4E824" w14:textId="77777777" w:rsidP="00F32F96" w:rsidR="00334FDF" w:rsidRDefault="00334FDF" w:rsidRPr="00F32F96">
      <w:pPr>
        <w:pStyle w:val="Paragraphedeliste"/>
        <w:numPr>
          <w:ilvl w:val="0"/>
          <w:numId w:val="11"/>
        </w:numPr>
        <w:spacing w:after="120" w:before="120" w:line="240" w:lineRule="auto"/>
        <w:ind w:hanging="142" w:left="426"/>
        <w:jc w:val="both"/>
        <w:rPr>
          <w:rFonts w:ascii="Arial Narrow" w:cs="Arial" w:hAnsi="Arial Narrow"/>
          <w:sz w:val="21"/>
          <w:szCs w:val="21"/>
        </w:rPr>
      </w:pPr>
      <w:r w:rsidRPr="00F32F96">
        <w:rPr>
          <w:rFonts w:ascii="Arial Narrow" w:cs="Arial" w:hAnsi="Arial Narrow"/>
          <w:sz w:val="21"/>
          <w:szCs w:val="21"/>
        </w:rPr>
        <w:t xml:space="preserve">Egalité professionnelle entre les hommes et les femmes, lutte contre les discriminations, sexisme au </w:t>
      </w:r>
      <w:r w:rsidR="001A5F92" w:rsidRPr="00F32F96">
        <w:rPr>
          <w:rFonts w:ascii="Arial Narrow" w:cs="Arial" w:hAnsi="Arial Narrow"/>
          <w:sz w:val="21"/>
          <w:szCs w:val="21"/>
        </w:rPr>
        <w:t>travail, exclusion des personne</w:t>
      </w:r>
      <w:r w:rsidRPr="00F32F96">
        <w:rPr>
          <w:rFonts w:ascii="Arial Narrow" w:cs="Arial" w:hAnsi="Arial Narrow"/>
          <w:sz w:val="21"/>
          <w:szCs w:val="21"/>
        </w:rPr>
        <w:t xml:space="preserve">s handicapées </w:t>
      </w:r>
    </w:p>
    <w:p w14:paraId="1EAA71A4" w14:textId="7B9E55BB" w:rsidP="00DD4848" w:rsidR="0013575F" w:rsidRDefault="00204293" w:rsidRPr="00F32F96">
      <w:pPr>
        <w:spacing w:after="120" w:before="120"/>
        <w:jc w:val="both"/>
        <w:rPr>
          <w:rFonts w:ascii="Arial Narrow" w:cs="Arial" w:hAnsi="Arial Narrow"/>
          <w:sz w:val="21"/>
          <w:szCs w:val="21"/>
        </w:rPr>
      </w:pPr>
      <w:r w:rsidRPr="00F32F96">
        <w:rPr>
          <w:rFonts w:ascii="Arial Narrow" w:cs="Arial" w:hAnsi="Arial Narrow"/>
          <w:sz w:val="21"/>
          <w:szCs w:val="21"/>
        </w:rPr>
        <w:t xml:space="preserve">Les rémunérations </w:t>
      </w:r>
      <w:r w:rsidR="001C2DB9" w:rsidRPr="00F32F96">
        <w:rPr>
          <w:rFonts w:ascii="Arial Narrow" w:cs="Arial" w:hAnsi="Arial Narrow"/>
          <w:sz w:val="21"/>
          <w:szCs w:val="21"/>
        </w:rPr>
        <w:t xml:space="preserve">demeurent </w:t>
      </w:r>
      <w:r w:rsidRPr="00F32F96">
        <w:rPr>
          <w:rFonts w:ascii="Arial Narrow" w:cs="Arial" w:hAnsi="Arial Narrow"/>
          <w:sz w:val="21"/>
          <w:szCs w:val="21"/>
        </w:rPr>
        <w:t xml:space="preserve">fixées sur une grille salariale </w:t>
      </w:r>
      <w:r w:rsidR="004E79EC" w:rsidRPr="00F32F96">
        <w:rPr>
          <w:rFonts w:ascii="Arial Narrow" w:cs="Arial" w:hAnsi="Arial Narrow"/>
          <w:sz w:val="21"/>
          <w:szCs w:val="21"/>
        </w:rPr>
        <w:t xml:space="preserve">interne </w:t>
      </w:r>
      <w:r w:rsidRPr="00F32F96">
        <w:rPr>
          <w:rFonts w:ascii="Arial Narrow" w:cs="Arial" w:hAnsi="Arial Narrow"/>
          <w:sz w:val="21"/>
          <w:szCs w:val="21"/>
        </w:rPr>
        <w:t xml:space="preserve">unisexe, applicable à l’ensemble du personnel selon les seuls critères </w:t>
      </w:r>
      <w:r w:rsidR="0013575F" w:rsidRPr="00F32F96">
        <w:rPr>
          <w:rFonts w:ascii="Arial Narrow" w:cs="Arial" w:hAnsi="Arial Narrow"/>
          <w:sz w:val="21"/>
          <w:szCs w:val="21"/>
        </w:rPr>
        <w:t xml:space="preserve">du poste, </w:t>
      </w:r>
      <w:r w:rsidR="00F83ABE" w:rsidRPr="00F32F96">
        <w:rPr>
          <w:rFonts w:ascii="Arial Narrow" w:cs="Arial" w:hAnsi="Arial Narrow"/>
          <w:sz w:val="21"/>
          <w:szCs w:val="21"/>
        </w:rPr>
        <w:t>de l’ancienneté et</w:t>
      </w:r>
      <w:r w:rsidR="00DF56B6" w:rsidRPr="00F32F96">
        <w:rPr>
          <w:rFonts w:ascii="Arial Narrow" w:cs="Arial" w:hAnsi="Arial Narrow"/>
          <w:sz w:val="21"/>
          <w:szCs w:val="21"/>
        </w:rPr>
        <w:t xml:space="preserve"> de la classification</w:t>
      </w:r>
      <w:r w:rsidR="0013575F" w:rsidRPr="00F32F96">
        <w:rPr>
          <w:rFonts w:ascii="Arial Narrow" w:cs="Arial" w:hAnsi="Arial Narrow"/>
          <w:sz w:val="21"/>
          <w:szCs w:val="21"/>
        </w:rPr>
        <w:t xml:space="preserve">, en application de la règle </w:t>
      </w:r>
      <w:r w:rsidR="0013575F" w:rsidRPr="00F32F96">
        <w:rPr>
          <w:rFonts w:ascii="Arial Narrow" w:cs="Arial" w:hAnsi="Arial Narrow"/>
          <w:i/>
          <w:iCs/>
          <w:sz w:val="21"/>
          <w:szCs w:val="21"/>
        </w:rPr>
        <w:t>"A salaire égal, travail égal"</w:t>
      </w:r>
      <w:r w:rsidR="0013575F" w:rsidRPr="00F32F96">
        <w:rPr>
          <w:rFonts w:ascii="Arial Narrow" w:cs="Arial" w:hAnsi="Arial Narrow"/>
          <w:sz w:val="21"/>
          <w:szCs w:val="21"/>
        </w:rPr>
        <w:t xml:space="preserve"> à laquelle les entreprises sont tenues. </w:t>
      </w:r>
    </w:p>
    <w:p w14:paraId="0BD66747" w14:textId="3F98019E" w:rsidP="00DD4848" w:rsidR="001A4DE7" w:rsidRDefault="001A4DE7" w:rsidRPr="00F32F96">
      <w:pPr>
        <w:spacing w:after="120" w:before="120"/>
        <w:jc w:val="both"/>
        <w:rPr>
          <w:rFonts w:ascii="Arial Narrow" w:cs="Arial" w:hAnsi="Arial Narrow"/>
          <w:sz w:val="21"/>
          <w:szCs w:val="21"/>
        </w:rPr>
      </w:pPr>
      <w:r w:rsidRPr="00F32F96">
        <w:rPr>
          <w:rFonts w:ascii="Arial Narrow" w:cs="Arial" w:hAnsi="Arial Narrow"/>
          <w:sz w:val="21"/>
          <w:szCs w:val="21"/>
        </w:rPr>
        <w:t xml:space="preserve">De fait, </w:t>
      </w:r>
      <w:r w:rsidR="004E79EC" w:rsidRPr="00F32F96">
        <w:rPr>
          <w:rFonts w:ascii="Arial Narrow" w:cs="Arial" w:hAnsi="Arial Narrow"/>
          <w:sz w:val="21"/>
          <w:szCs w:val="21"/>
        </w:rPr>
        <w:t>la D</w:t>
      </w:r>
      <w:r w:rsidRPr="00F32F96">
        <w:rPr>
          <w:rFonts w:ascii="Arial Narrow" w:cs="Arial" w:hAnsi="Arial Narrow"/>
          <w:sz w:val="21"/>
          <w:szCs w:val="21"/>
        </w:rPr>
        <w:t xml:space="preserve">irection </w:t>
      </w:r>
      <w:r w:rsidR="001C2DB9" w:rsidRPr="00F32F96">
        <w:rPr>
          <w:rFonts w:ascii="Arial Narrow" w:cs="Arial" w:hAnsi="Arial Narrow"/>
          <w:sz w:val="21"/>
          <w:szCs w:val="21"/>
        </w:rPr>
        <w:t xml:space="preserve">et les partenaires sociaux maintiennent leur engagement </w:t>
      </w:r>
      <w:r w:rsidRPr="00F32F96">
        <w:rPr>
          <w:rFonts w:ascii="Arial Narrow" w:cs="Arial" w:hAnsi="Arial Narrow"/>
          <w:sz w:val="21"/>
          <w:szCs w:val="21"/>
        </w:rPr>
        <w:t>à respecter l’égalité de rémunération entre les hommes et les femmes pour un même poste ou pour un poste de nature équivalente</w:t>
      </w:r>
      <w:r w:rsidR="00F83ABE" w:rsidRPr="00F32F96">
        <w:rPr>
          <w:rFonts w:ascii="Arial Narrow" w:cs="Arial" w:hAnsi="Arial Narrow"/>
          <w:sz w:val="21"/>
          <w:szCs w:val="21"/>
        </w:rPr>
        <w:t>,</w:t>
      </w:r>
      <w:r w:rsidR="00DF56B6" w:rsidRPr="00F32F96">
        <w:rPr>
          <w:rFonts w:ascii="Arial Narrow" w:cs="Arial" w:hAnsi="Arial Narrow"/>
          <w:sz w:val="21"/>
          <w:szCs w:val="21"/>
        </w:rPr>
        <w:t xml:space="preserve"> à classification et ancienneté identiques</w:t>
      </w:r>
      <w:r w:rsidRPr="00F32F96">
        <w:rPr>
          <w:rFonts w:ascii="Arial Narrow" w:cs="Arial" w:hAnsi="Arial Narrow"/>
          <w:sz w:val="21"/>
          <w:szCs w:val="21"/>
        </w:rPr>
        <w:t>.</w:t>
      </w:r>
    </w:p>
    <w:p w14:paraId="3B44BD96" w14:textId="66F7E5A8" w:rsidP="00F83ABE" w:rsidR="00F83ABE" w:rsidRDefault="001A4DE7" w:rsidRPr="00F32F96">
      <w:pPr>
        <w:spacing w:after="120" w:before="120"/>
        <w:jc w:val="both"/>
        <w:rPr>
          <w:rFonts w:ascii="Arial Narrow" w:cs="Arial" w:hAnsi="Arial Narrow"/>
          <w:sz w:val="21"/>
          <w:szCs w:val="21"/>
        </w:rPr>
      </w:pPr>
      <w:r w:rsidRPr="00F32F96">
        <w:rPr>
          <w:rFonts w:ascii="Arial Narrow" w:cs="Arial" w:hAnsi="Arial Narrow"/>
          <w:sz w:val="21"/>
          <w:szCs w:val="21"/>
        </w:rPr>
        <w:t xml:space="preserve">Par ailleurs, </w:t>
      </w:r>
      <w:r w:rsidR="00F83ABE" w:rsidRPr="00F32F96">
        <w:rPr>
          <w:rFonts w:ascii="Arial Narrow" w:cs="Arial" w:hAnsi="Arial Narrow"/>
          <w:sz w:val="21"/>
          <w:szCs w:val="21"/>
        </w:rPr>
        <w:t xml:space="preserve">les parties s’engagent à promouvoir </w:t>
      </w:r>
      <w:r w:rsidR="00E23050" w:rsidRPr="00F32F96">
        <w:rPr>
          <w:rFonts w:ascii="Arial Narrow" w:cs="Arial" w:hAnsi="Arial Narrow"/>
          <w:sz w:val="21"/>
          <w:szCs w:val="21"/>
        </w:rPr>
        <w:t xml:space="preserve">chacune à leur niveau </w:t>
      </w:r>
      <w:r w:rsidR="00F83ABE" w:rsidRPr="00F32F96">
        <w:rPr>
          <w:rFonts w:ascii="Arial Narrow" w:cs="Arial" w:hAnsi="Arial Narrow"/>
          <w:sz w:val="21"/>
          <w:szCs w:val="21"/>
        </w:rPr>
        <w:t>et à respecter le principe de non-discrimination à l’embauche, sous toutes ses formes</w:t>
      </w:r>
      <w:r w:rsidR="00531358" w:rsidRPr="00F32F96">
        <w:rPr>
          <w:rFonts w:ascii="Arial Narrow" w:cs="Arial" w:hAnsi="Arial Narrow"/>
          <w:sz w:val="21"/>
          <w:szCs w:val="21"/>
        </w:rPr>
        <w:t xml:space="preserve"> : </w:t>
      </w:r>
      <w:r w:rsidR="00F83ABE" w:rsidRPr="00F32F96">
        <w:rPr>
          <w:rFonts w:ascii="Arial Narrow" w:cs="Arial" w:hAnsi="Arial Narrow"/>
          <w:sz w:val="21"/>
          <w:szCs w:val="21"/>
        </w:rPr>
        <w:t>handicap, religion, nationalité</w:t>
      </w:r>
      <w:r w:rsidR="001C2DB9" w:rsidRPr="00F32F96">
        <w:rPr>
          <w:rFonts w:ascii="Arial Narrow" w:cs="Arial" w:hAnsi="Arial Narrow"/>
          <w:sz w:val="21"/>
          <w:szCs w:val="21"/>
        </w:rPr>
        <w:t>, sexe,</w:t>
      </w:r>
      <w:r w:rsidR="00F83ABE" w:rsidRPr="00F32F96">
        <w:rPr>
          <w:rFonts w:ascii="Arial Narrow" w:cs="Arial" w:hAnsi="Arial Narrow"/>
          <w:sz w:val="21"/>
          <w:szCs w:val="21"/>
        </w:rPr>
        <w:t xml:space="preserve"> etc….</w:t>
      </w:r>
    </w:p>
    <w:p w14:paraId="58DD3865" w14:textId="77777777" w:rsidP="00DD4848" w:rsidR="00DF56B6" w:rsidRDefault="00E23050" w:rsidRPr="00F32F96">
      <w:pPr>
        <w:spacing w:after="120" w:before="120"/>
        <w:jc w:val="both"/>
        <w:rPr>
          <w:rFonts w:ascii="Arial Narrow" w:cs="Arial" w:hAnsi="Arial Narrow"/>
          <w:sz w:val="21"/>
          <w:szCs w:val="21"/>
        </w:rPr>
      </w:pPr>
      <w:r w:rsidRPr="00F32F96">
        <w:rPr>
          <w:rFonts w:ascii="Arial Narrow" w:cs="Arial" w:hAnsi="Arial Narrow"/>
          <w:sz w:val="21"/>
          <w:szCs w:val="21"/>
        </w:rPr>
        <w:t>L</w:t>
      </w:r>
      <w:r w:rsidR="00204293" w:rsidRPr="00F32F96">
        <w:rPr>
          <w:rFonts w:ascii="Arial Narrow" w:cs="Arial" w:hAnsi="Arial Narrow"/>
          <w:sz w:val="21"/>
          <w:szCs w:val="21"/>
        </w:rPr>
        <w:t xml:space="preserve">es parties </w:t>
      </w:r>
      <w:r w:rsidR="005A1489" w:rsidRPr="00F32F96">
        <w:rPr>
          <w:rFonts w:ascii="Arial Narrow" w:cs="Arial" w:hAnsi="Arial Narrow"/>
          <w:sz w:val="21"/>
          <w:szCs w:val="21"/>
        </w:rPr>
        <w:t xml:space="preserve">constatent </w:t>
      </w:r>
      <w:r w:rsidR="004E79EC" w:rsidRPr="00F32F96">
        <w:rPr>
          <w:rFonts w:ascii="Arial Narrow" w:cs="Arial" w:hAnsi="Arial Narrow"/>
          <w:sz w:val="21"/>
          <w:szCs w:val="21"/>
        </w:rPr>
        <w:t xml:space="preserve">comme l’an passé </w:t>
      </w:r>
      <w:r w:rsidR="005A1489" w:rsidRPr="00F32F96">
        <w:rPr>
          <w:rFonts w:ascii="Arial Narrow" w:cs="Arial" w:hAnsi="Arial Narrow"/>
          <w:sz w:val="21"/>
          <w:szCs w:val="21"/>
        </w:rPr>
        <w:t xml:space="preserve">l’absence d’effectif féminin parmi les salariés de DSM, </w:t>
      </w:r>
      <w:r w:rsidR="00DF56B6" w:rsidRPr="00F32F96">
        <w:rPr>
          <w:rFonts w:ascii="Arial Narrow" w:cs="Arial" w:hAnsi="Arial Narrow"/>
          <w:sz w:val="21"/>
          <w:szCs w:val="21"/>
        </w:rPr>
        <w:t>ainsi que l’absence</w:t>
      </w:r>
      <w:r w:rsidRPr="00F32F96">
        <w:rPr>
          <w:rFonts w:ascii="Arial Narrow" w:cs="Arial" w:hAnsi="Arial Narrow"/>
          <w:sz w:val="21"/>
          <w:szCs w:val="21"/>
        </w:rPr>
        <w:t xml:space="preserve"> de candidature </w:t>
      </w:r>
      <w:r w:rsidR="005A1489" w:rsidRPr="00F32F96">
        <w:rPr>
          <w:rFonts w:ascii="Arial Narrow" w:cs="Arial" w:hAnsi="Arial Narrow"/>
          <w:sz w:val="21"/>
          <w:szCs w:val="21"/>
        </w:rPr>
        <w:t xml:space="preserve">féminine. </w:t>
      </w:r>
    </w:p>
    <w:p w14:paraId="00882BDA" w14:textId="389C2250" w:rsidP="00DD4848" w:rsidR="00FE4D0A" w:rsidRDefault="00CF12B0" w:rsidRPr="00F32F96">
      <w:pPr>
        <w:spacing w:after="120" w:before="120"/>
        <w:jc w:val="both"/>
        <w:rPr>
          <w:rFonts w:ascii="Arial Narrow" w:cs="Arial" w:hAnsi="Arial Narrow"/>
          <w:sz w:val="21"/>
          <w:szCs w:val="21"/>
        </w:rPr>
      </w:pPr>
      <w:r w:rsidRPr="00F32F96">
        <w:rPr>
          <w:rFonts w:ascii="Arial Narrow" w:cs="Arial" w:hAnsi="Arial Narrow"/>
          <w:sz w:val="21"/>
          <w:szCs w:val="21"/>
        </w:rPr>
        <w:t>Il</w:t>
      </w:r>
      <w:r w:rsidR="00FE4D0A" w:rsidRPr="00F32F96">
        <w:rPr>
          <w:rFonts w:ascii="Arial Narrow" w:cs="Arial" w:hAnsi="Arial Narrow"/>
          <w:sz w:val="21"/>
          <w:szCs w:val="21"/>
        </w:rPr>
        <w:t xml:space="preserve"> est </w:t>
      </w:r>
      <w:r w:rsidRPr="00F32F96">
        <w:rPr>
          <w:rFonts w:ascii="Arial Narrow" w:cs="Arial" w:hAnsi="Arial Narrow"/>
          <w:sz w:val="21"/>
          <w:szCs w:val="21"/>
        </w:rPr>
        <w:t xml:space="preserve">également </w:t>
      </w:r>
      <w:r w:rsidR="00FE4D0A" w:rsidRPr="00F32F96">
        <w:rPr>
          <w:rFonts w:ascii="Arial Narrow" w:cs="Arial" w:hAnsi="Arial Narrow"/>
          <w:sz w:val="21"/>
          <w:szCs w:val="21"/>
        </w:rPr>
        <w:t xml:space="preserve">rappelé que l’obligation d’emploi de travailleurs présentant un handicap et leur maintien dans l’emploi </w:t>
      </w:r>
      <w:r w:rsidR="001C2DB9" w:rsidRPr="00F32F96">
        <w:rPr>
          <w:rFonts w:ascii="Arial Narrow" w:cs="Arial" w:hAnsi="Arial Narrow"/>
          <w:sz w:val="21"/>
          <w:szCs w:val="21"/>
        </w:rPr>
        <w:t>est</w:t>
      </w:r>
      <w:r w:rsidR="00FE4D0A" w:rsidRPr="00F32F96">
        <w:rPr>
          <w:rFonts w:ascii="Arial Narrow" w:cs="Arial" w:hAnsi="Arial Narrow"/>
          <w:sz w:val="21"/>
          <w:szCs w:val="21"/>
        </w:rPr>
        <w:t xml:space="preserve"> </w:t>
      </w:r>
      <w:r w:rsidR="001A5F92" w:rsidRPr="00F32F96">
        <w:rPr>
          <w:rFonts w:ascii="Arial Narrow" w:cs="Arial" w:hAnsi="Arial Narrow"/>
          <w:sz w:val="21"/>
          <w:szCs w:val="21"/>
        </w:rPr>
        <w:t>respecté</w:t>
      </w:r>
      <w:r w:rsidR="00E23050" w:rsidRPr="00F32F96">
        <w:rPr>
          <w:rFonts w:ascii="Arial Narrow" w:cs="Arial" w:hAnsi="Arial Narrow"/>
          <w:sz w:val="21"/>
          <w:szCs w:val="21"/>
        </w:rPr>
        <w:t xml:space="preserve"> dans l’entreprise</w:t>
      </w:r>
      <w:r w:rsidR="004E79EC" w:rsidRPr="00F32F96">
        <w:rPr>
          <w:rFonts w:ascii="Arial Narrow" w:cs="Arial" w:hAnsi="Arial Narrow"/>
          <w:sz w:val="21"/>
          <w:szCs w:val="21"/>
        </w:rPr>
        <w:t>.</w:t>
      </w:r>
    </w:p>
    <w:p w14:paraId="3B58E286" w14:textId="685A510D" w:rsidP="00F32F96" w:rsidR="00334FDF" w:rsidRDefault="00334FDF" w:rsidRPr="00F32F96">
      <w:pPr>
        <w:pStyle w:val="Paragraphedeliste"/>
        <w:numPr>
          <w:ilvl w:val="0"/>
          <w:numId w:val="11"/>
        </w:numPr>
        <w:spacing w:after="120" w:before="120" w:line="240" w:lineRule="auto"/>
        <w:ind w:hanging="142" w:left="426"/>
        <w:jc w:val="both"/>
        <w:rPr>
          <w:rFonts w:ascii="Arial Narrow" w:cs="Arial" w:hAnsi="Arial Narrow"/>
          <w:sz w:val="21"/>
          <w:szCs w:val="21"/>
        </w:rPr>
      </w:pPr>
      <w:r w:rsidRPr="00F32F96">
        <w:rPr>
          <w:rFonts w:ascii="Arial Narrow" w:cs="Arial" w:hAnsi="Arial Narrow"/>
          <w:sz w:val="21"/>
          <w:szCs w:val="21"/>
        </w:rPr>
        <w:t>Qualité de vie au travail</w:t>
      </w:r>
      <w:r w:rsidR="00531358" w:rsidRPr="00F32F96">
        <w:rPr>
          <w:rFonts w:ascii="Arial Narrow" w:cs="Arial" w:hAnsi="Arial Narrow"/>
          <w:sz w:val="21"/>
          <w:szCs w:val="21"/>
        </w:rPr>
        <w:t xml:space="preserve"> et organisation</w:t>
      </w:r>
      <w:r w:rsidRPr="00F32F96">
        <w:rPr>
          <w:rFonts w:ascii="Arial Narrow" w:cs="Arial" w:hAnsi="Arial Narrow"/>
          <w:sz w:val="21"/>
          <w:szCs w:val="21"/>
        </w:rPr>
        <w:t xml:space="preserve"> : </w:t>
      </w:r>
    </w:p>
    <w:p w14:paraId="5BF708A1" w14:textId="4354FE80" w:rsidP="00DD4848" w:rsidR="00E23050" w:rsidRDefault="00DF56B6" w:rsidRPr="00F32F96">
      <w:pPr>
        <w:spacing w:after="120" w:before="120"/>
        <w:jc w:val="both"/>
        <w:rPr>
          <w:rFonts w:ascii="Arial Narrow" w:cs="Arial" w:hAnsi="Arial Narrow"/>
          <w:sz w:val="21"/>
          <w:szCs w:val="21"/>
        </w:rPr>
      </w:pPr>
      <w:r w:rsidRPr="00F32F96">
        <w:rPr>
          <w:rFonts w:ascii="Arial Narrow" w:cs="Arial" w:hAnsi="Arial Narrow"/>
          <w:sz w:val="21"/>
          <w:szCs w:val="21"/>
        </w:rPr>
        <w:t>Le projet</w:t>
      </w:r>
      <w:r w:rsidR="00E23050" w:rsidRPr="00F32F96">
        <w:rPr>
          <w:rFonts w:ascii="Arial Narrow" w:cs="Arial" w:hAnsi="Arial Narrow"/>
          <w:sz w:val="21"/>
          <w:szCs w:val="21"/>
        </w:rPr>
        <w:t xml:space="preserve"> de rénovation et d’agrandissement des vestiaires </w:t>
      </w:r>
      <w:r w:rsidRPr="00F32F96">
        <w:rPr>
          <w:rFonts w:ascii="Arial Narrow" w:cs="Arial" w:hAnsi="Arial Narrow"/>
          <w:sz w:val="21"/>
          <w:szCs w:val="21"/>
        </w:rPr>
        <w:t>a été mené à son terme</w:t>
      </w:r>
      <w:r w:rsidR="00E23050" w:rsidRPr="00F32F96">
        <w:rPr>
          <w:rFonts w:ascii="Arial Narrow" w:cs="Arial" w:hAnsi="Arial Narrow"/>
          <w:sz w:val="21"/>
          <w:szCs w:val="21"/>
        </w:rPr>
        <w:t>.</w:t>
      </w:r>
    </w:p>
    <w:p w14:paraId="2F12E0D5" w14:textId="36ED8D57" w:rsidP="00F37CF7" w:rsidR="001A5F92" w:rsidRDefault="000B4F84">
      <w:pPr>
        <w:spacing w:before="120"/>
        <w:jc w:val="both"/>
        <w:rPr>
          <w:rFonts w:ascii="Arial Narrow" w:cs="Arial" w:hAnsi="Arial Narrow"/>
          <w:sz w:val="21"/>
          <w:szCs w:val="21"/>
        </w:rPr>
      </w:pPr>
      <w:r w:rsidRPr="00F32F96">
        <w:rPr>
          <w:rFonts w:ascii="Arial Narrow" w:cs="Arial" w:hAnsi="Arial Narrow"/>
          <w:sz w:val="21"/>
          <w:szCs w:val="21"/>
        </w:rPr>
        <w:t>D</w:t>
      </w:r>
      <w:r w:rsidR="00334FDF" w:rsidRPr="00F32F96">
        <w:rPr>
          <w:rFonts w:ascii="Arial Narrow" w:cs="Arial" w:hAnsi="Arial Narrow"/>
          <w:sz w:val="21"/>
          <w:szCs w:val="21"/>
        </w:rPr>
        <w:t xml:space="preserve">es engagements </w:t>
      </w:r>
      <w:r w:rsidRPr="00F32F96">
        <w:rPr>
          <w:rFonts w:ascii="Arial Narrow" w:cs="Arial" w:hAnsi="Arial Narrow"/>
          <w:sz w:val="21"/>
          <w:szCs w:val="21"/>
        </w:rPr>
        <w:t xml:space="preserve">ont </w:t>
      </w:r>
      <w:r w:rsidR="00CF12B0" w:rsidRPr="00F32F96">
        <w:rPr>
          <w:rFonts w:ascii="Arial Narrow" w:cs="Arial" w:hAnsi="Arial Narrow"/>
          <w:sz w:val="21"/>
          <w:szCs w:val="21"/>
        </w:rPr>
        <w:t xml:space="preserve">également </w:t>
      </w:r>
      <w:r w:rsidRPr="00F32F96">
        <w:rPr>
          <w:rFonts w:ascii="Arial Narrow" w:cs="Arial" w:hAnsi="Arial Narrow"/>
          <w:sz w:val="21"/>
          <w:szCs w:val="21"/>
        </w:rPr>
        <w:t xml:space="preserve">été </w:t>
      </w:r>
      <w:r w:rsidR="00334FDF" w:rsidRPr="00F32F96">
        <w:rPr>
          <w:rFonts w:ascii="Arial Narrow" w:cs="Arial" w:hAnsi="Arial Narrow"/>
          <w:sz w:val="21"/>
          <w:szCs w:val="21"/>
        </w:rPr>
        <w:t xml:space="preserve">pris dans le cadre </w:t>
      </w:r>
      <w:r w:rsidR="00150B2A" w:rsidRPr="00F32F96">
        <w:rPr>
          <w:rFonts w:ascii="Arial Narrow" w:cs="Arial" w:hAnsi="Arial Narrow"/>
          <w:sz w:val="21"/>
          <w:szCs w:val="21"/>
        </w:rPr>
        <w:t xml:space="preserve">de négociations antérieures et au </w:t>
      </w:r>
      <w:r w:rsidR="00E23050" w:rsidRPr="00F32F96">
        <w:rPr>
          <w:rFonts w:ascii="Arial Narrow" w:cs="Arial" w:hAnsi="Arial Narrow"/>
          <w:sz w:val="21"/>
          <w:szCs w:val="21"/>
        </w:rPr>
        <w:t xml:space="preserve">cours des réunions </w:t>
      </w:r>
      <w:r w:rsidR="00150B2A" w:rsidRPr="00F32F96">
        <w:rPr>
          <w:rFonts w:ascii="Arial Narrow" w:cs="Arial" w:hAnsi="Arial Narrow"/>
          <w:sz w:val="21"/>
          <w:szCs w:val="21"/>
        </w:rPr>
        <w:t>avec les représentants du personnel</w:t>
      </w:r>
      <w:r w:rsidR="00E23050" w:rsidRPr="00F32F96">
        <w:rPr>
          <w:rFonts w:ascii="Arial Narrow" w:cs="Arial" w:hAnsi="Arial Narrow"/>
          <w:sz w:val="21"/>
          <w:szCs w:val="21"/>
        </w:rPr>
        <w:t xml:space="preserve">, </w:t>
      </w:r>
      <w:r w:rsidR="00DE25FD" w:rsidRPr="00F32F96">
        <w:rPr>
          <w:rFonts w:ascii="Arial Narrow" w:cs="Arial" w:hAnsi="Arial Narrow"/>
          <w:sz w:val="21"/>
          <w:szCs w:val="21"/>
        </w:rPr>
        <w:t xml:space="preserve">dont certaines mesures visent notamment à </w:t>
      </w:r>
      <w:r w:rsidR="00E23050" w:rsidRPr="00F32F96">
        <w:rPr>
          <w:rFonts w:ascii="Arial Narrow" w:cs="Arial" w:hAnsi="Arial Narrow"/>
          <w:sz w:val="21"/>
          <w:szCs w:val="21"/>
        </w:rPr>
        <w:t xml:space="preserve">encadrer l’organisation du travail </w:t>
      </w:r>
      <w:r w:rsidR="00DE25FD" w:rsidRPr="00F32F96">
        <w:rPr>
          <w:rFonts w:ascii="Arial Narrow" w:cs="Arial" w:hAnsi="Arial Narrow"/>
          <w:sz w:val="21"/>
          <w:szCs w:val="21"/>
        </w:rPr>
        <w:t>(</w:t>
      </w:r>
      <w:r w:rsidR="00E23050" w:rsidRPr="00F32F96">
        <w:rPr>
          <w:rFonts w:ascii="Arial Narrow" w:cs="Arial" w:hAnsi="Arial Narrow"/>
          <w:sz w:val="21"/>
          <w:szCs w:val="21"/>
        </w:rPr>
        <w:t>horaires de travail,</w:t>
      </w:r>
      <w:r w:rsidR="00DE25FD" w:rsidRPr="00F32F96">
        <w:rPr>
          <w:rFonts w:ascii="Arial Narrow" w:cs="Arial" w:hAnsi="Arial Narrow"/>
          <w:sz w:val="21"/>
          <w:szCs w:val="21"/>
        </w:rPr>
        <w:t xml:space="preserve"> congés, </w:t>
      </w:r>
      <w:r w:rsidR="00B3682C" w:rsidRPr="00F32F96">
        <w:rPr>
          <w:rFonts w:ascii="Arial Narrow" w:cs="Arial" w:hAnsi="Arial Narrow"/>
          <w:sz w:val="21"/>
          <w:szCs w:val="21"/>
        </w:rPr>
        <w:t xml:space="preserve">accord du 14/05/2020 sur le recours à la main d’œuvre occasionnelle, </w:t>
      </w:r>
      <w:r w:rsidR="00DE25FD" w:rsidRPr="00F32F96">
        <w:rPr>
          <w:rFonts w:ascii="Arial Narrow" w:cs="Arial" w:hAnsi="Arial Narrow"/>
          <w:sz w:val="21"/>
          <w:szCs w:val="21"/>
        </w:rPr>
        <w:t xml:space="preserve">prévoyance et frais de santé, </w:t>
      </w:r>
      <w:r w:rsidR="00E23050" w:rsidRPr="00F32F96">
        <w:rPr>
          <w:rFonts w:ascii="Arial Narrow" w:cs="Arial" w:hAnsi="Arial Narrow"/>
          <w:sz w:val="21"/>
          <w:szCs w:val="21"/>
        </w:rPr>
        <w:t>subrogation</w:t>
      </w:r>
      <w:r w:rsidR="00DE25FD" w:rsidRPr="00F32F96">
        <w:rPr>
          <w:rFonts w:ascii="Arial Narrow" w:cs="Arial" w:hAnsi="Arial Narrow"/>
          <w:sz w:val="21"/>
          <w:szCs w:val="21"/>
        </w:rPr>
        <w:t>…).</w:t>
      </w:r>
    </w:p>
    <w:p w14:paraId="525404B1" w14:textId="55B988F1" w:rsidP="00F37CF7" w:rsidR="00212122" w:rsidRDefault="00212122" w:rsidRPr="00F32F96">
      <w:pPr>
        <w:spacing w:before="120"/>
        <w:jc w:val="both"/>
        <w:rPr>
          <w:rFonts w:ascii="Arial Narrow" w:cs="Arial" w:hAnsi="Arial Narrow"/>
          <w:sz w:val="21"/>
          <w:szCs w:val="21"/>
        </w:rPr>
      </w:pPr>
      <w:r>
        <w:rPr>
          <w:rFonts w:ascii="Arial Narrow" w:cs="Arial" w:hAnsi="Arial Narrow"/>
          <w:sz w:val="21"/>
          <w:szCs w:val="21"/>
        </w:rPr>
        <w:t xml:space="preserve">En 2022, une analyse </w:t>
      </w:r>
      <w:r w:rsidR="0077047E">
        <w:rPr>
          <w:rFonts w:ascii="Arial Narrow" w:cs="Arial" w:hAnsi="Arial Narrow"/>
          <w:sz w:val="21"/>
          <w:szCs w:val="21"/>
        </w:rPr>
        <w:t xml:space="preserve">du niveau de recours à la dérogation conventionnelle au repos hebdomadaire a été </w:t>
      </w:r>
      <w:r w:rsidR="00B15A33">
        <w:rPr>
          <w:rFonts w:ascii="Arial Narrow" w:cs="Arial" w:hAnsi="Arial Narrow"/>
          <w:sz w:val="21"/>
          <w:szCs w:val="21"/>
        </w:rPr>
        <w:t>réalisée</w:t>
      </w:r>
      <w:r w:rsidR="0077047E">
        <w:rPr>
          <w:rFonts w:ascii="Arial Narrow" w:cs="Arial" w:hAnsi="Arial Narrow"/>
          <w:sz w:val="21"/>
          <w:szCs w:val="21"/>
        </w:rPr>
        <w:t>. Ce suivi sera reconduit.</w:t>
      </w:r>
    </w:p>
    <w:p w14:paraId="0C7544F5" w14:textId="2B5CF395" w:rsidP="00F37CF7" w:rsidR="000B4F84" w:rsidRDefault="000B4F84" w:rsidRPr="00F32F96">
      <w:pPr>
        <w:spacing w:before="120"/>
        <w:jc w:val="both"/>
        <w:rPr>
          <w:rFonts w:ascii="Arial Narrow" w:cs="Arial" w:hAnsi="Arial Narrow"/>
          <w:sz w:val="21"/>
          <w:szCs w:val="21"/>
        </w:rPr>
      </w:pPr>
      <w:r w:rsidRPr="00F32F96">
        <w:rPr>
          <w:rFonts w:ascii="Arial Narrow" w:cs="Arial" w:hAnsi="Arial Narrow"/>
          <w:sz w:val="21"/>
          <w:szCs w:val="21"/>
        </w:rPr>
        <w:t>Enfin, l’organisation interne a dû s’adapter autant que faire se peut au contexte de la crise sanitaire mondiale liée à la pandémie de la COVID 19.</w:t>
      </w:r>
      <w:r w:rsidR="00CF12B0" w:rsidRPr="00F32F96">
        <w:rPr>
          <w:rFonts w:ascii="Arial Narrow" w:cs="Arial" w:hAnsi="Arial Narrow"/>
          <w:sz w:val="21"/>
          <w:szCs w:val="21"/>
        </w:rPr>
        <w:t xml:space="preserve"> Les métiers de DSM ne permettent cependant pas le recours au télétravail.</w:t>
      </w:r>
    </w:p>
    <w:p w14:paraId="024804C7" w14:textId="57899801" w:rsidP="00763098" w:rsidR="005C299F" w:rsidRDefault="00763098" w:rsidRPr="00F32F96">
      <w:pPr>
        <w:spacing w:after="120" w:before="240"/>
        <w:jc w:val="both"/>
        <w:rPr>
          <w:rFonts w:ascii="Arial Narrow" w:cs="Arial" w:hAnsi="Arial Narrow"/>
          <w:b/>
          <w:sz w:val="21"/>
          <w:szCs w:val="21"/>
        </w:rPr>
      </w:pPr>
      <w:r>
        <w:rPr>
          <w:rFonts w:ascii="Arial Narrow" w:cs="Arial" w:hAnsi="Arial Narrow"/>
          <w:b/>
          <w:sz w:val="21"/>
          <w:szCs w:val="21"/>
        </w:rPr>
        <w:t>5</w:t>
      </w:r>
      <w:r w:rsidR="004E79EC" w:rsidRPr="00F32F96">
        <w:rPr>
          <w:rFonts w:ascii="Arial Narrow" w:cs="Arial" w:hAnsi="Arial Narrow"/>
          <w:b/>
          <w:sz w:val="21"/>
          <w:szCs w:val="21"/>
        </w:rPr>
        <w:t xml:space="preserve"> - </w:t>
      </w:r>
      <w:r w:rsidR="005C299F" w:rsidRPr="00F32F96">
        <w:rPr>
          <w:rFonts w:ascii="Arial Narrow" w:cs="Arial" w:hAnsi="Arial Narrow"/>
          <w:b/>
          <w:sz w:val="21"/>
          <w:szCs w:val="21"/>
        </w:rPr>
        <w:t>GPEC</w:t>
      </w:r>
    </w:p>
    <w:p w14:paraId="53FA5642" w14:textId="6C55487B" w:rsidP="00DD4848" w:rsidR="000B4F84" w:rsidRDefault="00B3682C" w:rsidRPr="00F32F96">
      <w:pPr>
        <w:spacing w:after="120" w:before="120"/>
        <w:jc w:val="both"/>
        <w:rPr>
          <w:rFonts w:ascii="Arial Narrow" w:cs="Arial" w:hAnsi="Arial Narrow"/>
          <w:sz w:val="21"/>
          <w:szCs w:val="21"/>
        </w:rPr>
      </w:pPr>
      <w:r w:rsidRPr="00F32F96">
        <w:rPr>
          <w:rFonts w:ascii="Arial Narrow" w:cs="Arial" w:hAnsi="Arial Narrow"/>
          <w:sz w:val="21"/>
          <w:szCs w:val="21"/>
        </w:rPr>
        <w:t xml:space="preserve">L’article 2 de l’accord du 14 mai 2020 sur le recours à la main d’œuvre occasionnelle chez DSM traite de ce sujet pour les </w:t>
      </w:r>
      <w:r w:rsidR="00CF12B0" w:rsidRPr="00F32F96">
        <w:rPr>
          <w:rFonts w:ascii="Arial Narrow" w:cs="Arial" w:hAnsi="Arial Narrow"/>
          <w:sz w:val="21"/>
          <w:szCs w:val="21"/>
        </w:rPr>
        <w:t xml:space="preserve">futurs </w:t>
      </w:r>
      <w:r w:rsidRPr="00F32F96">
        <w:rPr>
          <w:rFonts w:ascii="Arial Narrow" w:cs="Arial" w:hAnsi="Arial Narrow"/>
          <w:sz w:val="21"/>
          <w:szCs w:val="21"/>
        </w:rPr>
        <w:t>départs à la retraite de personnels Dockers mensualisés</w:t>
      </w:r>
      <w:r w:rsidR="00150B2A" w:rsidRPr="00F32F96">
        <w:rPr>
          <w:rFonts w:ascii="Arial Narrow" w:cs="Arial" w:hAnsi="Arial Narrow"/>
          <w:sz w:val="21"/>
          <w:szCs w:val="21"/>
        </w:rPr>
        <w:t xml:space="preserve"> dans le cadre du régime conventionnel de pénibilité</w:t>
      </w:r>
      <w:r w:rsidRPr="00F32F96">
        <w:rPr>
          <w:rFonts w:ascii="Arial Narrow" w:cs="Arial" w:hAnsi="Arial Narrow"/>
          <w:sz w:val="21"/>
          <w:szCs w:val="21"/>
        </w:rPr>
        <w:t>.</w:t>
      </w:r>
    </w:p>
    <w:p w14:paraId="3BA30330" w14:textId="0CFF0926" w:rsidP="004563D5" w:rsidR="004E79EC" w:rsidRDefault="004E79EC" w:rsidRPr="00F32F96">
      <w:pPr>
        <w:spacing w:after="120" w:before="120"/>
        <w:jc w:val="both"/>
        <w:rPr>
          <w:rFonts w:ascii="Arial Narrow" w:cs="Arial" w:hAnsi="Arial Narrow"/>
          <w:sz w:val="21"/>
          <w:szCs w:val="21"/>
        </w:rPr>
      </w:pPr>
      <w:r w:rsidRPr="00F32F96">
        <w:rPr>
          <w:rFonts w:ascii="Arial Narrow" w:cs="Arial" w:hAnsi="Arial Narrow"/>
          <w:sz w:val="21"/>
          <w:szCs w:val="21"/>
        </w:rPr>
        <w:t>Formations</w:t>
      </w:r>
      <w:r w:rsidR="00150B2A" w:rsidRPr="00F32F96">
        <w:rPr>
          <w:rFonts w:ascii="Arial Narrow" w:cs="Arial" w:hAnsi="Arial Narrow"/>
          <w:sz w:val="21"/>
          <w:szCs w:val="21"/>
        </w:rPr>
        <w:t xml:space="preserve"> </w:t>
      </w:r>
      <w:r w:rsidRPr="00F32F96">
        <w:rPr>
          <w:rFonts w:ascii="Arial Narrow" w:cs="Arial" w:hAnsi="Arial Narrow"/>
          <w:sz w:val="21"/>
          <w:szCs w:val="21"/>
        </w:rPr>
        <w:t xml:space="preserve">: un état des lieux des CQP du personnel de DSM </w:t>
      </w:r>
      <w:r w:rsidR="00B3682C" w:rsidRPr="00F32F96">
        <w:rPr>
          <w:rFonts w:ascii="Arial Narrow" w:cs="Arial" w:hAnsi="Arial Narrow"/>
          <w:sz w:val="21"/>
          <w:szCs w:val="21"/>
        </w:rPr>
        <w:t xml:space="preserve">est </w:t>
      </w:r>
      <w:r w:rsidR="000B4F84" w:rsidRPr="00F32F96">
        <w:rPr>
          <w:rFonts w:ascii="Arial Narrow" w:cs="Arial" w:hAnsi="Arial Narrow"/>
          <w:sz w:val="21"/>
          <w:szCs w:val="21"/>
        </w:rPr>
        <w:t xml:space="preserve">toujours </w:t>
      </w:r>
      <w:r w:rsidR="00B3682C" w:rsidRPr="00F32F96">
        <w:rPr>
          <w:rFonts w:ascii="Arial Narrow" w:cs="Arial" w:hAnsi="Arial Narrow"/>
          <w:sz w:val="21"/>
          <w:szCs w:val="21"/>
        </w:rPr>
        <w:t>en cours</w:t>
      </w:r>
      <w:r w:rsidR="0077047E">
        <w:rPr>
          <w:rFonts w:ascii="Arial Narrow" w:cs="Arial" w:hAnsi="Arial Narrow"/>
          <w:sz w:val="21"/>
          <w:szCs w:val="21"/>
        </w:rPr>
        <w:t>, mais la mise en œuvre des actions de formations et des montages des dossiers de CQP devraient intervenir d’ici la fin de l’année 2022 et courant 2023.</w:t>
      </w:r>
    </w:p>
    <w:p w14:paraId="16982DF5" w14:textId="00261004" w:rsidP="00763098" w:rsidR="009278FA" w:rsidRDefault="00763098" w:rsidRPr="00F32F96">
      <w:pPr>
        <w:spacing w:after="120" w:before="240"/>
        <w:jc w:val="both"/>
        <w:rPr>
          <w:rFonts w:ascii="Arial Narrow" w:cs="Arial" w:hAnsi="Arial Narrow"/>
          <w:b/>
          <w:sz w:val="21"/>
          <w:szCs w:val="21"/>
        </w:rPr>
      </w:pPr>
      <w:r>
        <w:rPr>
          <w:rFonts w:ascii="Arial Narrow" w:cs="Arial" w:hAnsi="Arial Narrow"/>
          <w:b/>
          <w:sz w:val="21"/>
          <w:szCs w:val="21"/>
        </w:rPr>
        <w:t>6</w:t>
      </w:r>
      <w:r w:rsidR="00445B90" w:rsidRPr="00F32F96">
        <w:rPr>
          <w:rFonts w:ascii="Arial Narrow" w:cs="Arial" w:hAnsi="Arial Narrow"/>
          <w:b/>
          <w:sz w:val="21"/>
          <w:szCs w:val="21"/>
        </w:rPr>
        <w:t xml:space="preserve"> - Formalités</w:t>
      </w:r>
    </w:p>
    <w:p w14:paraId="7D016627" w14:textId="484D3901" w:rsidP="00DD4848" w:rsidR="007213E5" w:rsidRDefault="00445B90" w:rsidRPr="00F32F96">
      <w:pPr>
        <w:spacing w:after="120" w:before="120"/>
        <w:jc w:val="both"/>
        <w:rPr>
          <w:rFonts w:ascii="Arial Narrow" w:cs="Arial" w:hAnsi="Arial Narrow"/>
          <w:sz w:val="21"/>
          <w:szCs w:val="21"/>
        </w:rPr>
      </w:pPr>
      <w:r w:rsidRPr="00F32F96">
        <w:rPr>
          <w:rFonts w:ascii="Arial Narrow" w:cs="Arial" w:hAnsi="Arial Narrow"/>
          <w:sz w:val="21"/>
          <w:szCs w:val="21"/>
        </w:rPr>
        <w:t xml:space="preserve">Après signature dans les conditions fixées par l’article L.2232-12 et suivants du code du travail, un exemplaire original du présent accord sera </w:t>
      </w:r>
      <w:r w:rsidR="007213E5" w:rsidRPr="00F32F96">
        <w:rPr>
          <w:rFonts w:ascii="Arial Narrow" w:cs="Arial" w:hAnsi="Arial Narrow"/>
          <w:sz w:val="21"/>
          <w:szCs w:val="21"/>
        </w:rPr>
        <w:t>remis à chaque partie</w:t>
      </w:r>
      <w:r w:rsidR="00CF12B0" w:rsidRPr="00F32F96">
        <w:rPr>
          <w:rFonts w:ascii="Arial Narrow" w:cs="Arial" w:hAnsi="Arial Narrow"/>
          <w:sz w:val="21"/>
          <w:szCs w:val="21"/>
        </w:rPr>
        <w:t xml:space="preserve"> et il fera </w:t>
      </w:r>
      <w:r w:rsidR="007213E5" w:rsidRPr="00F32F96">
        <w:rPr>
          <w:rFonts w:ascii="Arial Narrow" w:cs="Arial" w:hAnsi="Arial Narrow"/>
          <w:sz w:val="21"/>
          <w:szCs w:val="21"/>
        </w:rPr>
        <w:t xml:space="preserve">l’objet des mesures de publicité prévues par le code du travail. </w:t>
      </w:r>
    </w:p>
    <w:p w14:paraId="7DE706EE" w14:textId="7ED21080" w:rsidP="00F6113C" w:rsidR="007213E5" w:rsidRDefault="007213E5" w:rsidRPr="00F32F96">
      <w:pPr>
        <w:spacing w:before="120"/>
        <w:jc w:val="both"/>
        <w:rPr>
          <w:rFonts w:ascii="Arial Narrow" w:cs="Arial" w:hAnsi="Arial Narrow"/>
          <w:sz w:val="21"/>
          <w:szCs w:val="21"/>
        </w:rPr>
      </w:pPr>
      <w:r w:rsidRPr="00F32F96">
        <w:rPr>
          <w:rFonts w:ascii="Arial Narrow" w:cs="Arial" w:hAnsi="Arial Narrow"/>
          <w:sz w:val="21"/>
          <w:szCs w:val="21"/>
        </w:rPr>
        <w:t xml:space="preserve">Conformément au décret n°2018-362 du 15 mai 2018 relatif à la procédure de dépôt des accords collectifs, le présent accord sera déposé à l’initiative de la Direction de l’entreprise sur la plateforme de télé procédure du ministère du travail </w:t>
      </w:r>
      <w:hyperlink r:id="rId8" w:history="1">
        <w:r w:rsidRPr="00F32F96">
          <w:rPr>
            <w:rFonts w:ascii="Arial Narrow" w:cs="Arial" w:hAnsi="Arial Narrow"/>
            <w:color w:themeColor="accent5" w:themeShade="BF" w:val="2F5496"/>
            <w:sz w:val="21"/>
            <w:szCs w:val="21"/>
          </w:rPr>
          <w:t>https://www.teleaccords.travail-emploi.gouv.fr/PortailTeleprocedures/</w:t>
        </w:r>
      </w:hyperlink>
      <w:r w:rsidRPr="00F32F96">
        <w:rPr>
          <w:rFonts w:ascii="Arial Narrow" w:cs="Arial" w:hAnsi="Arial Narrow"/>
          <w:sz w:val="21"/>
          <w:szCs w:val="21"/>
        </w:rPr>
        <w:t xml:space="preserve"> en deux versions :</w:t>
      </w:r>
      <w:r w:rsidR="00F6113C" w:rsidRPr="00F32F96">
        <w:rPr>
          <w:rFonts w:ascii="Arial Narrow" w:cs="Arial" w:hAnsi="Arial Narrow"/>
          <w:sz w:val="21"/>
          <w:szCs w:val="21"/>
        </w:rPr>
        <w:t xml:space="preserve"> u</w:t>
      </w:r>
      <w:r w:rsidRPr="00F32F96">
        <w:rPr>
          <w:rFonts w:ascii="Arial Narrow" w:cs="Arial" w:hAnsi="Arial Narrow"/>
          <w:sz w:val="21"/>
          <w:szCs w:val="21"/>
        </w:rPr>
        <w:t>ne version intégrale signée des parties au format PDF</w:t>
      </w:r>
      <w:r w:rsidR="00F6113C" w:rsidRPr="00F32F96">
        <w:rPr>
          <w:rFonts w:ascii="Arial Narrow" w:cs="Arial" w:hAnsi="Arial Narrow"/>
          <w:sz w:val="21"/>
          <w:szCs w:val="21"/>
        </w:rPr>
        <w:t xml:space="preserve"> et u</w:t>
      </w:r>
      <w:r w:rsidRPr="00F32F96">
        <w:rPr>
          <w:rFonts w:ascii="Arial Narrow" w:cs="Arial" w:hAnsi="Arial Narrow"/>
          <w:sz w:val="21"/>
          <w:szCs w:val="21"/>
        </w:rPr>
        <w:t>ne version au format .docx, sans nom, prénom, paraphe ou signature d’une personne physique.</w:t>
      </w:r>
    </w:p>
    <w:p w14:paraId="2301D837" w14:textId="77777777" w:rsidP="00DD4848" w:rsidR="007213E5" w:rsidRDefault="007213E5" w:rsidRPr="00F32F96">
      <w:pPr>
        <w:spacing w:after="120" w:before="120"/>
        <w:jc w:val="both"/>
        <w:rPr>
          <w:rFonts w:ascii="Arial Narrow" w:cs="Arial" w:hAnsi="Arial Narrow"/>
          <w:sz w:val="21"/>
          <w:szCs w:val="21"/>
        </w:rPr>
      </w:pPr>
      <w:r w:rsidRPr="00F32F96">
        <w:rPr>
          <w:rFonts w:ascii="Arial Narrow" w:cs="Arial" w:hAnsi="Arial Narrow"/>
          <w:sz w:val="21"/>
          <w:szCs w:val="21"/>
        </w:rPr>
        <w:t xml:space="preserve">Un exemplaire original de l’accord sera également déposé au secrétariat-greffe du Conseil de Prud’hommes de </w:t>
      </w:r>
      <w:r w:rsidR="00DE25FD" w:rsidRPr="00F32F96">
        <w:rPr>
          <w:rFonts w:ascii="Arial Narrow" w:cs="Arial" w:hAnsi="Arial Narrow"/>
          <w:sz w:val="21"/>
          <w:szCs w:val="21"/>
        </w:rPr>
        <w:t>ROUEN</w:t>
      </w:r>
    </w:p>
    <w:p w14:paraId="18D08449" w14:textId="77777777" w:rsidP="00DD4848" w:rsidR="007213E5" w:rsidRDefault="007213E5" w:rsidRPr="00F32F96">
      <w:pPr>
        <w:spacing w:after="120" w:before="120"/>
        <w:jc w:val="both"/>
        <w:rPr>
          <w:rFonts w:ascii="Arial Narrow" w:cs="Arial" w:hAnsi="Arial Narrow"/>
          <w:sz w:val="21"/>
          <w:szCs w:val="21"/>
        </w:rPr>
      </w:pPr>
      <w:r w:rsidRPr="00F32F96">
        <w:rPr>
          <w:rFonts w:ascii="Arial Narrow" w:cs="Arial" w:hAnsi="Arial Narrow"/>
          <w:sz w:val="21"/>
          <w:szCs w:val="21"/>
        </w:rPr>
        <w:t>Enfin, un exemplaire sera tenu à la disposition du personnel pour consultation éventuelle aux emplacements réservés à la communication avec le personnel.</w:t>
      </w:r>
    </w:p>
    <w:p w14:paraId="47BCDF23" w14:textId="77777777" w:rsidP="00763098" w:rsidR="00531358" w:rsidRDefault="00531358" w:rsidRPr="00F32F96">
      <w:pPr>
        <w:jc w:val="both"/>
        <w:rPr>
          <w:rFonts w:ascii="Arial Narrow" w:cs="Arial" w:hAnsi="Arial Narrow"/>
          <w:sz w:val="21"/>
          <w:szCs w:val="21"/>
        </w:rPr>
      </w:pPr>
    </w:p>
    <w:p w14:paraId="28C9DB7A" w14:textId="1CD7635E" w:rsidP="00763098" w:rsidR="009278FA" w:rsidRDefault="009278FA" w:rsidRPr="00F32F96">
      <w:pPr>
        <w:jc w:val="both"/>
        <w:rPr>
          <w:rFonts w:ascii="Arial Narrow" w:cs="Arial" w:hAnsi="Arial Narrow"/>
          <w:sz w:val="21"/>
          <w:szCs w:val="21"/>
        </w:rPr>
      </w:pPr>
      <w:r w:rsidRPr="00F32F96">
        <w:rPr>
          <w:rFonts w:ascii="Arial Narrow" w:cs="Arial" w:hAnsi="Arial Narrow"/>
          <w:sz w:val="21"/>
          <w:szCs w:val="21"/>
        </w:rPr>
        <w:t xml:space="preserve">Fait </w:t>
      </w:r>
      <w:r w:rsidR="00DE25FD" w:rsidRPr="00F32F96">
        <w:rPr>
          <w:rFonts w:ascii="Arial Narrow" w:cs="Arial" w:hAnsi="Arial Narrow"/>
          <w:sz w:val="21"/>
          <w:szCs w:val="21"/>
        </w:rPr>
        <w:t>à ROUEN</w:t>
      </w:r>
      <w:r w:rsidR="00CF12B0" w:rsidRPr="00F32F96">
        <w:rPr>
          <w:rFonts w:ascii="Arial Narrow" w:cs="Arial" w:hAnsi="Arial Narrow"/>
          <w:sz w:val="21"/>
          <w:szCs w:val="21"/>
        </w:rPr>
        <w:t xml:space="preserve">, le …………………………………, </w:t>
      </w:r>
      <w:r w:rsidR="00F32F96">
        <w:rPr>
          <w:rFonts w:ascii="Arial Narrow" w:cs="Arial" w:hAnsi="Arial Narrow"/>
          <w:sz w:val="21"/>
          <w:szCs w:val="21"/>
        </w:rPr>
        <w:t>e</w:t>
      </w:r>
      <w:r w:rsidRPr="00F32F96">
        <w:rPr>
          <w:rFonts w:ascii="Arial Narrow" w:cs="Arial" w:hAnsi="Arial Narrow"/>
          <w:sz w:val="21"/>
          <w:szCs w:val="21"/>
        </w:rPr>
        <w:t xml:space="preserve">n </w:t>
      </w:r>
      <w:r w:rsidR="00F37CF7" w:rsidRPr="00F32F96">
        <w:rPr>
          <w:rFonts w:ascii="Arial Narrow" w:cs="Arial" w:hAnsi="Arial Narrow"/>
          <w:sz w:val="21"/>
          <w:szCs w:val="21"/>
        </w:rPr>
        <w:t>3</w:t>
      </w:r>
      <w:r w:rsidRPr="00F32F96">
        <w:rPr>
          <w:rFonts w:ascii="Arial Narrow" w:cs="Arial" w:hAnsi="Arial Narrow"/>
          <w:sz w:val="21"/>
          <w:szCs w:val="21"/>
        </w:rPr>
        <w:t xml:space="preserve"> exemplaires originaux, dont un pour chacune des parties</w:t>
      </w:r>
      <w:r w:rsidR="00CF12B0" w:rsidRPr="00F32F96">
        <w:rPr>
          <w:rFonts w:ascii="Arial Narrow" w:cs="Arial" w:hAnsi="Arial Narrow"/>
          <w:sz w:val="21"/>
          <w:szCs w:val="21"/>
        </w:rPr>
        <w:t xml:space="preserve"> signataires</w:t>
      </w:r>
      <w:r w:rsidRPr="00F32F96">
        <w:rPr>
          <w:rFonts w:ascii="Arial Narrow" w:cs="Arial" w:hAnsi="Arial Narrow"/>
          <w:sz w:val="21"/>
          <w:szCs w:val="21"/>
        </w:rPr>
        <w:t>.</w:t>
      </w:r>
    </w:p>
    <w:p w14:paraId="22FFC17A" w14:textId="36F9AF20" w:rsidP="00DD4848" w:rsidR="00DE25FD" w:rsidRDefault="00DE25FD">
      <w:pPr>
        <w:pStyle w:val="Paragraphe"/>
        <w:spacing w:before="120"/>
        <w:rPr>
          <w:rFonts w:ascii="Arial Narrow" w:cs="Arial" w:hAnsi="Arial Narrow"/>
          <w:sz w:val="21"/>
          <w:szCs w:val="21"/>
        </w:rPr>
      </w:pPr>
    </w:p>
    <w:p w14:paraId="23C0376B" w14:textId="0D3DE240" w:rsidP="00DD4848" w:rsidR="00763098" w:rsidRDefault="00763098">
      <w:pPr>
        <w:pStyle w:val="Paragraphe"/>
        <w:spacing w:before="120"/>
        <w:rPr>
          <w:rFonts w:ascii="Arial Narrow" w:cs="Arial" w:hAnsi="Arial Narrow"/>
          <w:sz w:val="21"/>
          <w:szCs w:val="21"/>
        </w:rPr>
      </w:pPr>
    </w:p>
    <w:p w14:paraId="1A1D79A2" w14:textId="77777777" w:rsidP="00DD4848" w:rsidR="00763098" w:rsidRDefault="00763098" w:rsidRPr="00F32F96">
      <w:pPr>
        <w:pStyle w:val="Paragraphe"/>
        <w:spacing w:before="120"/>
        <w:rPr>
          <w:rFonts w:ascii="Arial Narrow" w:cs="Arial" w:hAnsi="Arial Narrow"/>
          <w:sz w:val="21"/>
          <w:szCs w:val="21"/>
        </w:rPr>
      </w:pPr>
    </w:p>
    <w:p w14:paraId="5CA63D00" w14:textId="77777777" w:rsidP="00763098" w:rsidR="00DE25FD" w:rsidRDefault="00DE25FD" w:rsidRPr="00F32F96">
      <w:pPr>
        <w:pStyle w:val="Paragraphe"/>
        <w:spacing w:after="60" w:before="60"/>
        <w:rPr>
          <w:rFonts w:ascii="Arial Narrow" w:cs="Arial" w:hAnsi="Arial Narrow"/>
          <w:sz w:val="21"/>
          <w:szCs w:val="21"/>
        </w:rPr>
      </w:pPr>
      <w:r w:rsidRPr="00F32F96">
        <w:rPr>
          <w:rFonts w:ascii="Arial Narrow" w:cs="Arial" w:hAnsi="Arial Narrow"/>
          <w:sz w:val="21"/>
          <w:szCs w:val="21"/>
        </w:rPr>
        <w:t>Pour la Société DSM</w:t>
      </w:r>
      <w:r w:rsidRPr="00F32F96">
        <w:rPr>
          <w:rFonts w:ascii="Arial Narrow" w:cs="Arial" w:hAnsi="Arial Narrow"/>
          <w:sz w:val="21"/>
          <w:szCs w:val="21"/>
        </w:rPr>
        <w:tab/>
      </w:r>
      <w:r w:rsidRPr="00F32F96">
        <w:rPr>
          <w:rFonts w:ascii="Arial Narrow" w:cs="Arial" w:hAnsi="Arial Narrow"/>
          <w:sz w:val="21"/>
          <w:szCs w:val="21"/>
        </w:rPr>
        <w:tab/>
      </w:r>
      <w:r w:rsidRPr="00F32F96">
        <w:rPr>
          <w:rFonts w:ascii="Arial Narrow" w:cs="Arial" w:hAnsi="Arial Narrow"/>
          <w:sz w:val="21"/>
          <w:szCs w:val="21"/>
        </w:rPr>
        <w:tab/>
      </w:r>
      <w:r w:rsidRPr="00F32F96">
        <w:rPr>
          <w:rFonts w:ascii="Arial Narrow" w:cs="Arial" w:hAnsi="Arial Narrow"/>
          <w:sz w:val="21"/>
          <w:szCs w:val="21"/>
        </w:rPr>
        <w:tab/>
      </w:r>
      <w:r w:rsidRPr="00F32F96">
        <w:rPr>
          <w:rFonts w:ascii="Arial Narrow" w:cs="Arial" w:hAnsi="Arial Narrow"/>
          <w:sz w:val="21"/>
          <w:szCs w:val="21"/>
        </w:rPr>
        <w:tab/>
        <w:t>Pour le syndicat CGT</w:t>
      </w:r>
    </w:p>
    <w:p w14:paraId="75572F1B" w14:textId="27DBCA5A" w:rsidP="007E6D77" w:rsidR="0077047E" w:rsidRDefault="0077047E">
      <w:pPr>
        <w:spacing w:after="120" w:before="120"/>
        <w:rPr>
          <w:rFonts w:ascii="Arial Narrow" w:cs="Arial" w:hAnsi="Arial Narrow"/>
          <w:sz w:val="12"/>
          <w:szCs w:val="12"/>
        </w:rPr>
      </w:pPr>
    </w:p>
    <w:p w14:paraId="35EEB730" w14:textId="77777777" w:rsidP="007E6D77" w:rsidR="00F00A9E" w:rsidRDefault="00F00A9E" w:rsidRPr="00763098">
      <w:pPr>
        <w:spacing w:after="120" w:before="120"/>
        <w:rPr>
          <w:rFonts w:ascii="Arial Narrow" w:cs="Arial" w:hAnsi="Arial Narrow"/>
          <w:sz w:val="12"/>
          <w:szCs w:val="12"/>
        </w:rPr>
      </w:pPr>
    </w:p>
    <w:p w14:paraId="0686FAC7" w14:textId="77D00128" w:rsidP="007E6D77" w:rsidR="0077047E" w:rsidRDefault="00807B6C">
      <w:pPr>
        <w:spacing w:after="120" w:before="120"/>
        <w:rPr>
          <w:rFonts w:ascii="Arial Narrow" w:cs="Arial" w:hAnsi="Arial Narrow"/>
          <w:sz w:val="20"/>
          <w:szCs w:val="20"/>
        </w:rPr>
      </w:pPr>
      <w:r>
        <w:rPr>
          <w:rFonts w:ascii="Arial Narrow" w:cs="Arial" w:hAnsi="Arial Narrow"/>
          <w:sz w:val="20"/>
          <w:szCs w:val="20"/>
        </w:rPr>
        <w:t>ANNEXE 1 : Nouvelle grille interne DSM</w:t>
      </w:r>
    </w:p>
    <w:tbl>
      <w:tblPr>
        <w:tblW w:type="dxa" w:w="7060"/>
        <w:tblCellMar>
          <w:left w:type="dxa" w:w="70"/>
          <w:right w:type="dxa" w:w="70"/>
        </w:tblCellMar>
        <w:tblLook w:firstColumn="1" w:firstRow="1" w:lastColumn="0" w:lastRow="0" w:noHBand="0" w:noVBand="1" w:val="04A0"/>
      </w:tblPr>
      <w:tblGrid>
        <w:gridCol w:w="1280"/>
        <w:gridCol w:w="1240"/>
        <w:gridCol w:w="1320"/>
        <w:gridCol w:w="1180"/>
        <w:gridCol w:w="1180"/>
        <w:gridCol w:w="860"/>
      </w:tblGrid>
      <w:tr w14:paraId="345472BF" w14:textId="77777777" w:rsidR="0077047E" w:rsidRPr="0077047E" w:rsidTr="00763098">
        <w:trPr>
          <w:trHeight w:val="428"/>
        </w:trPr>
        <w:tc>
          <w:tcPr>
            <w:tcW w:type="dxa" w:w="7060"/>
            <w:gridSpan w:val="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000000" w:space="0" w:sz="4" w:val="single"/>
            </w:tcBorders>
            <w:shd w:color="000000" w:fill="FCE4D6" w:val="clear"/>
            <w:vAlign w:val="center"/>
            <w:hideMark/>
          </w:tcPr>
          <w:p w14:paraId="7914F6FE" w14:textId="77777777" w:rsidP="0077047E" w:rsidR="0077047E" w:rsidRDefault="0077047E" w:rsidRPr="0077047E">
            <w:pPr>
              <w:jc w:val="center"/>
              <w:rPr>
                <w:rFonts w:ascii="Calibri" w:cs="Calibri" w:hAnsi="Calibri"/>
                <w:b/>
                <w:bCs/>
                <w:color w:val="FF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FF0000"/>
                <w:sz w:val="18"/>
                <w:szCs w:val="18"/>
              </w:rPr>
              <w:t>OUVRIERS CDI mensualisés</w:t>
            </w:r>
          </w:p>
        </w:tc>
      </w:tr>
      <w:tr w14:paraId="30726409" w14:textId="77777777" w:rsidR="0077047E" w:rsidRPr="0077047E" w:rsidTr="0077047E">
        <w:trPr>
          <w:trHeight w:val="432"/>
        </w:trPr>
        <w:tc>
          <w:tcPr>
            <w:tcW w:type="dxa" w:w="128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000000" w:fill="DDEBF7" w:val="clear"/>
            <w:vAlign w:val="center"/>
            <w:hideMark/>
          </w:tcPr>
          <w:p w14:paraId="26C2E89F" w14:textId="77777777" w:rsidP="0077047E" w:rsidR="0077047E" w:rsidRDefault="0077047E" w:rsidRPr="0077047E">
            <w:pPr>
              <w:jc w:val="center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Classification</w:t>
            </w:r>
          </w:p>
        </w:tc>
        <w:tc>
          <w:tcPr>
            <w:tcW w:type="dxa" w:w="124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DDEBF7" w:val="clear"/>
            <w:vAlign w:val="center"/>
            <w:hideMark/>
          </w:tcPr>
          <w:p w14:paraId="1E62F06F" w14:textId="56A3EC8E" w:rsidP="0077047E" w:rsidR="0077047E" w:rsidRDefault="002F12D1" w:rsidRPr="0077047E">
            <w:pPr>
              <w:jc w:val="center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Nbre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années d'ancienneté</w:t>
            </w:r>
          </w:p>
        </w:tc>
        <w:tc>
          <w:tcPr>
            <w:tcW w:type="dxa" w:w="13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DDEBF7" w:val="clear"/>
            <w:vAlign w:val="center"/>
            <w:hideMark/>
          </w:tcPr>
          <w:p w14:paraId="54AE8F8A" w14:textId="77777777" w:rsidP="0077047E" w:rsidR="0077047E" w:rsidRDefault="0077047E" w:rsidRPr="0077047E">
            <w:pPr>
              <w:jc w:val="center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Rémunération de base</w:t>
            </w:r>
          </w:p>
        </w:tc>
        <w:tc>
          <w:tcPr>
            <w:tcW w:type="dxa" w:w="1180"/>
            <w:tcBorders>
              <w:top w:val="nil"/>
              <w:left w:val="nil"/>
              <w:bottom w:color="auto" w:space="0" w:sz="4" w:val="single"/>
              <w:right w:val="nil"/>
            </w:tcBorders>
            <w:shd w:color="000000" w:fill="DDEBF7" w:val="clear"/>
            <w:vAlign w:val="center"/>
            <w:hideMark/>
          </w:tcPr>
          <w:p w14:paraId="47C58A55" w14:textId="0BE6D285" w:rsidP="0077047E" w:rsidR="0077047E" w:rsidRDefault="002F12D1" w:rsidRPr="0077047E">
            <w:pPr>
              <w:jc w:val="center"/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>Pr. Ancienneté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000000" w:fill="DDEBF7" w:val="clear"/>
            <w:vAlign w:val="center"/>
            <w:hideMark/>
          </w:tcPr>
          <w:p w14:paraId="0058B99F" w14:textId="77777777" w:rsidP="0077047E" w:rsidR="0077047E" w:rsidRDefault="0077047E" w:rsidRPr="0077047E">
            <w:pPr>
              <w:jc w:val="center"/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>SBMH DSM</w:t>
            </w:r>
          </w:p>
        </w:tc>
        <w:tc>
          <w:tcPr>
            <w:tcW w:type="dxa" w:w="8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DDEBF7" w:val="clear"/>
            <w:vAlign w:val="center"/>
            <w:hideMark/>
          </w:tcPr>
          <w:p w14:paraId="66D5BAF6" w14:textId="77777777" w:rsidP="0077047E" w:rsidR="0077047E" w:rsidRDefault="0077047E" w:rsidRPr="0077047E">
            <w:pPr>
              <w:jc w:val="center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Ecarts</w:t>
            </w:r>
          </w:p>
        </w:tc>
      </w:tr>
      <w:tr w14:paraId="76E379E1" w14:textId="77777777" w:rsidR="0077047E" w:rsidRPr="0077047E" w:rsidTr="0077047E">
        <w:trPr>
          <w:trHeight w:val="285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2F746804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B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1FC72484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35D0A53C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1 926,99 €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05FBB00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1395BE6D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           -  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72B723C0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</w:tr>
      <w:tr w14:paraId="1BCE6B33" w14:textId="77777777" w:rsidR="0077047E" w:rsidRPr="0077047E" w:rsidTr="0077047E">
        <w:trPr>
          <w:trHeight w:val="24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0FC793C5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767C96BF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24B027B5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14F00A39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57C4DA6A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> 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35FBE6B5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</w:tr>
      <w:tr w14:paraId="61843304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58F334E7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C1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54176A9" w14:textId="3C0889BD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0 à 3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3B71E4B9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1 992,91 €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1B6050F2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590E0F2E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1 992,91 €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B694B8E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</w:tr>
      <w:tr w14:paraId="1E38CBD7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27A615A5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99911B7" w14:textId="3CC329AE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3 à 6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70496ADA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1 992,91 €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B951113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>89,20 €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0BCE4B0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2 082,11 €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599E0529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17851BD4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03F0B7B3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4C3F12B" w14:textId="21626894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6 à 9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2C07DFBB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1 992,91 €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51ECBFF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178,40 €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984BEEB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2 171,31 €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49D0994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1BB94847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68895C2B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78A1DAC0" w14:textId="1A1696FB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9 à 12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7451DEA0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1 992,91 €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3D6891B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267,60 €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5856705A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2 260,51 €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7211899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1368CDDD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2E168317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0AFE525" w14:textId="09A9B9D5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12 à 15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66F68379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1 992,91 €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1A1E9A4B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356,80 €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311E0DA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2 349,71 €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7FEBC81C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65B3E91F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36AE5C25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5A11CE82" w14:textId="06E1B0E3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15 à 18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782C2D9C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1 992,91 €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51DEB873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446,00 €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856FA80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2 438,91 €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BD501D3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473F2088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420332A3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FBA7208" w14:textId="4014DE9F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18 à 21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7EB55613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1 992,91 €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DB40773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535,20 €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E8E73A9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2 528,11 €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9F7ECAA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2789BE78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5BCFD506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F2C3C4B" w14:textId="415C246A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21 à 24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6F11DF69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1 992,91 €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1BB4BB01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624,40 €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7F76D293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2 617,31 €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C7960F8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37BF4D80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6A5CDA28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72A2533" w14:textId="6AFA480A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24 à 27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76E1C1E2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1 992,91 €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DD7E952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713,60 €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F1ED01E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2 706,51 €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C230D3B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3FEC1CC0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410D02C3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B2FD5D2" w14:textId="0FFBFC46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27 à 30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652AB11A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1 992,91 €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1D92E27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802,80 €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73CC63BC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2 795,71 €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31B0DC6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2405AFC2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6017D7F4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DC49332" w14:textId="7EC334E3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30 à plus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494F99B0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1 992,91 €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DC7DB71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892,00 €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73A441C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2 884,91 €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153B9A5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14EBC180" w14:textId="77777777" w:rsidR="0077047E" w:rsidRPr="0077047E" w:rsidTr="0077047E">
        <w:trPr>
          <w:trHeight w:val="21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09345D87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38F4B26D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1E6DC3C9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73FCB4BB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40AE6B69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> 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7E5B702F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</w:tr>
      <w:tr w14:paraId="1ED2E408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336AF9E2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C2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A01174A" w14:textId="6746D0C2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0 à 3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06E7309A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2 104,15 €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E4038B1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0CBD9B5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2 104,15 €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176BD4E4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</w:tr>
      <w:tr w14:paraId="77B8270E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1B82B909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101559B" w14:textId="44AF711E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3 à 6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2B3DCBCA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2 104,15 €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7CBFCBDD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>89,20 €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4FCCD90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2 193,35 €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516701AD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07D6EAAA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6EBF42CA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A721F37" w14:textId="47792C69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6 à 9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4724671C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2 104,15 €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5A9466C0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178,40 €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A36BBD4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2 282,55 €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70D072F4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7FD921C1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5AF51E26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8927FF5" w14:textId="17E27E49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9 à 12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77439FE9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2 104,15 €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785A998A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267,60 €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6C1328D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2 371,75 €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7CBD28F4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3AB400A0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47F0F8E7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2897F47" w14:textId="708DF985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12 à 15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6FE47399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2 104,15 €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A33A641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356,80 €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1A7DC4C9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2 460,95 €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5F31D32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00BE68EF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2688BE76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6FF8184" w14:textId="4E2674C1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15 à 18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73189E2F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2 104,15 €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12796D3C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446,00 €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57604986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2 550,15 €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3F17266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543F8E58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23CC3CF1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D4AB228" w14:textId="78292A8B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18 à 21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65A18E3F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2 104,15 €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1DAE3BA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535,20 €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55F0C12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2 639,35 €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A5EDC8A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6AFC4CC3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2544BB9C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58DE09E4" w14:textId="0C5D984D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21 à 24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592E4ED6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2 104,15 €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0934DDE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624,40 €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E1F2D98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2 728,55 €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5D24E1EE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1FADBF3C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6C19C4DB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3A1F4AE" w14:textId="4244333C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24 à 27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67347912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2 104,15 €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3159AC7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713,60 €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EDFAC11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2 817,75 €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75D8F7F7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76F00BDB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678E280D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53A370F5" w14:textId="1DFDA738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27 à 30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403158F8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2 104,15 €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02F067F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802,80 €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7191F42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2 906,95 €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9D1211C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55DD5A19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7203C4D8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15A38F14" w14:textId="7C3FC921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30 à plus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3EB4A870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2 104,15 €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3AEB70A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892,00 €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50B0D91E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2 996,15 €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B862F9D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2ECC713C" w14:textId="77777777" w:rsidR="0077047E" w:rsidRPr="0077047E" w:rsidTr="0077047E">
        <w:trPr>
          <w:trHeight w:val="21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27D65689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64C29D5C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191BB93A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579DA1A3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554ED390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> 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4C1723FD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</w:tr>
      <w:tr w14:paraId="3B1264A9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7420D9D8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C3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B522583" w14:textId="38A291AB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0 à 3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0975D7C1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2 216,42 €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8E2AD55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7B203B6A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2 216,42 €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1E9451CA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</w:tr>
      <w:tr w14:paraId="472D0793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4BAC7CAA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337545C" w14:textId="56DE7F0D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3 à 6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6CAC15A6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2 216,42 €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0C78568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>89,20 €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155A340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2 305,62 €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D649820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1A46800E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2588674C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7CEFA0BA" w14:textId="5CA0C913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6 à 9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0FF602C6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2 216,42 €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BD51B80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178,40 €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98CF8D4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2 394,82 €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032DC9E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22CCCA0B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1DAB46B8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EC4CC12" w14:textId="2E60F25B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9 à 12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6ED5B676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2 216,42 €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17C5CA9A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267,60 €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19FA21A2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2 484,02 €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BE8F35C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39359CF8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256FD5A0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E63157E" w14:textId="6935A2CF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12 à 15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4A3C6FB8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2 216,42 €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B96C3BC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356,80 €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1DFA743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2 573,22 €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C20965F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59514D67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58D3A3A5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A39CAB5" w14:textId="0FE559C3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15 à 18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26224C76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2 216,42 €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CDC0205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446,00 €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F46214D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2 662,42 €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70787C9C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7397282D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1F135571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3C18E8B" w14:textId="6A680C76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</w:t>
            </w:r>
            <w:r w:rsidR="002F12D1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18 à 21 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738630B3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2 216,42 €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7E074ACB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535,20 €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78CD530A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2 751,62 €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77F7AC3A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28A09271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08ED30F9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E7C8638" w14:textId="522FD50F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21 à 24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5A35C9F0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2 216,42 €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5C90F3D9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624,40 €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FE7A8BE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2 840,82 €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54163DB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5632F919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331EB046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B5D4240" w14:textId="6F0546F8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24 à 27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03C35C68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2 216,42 €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78BCBC5F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713,60 €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7B938A5C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2 930,02 €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62FE361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48AF0AC8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7C8B0D65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7D8DC94F" w14:textId="345A5BA8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27 à 30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4370D203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2 216,42 €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5A358FBC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802,80 €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53D8068C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3 019,22 €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1800E3D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30BF3E62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7E3D8593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193A6053" w14:textId="4FDDD662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30 à plus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6F8E16CF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2 216,42 €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90DE80E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892,00 €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58C2771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3 108,42 €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CD20965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1A4726CB" w14:textId="77777777" w:rsidR="0077047E" w:rsidRPr="0077047E" w:rsidTr="0077047E">
        <w:trPr>
          <w:trHeight w:val="195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33C91583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444B093F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0DAE9ABE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7E73313A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243485D8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> 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0DFF680B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</w:tr>
      <w:tr w14:paraId="63F338DF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36A80773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D1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732881D" w14:textId="33880A3A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0 à 3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189CA95D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2 338,99 €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D1A0CAE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7B655C61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2 338,99 €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7A95E806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</w:tr>
      <w:tr w14:paraId="02DA8AD7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04D9A53F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CA51A62" w14:textId="00A50D54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3 à 6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54F1F9CB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2 338,99 €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208B291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>89,20 €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2B74C02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2 428,19 €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CEB8859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08B87639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150D0FAF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11F5B2F" w14:textId="4296C563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6 à 9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1AF9E3CE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2 338,99 €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7FA5257B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178,40 €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7D9BE31B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2 517,39 €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06473B9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25DF3F7B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279C1F68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B6DA330" w14:textId="23C3A7F9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9 à 12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281A2A14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2 338,99 €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ECCF93E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267,60 €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88266EF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2 606,59 €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DB3CD7E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081EFA4D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009309F5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3F1BF4B" w14:textId="0DE11D02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12 à 15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0C445813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2 338,99 €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4F375E1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356,80 €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7AFE17EE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2 695,79 €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0E91032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195F7BB9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27750EED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50CA6CDB" w14:textId="1B437B8B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15 à 18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00BEEC16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2 338,99 €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773AD9B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446,00 €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BD7F431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2 784,99 €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56BFDBC8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1A68A048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7F1A298A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9B8A253" w14:textId="718AA53A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18 à 21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2B380220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2 338,99 €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1EB65367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535,20 €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53AA5EB9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2 874,19 €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A00C3E9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2A6B6DA8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3AD9AD71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BDFA63C" w14:textId="44E000B7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21 à 24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5DF931FF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2 338,99 €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BFFFA8C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624,40 €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63BB0D0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2 963,39 €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1AFB013E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05548500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765AA077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DCAFEA7" w14:textId="65665BD3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24 à 27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3F98053D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2 338,99 €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60DD452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713,60 €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1B971B7E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3 052,59 €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F06721D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7B07E145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167F08E6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285265D" w14:textId="29082E69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27 à 30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691D8A36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2 338,99 €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D4C1DF3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802,80 €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5C25AF12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3 141,79 €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CBA1D6E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16E5FBD5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785A0BE0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1867B4D" w14:textId="442C2A34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30 à plus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0F34F43F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2 338,99 €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7D8ABBFF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892,00 €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E5B1ECC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3 230,99 €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18B94703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</w:tbl>
    <w:p w14:paraId="786DD0CA" w14:textId="77777777" w:rsidP="007E6D77" w:rsidR="00807B6C" w:rsidRDefault="00807B6C">
      <w:pPr>
        <w:spacing w:after="120" w:before="120"/>
        <w:rPr>
          <w:rFonts w:ascii="Arial Narrow" w:cs="Arial" w:hAnsi="Arial Narrow"/>
          <w:sz w:val="20"/>
          <w:szCs w:val="20"/>
        </w:rPr>
      </w:pPr>
    </w:p>
    <w:tbl>
      <w:tblPr>
        <w:tblW w:type="dxa" w:w="7225"/>
        <w:tblCellMar>
          <w:left w:type="dxa" w:w="70"/>
          <w:right w:type="dxa" w:w="70"/>
        </w:tblCellMar>
        <w:tblLook w:firstColumn="1" w:firstRow="1" w:lastColumn="0" w:lastRow="0" w:noHBand="0" w:noVBand="1" w:val="04A0"/>
      </w:tblPr>
      <w:tblGrid>
        <w:gridCol w:w="1280"/>
        <w:gridCol w:w="1267"/>
        <w:gridCol w:w="1276"/>
        <w:gridCol w:w="1275"/>
        <w:gridCol w:w="1276"/>
        <w:gridCol w:w="851"/>
      </w:tblGrid>
      <w:tr w14:paraId="4A7B5A85" w14:textId="77777777" w:rsidR="0077047E" w:rsidRPr="0077047E" w:rsidTr="000419E9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552762C0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D2</w:t>
            </w:r>
          </w:p>
        </w:tc>
        <w:tc>
          <w:tcPr>
            <w:tcW w:type="dxa" w:w="1267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3044966" w14:textId="7B1F550C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0 à 3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3680AC3E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2 451,26 € </w:t>
            </w:r>
          </w:p>
        </w:tc>
        <w:tc>
          <w:tcPr>
            <w:tcW w:type="dxa" w:w="1275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15C865E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559B6E55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2 451,26 € </w:t>
            </w:r>
          </w:p>
        </w:tc>
        <w:tc>
          <w:tcPr>
            <w:tcW w:type="dxa" w:w="851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6E496D6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</w:tr>
      <w:tr w14:paraId="43D60C16" w14:textId="77777777" w:rsidR="0077047E" w:rsidRPr="0077047E" w:rsidTr="000419E9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794C84CB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67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78F4FD8" w14:textId="5B89AF06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3 à 6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1FF6BAC2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2 451,26 € </w:t>
            </w:r>
          </w:p>
        </w:tc>
        <w:tc>
          <w:tcPr>
            <w:tcW w:type="dxa" w:w="1275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57675B2C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>89,20 €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32197C1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2 540,46 € </w:t>
            </w:r>
          </w:p>
        </w:tc>
        <w:tc>
          <w:tcPr>
            <w:tcW w:type="dxa" w:w="851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AC788C1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77495711" w14:textId="77777777" w:rsidR="0077047E" w:rsidRPr="0077047E" w:rsidTr="000419E9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059A75C6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67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11A4CEE0" w14:textId="0EFF4252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6 à 9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7AA125B6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2 451,26 € </w:t>
            </w:r>
          </w:p>
        </w:tc>
        <w:tc>
          <w:tcPr>
            <w:tcW w:type="dxa" w:w="1275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1330BC1E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178,40 € 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FAD8E42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2 629,66 € </w:t>
            </w:r>
          </w:p>
        </w:tc>
        <w:tc>
          <w:tcPr>
            <w:tcW w:type="dxa" w:w="851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50375F21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67A1BE7C" w14:textId="77777777" w:rsidR="0077047E" w:rsidRPr="0077047E" w:rsidTr="000419E9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539E1E76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67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7403754C" w14:textId="21BDF34A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9 à 12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43B7DC0C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2 451,26 € </w:t>
            </w:r>
          </w:p>
        </w:tc>
        <w:tc>
          <w:tcPr>
            <w:tcW w:type="dxa" w:w="1275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7F818083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267,60 € 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62C1EB9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2 718,86 € </w:t>
            </w:r>
          </w:p>
        </w:tc>
        <w:tc>
          <w:tcPr>
            <w:tcW w:type="dxa" w:w="851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5A35FE0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773D48D8" w14:textId="77777777" w:rsidR="0077047E" w:rsidRPr="0077047E" w:rsidTr="000419E9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43157808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67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9AAB4B5" w14:textId="05C69FBF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12 à 15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14E34984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2 451,26 € </w:t>
            </w:r>
          </w:p>
        </w:tc>
        <w:tc>
          <w:tcPr>
            <w:tcW w:type="dxa" w:w="1275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E88048C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356,80 € 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73236684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2 808,06 € </w:t>
            </w:r>
          </w:p>
        </w:tc>
        <w:tc>
          <w:tcPr>
            <w:tcW w:type="dxa" w:w="851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020D94E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7D989402" w14:textId="77777777" w:rsidR="0077047E" w:rsidRPr="0077047E" w:rsidTr="000419E9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05207990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67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9E43CCA" w14:textId="6B6A31A8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15 à 18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53FCE30E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2 451,26 € </w:t>
            </w:r>
          </w:p>
        </w:tc>
        <w:tc>
          <w:tcPr>
            <w:tcW w:type="dxa" w:w="1275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79F697A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446,00 € 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99E3B8C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2 897,26 € </w:t>
            </w:r>
          </w:p>
        </w:tc>
        <w:tc>
          <w:tcPr>
            <w:tcW w:type="dxa" w:w="851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65F359D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1B7BE0EA" w14:textId="77777777" w:rsidR="0077047E" w:rsidRPr="0077047E" w:rsidTr="000419E9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617317F8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67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176B800E" w14:textId="6E24220F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18 à 21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121C4F56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2 451,26 € </w:t>
            </w:r>
          </w:p>
        </w:tc>
        <w:tc>
          <w:tcPr>
            <w:tcW w:type="dxa" w:w="1275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31C5D33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535,20 € 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523047E4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2 986,46 € </w:t>
            </w:r>
          </w:p>
        </w:tc>
        <w:tc>
          <w:tcPr>
            <w:tcW w:type="dxa" w:w="851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142D1EB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07DF43A5" w14:textId="77777777" w:rsidR="0077047E" w:rsidRPr="0077047E" w:rsidTr="000419E9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7A7041DA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67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F9B4806" w14:textId="36352801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21 à 24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4326E386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2 451,26 € </w:t>
            </w:r>
          </w:p>
        </w:tc>
        <w:tc>
          <w:tcPr>
            <w:tcW w:type="dxa" w:w="1275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5F3613F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624,40 € 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4E6985D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3 075,66 € </w:t>
            </w:r>
          </w:p>
        </w:tc>
        <w:tc>
          <w:tcPr>
            <w:tcW w:type="dxa" w:w="851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D6FDF88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365E5C0A" w14:textId="77777777" w:rsidR="0077047E" w:rsidRPr="0077047E" w:rsidTr="000419E9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1B32BF40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67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4DFB778" w14:textId="7F7A2DF1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24 à 27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158E396F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2 451,26 € </w:t>
            </w:r>
          </w:p>
        </w:tc>
        <w:tc>
          <w:tcPr>
            <w:tcW w:type="dxa" w:w="1275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C3E0BB4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713,60 € 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353AA98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3 164,86 € </w:t>
            </w:r>
          </w:p>
        </w:tc>
        <w:tc>
          <w:tcPr>
            <w:tcW w:type="dxa" w:w="851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7BC45784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11767BFF" w14:textId="77777777" w:rsidR="0077047E" w:rsidRPr="0077047E" w:rsidTr="000419E9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5CFDB37D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67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BDBA3AC" w14:textId="258C43CF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27 à 30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0422A81F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2 451,26 € </w:t>
            </w:r>
          </w:p>
        </w:tc>
        <w:tc>
          <w:tcPr>
            <w:tcW w:type="dxa" w:w="1275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0986E4D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802,80 € 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2CC4CED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3 254,06 € </w:t>
            </w:r>
          </w:p>
        </w:tc>
        <w:tc>
          <w:tcPr>
            <w:tcW w:type="dxa" w:w="851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2AFE87A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4814EDE0" w14:textId="77777777" w:rsidR="0077047E" w:rsidRPr="0077047E" w:rsidTr="000419E9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097F99CA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67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7F3B9E0A" w14:textId="7E0704F9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30 à plus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2D2AE6A9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2 451,26 € </w:t>
            </w:r>
          </w:p>
        </w:tc>
        <w:tc>
          <w:tcPr>
            <w:tcW w:type="dxa" w:w="1275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1DFB324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892,00 € 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5DE84C6F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3 343,26 € </w:t>
            </w:r>
          </w:p>
        </w:tc>
        <w:tc>
          <w:tcPr>
            <w:tcW w:type="dxa" w:w="851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3C92ECB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661A5DA7" w14:textId="77777777" w:rsidR="0077047E" w:rsidRPr="0077047E" w:rsidTr="000419E9">
        <w:trPr>
          <w:trHeight w:val="21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65F672D4" w14:textId="77777777" w:rsidP="0077047E" w:rsidR="0077047E" w:rsidRDefault="0077047E" w:rsidRPr="0077047E">
            <w:pPr>
              <w:rPr>
                <w:rFonts w:ascii="Calibri" w:cs="Calibri" w:hAnsi="Calibri"/>
                <w:color w:val="1F4E78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1F4E78"/>
                <w:sz w:val="18"/>
                <w:szCs w:val="18"/>
              </w:rPr>
              <w:t> </w:t>
            </w:r>
          </w:p>
        </w:tc>
        <w:tc>
          <w:tcPr>
            <w:tcW w:type="dxa" w:w="1267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3AA021A8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2C38006D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</w:p>
        </w:tc>
        <w:tc>
          <w:tcPr>
            <w:tcW w:type="dxa" w:w="1275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7B7519A1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566532FE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> </w:t>
            </w:r>
          </w:p>
        </w:tc>
        <w:tc>
          <w:tcPr>
            <w:tcW w:type="dxa" w:w="851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03621DB5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</w:tr>
      <w:tr w14:paraId="5BC69C91" w14:textId="77777777" w:rsidR="0077047E" w:rsidRPr="0077047E" w:rsidTr="000419E9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1C87B2A7" w14:textId="77777777" w:rsidP="0077047E" w:rsidR="0077047E" w:rsidRDefault="0077047E" w:rsidRPr="0077047E">
            <w:pPr>
              <w:rPr>
                <w:rFonts w:cs="Arial"/>
                <w:color w:val="1F4E78"/>
                <w:sz w:val="18"/>
                <w:szCs w:val="18"/>
              </w:rPr>
            </w:pPr>
            <w:r w:rsidRPr="0077047E">
              <w:rPr>
                <w:rFonts w:cs="Arial"/>
                <w:color w:val="1F4E78"/>
                <w:sz w:val="18"/>
                <w:szCs w:val="18"/>
              </w:rPr>
              <w:t>D2</w:t>
            </w:r>
            <w:r w:rsidRPr="0077047E">
              <w:rPr>
                <w:rFonts w:cs="Arial"/>
                <w:color w:val="1F4E78"/>
                <w:sz w:val="18"/>
                <w:szCs w:val="18"/>
                <w:u w:val="single"/>
              </w:rPr>
              <w:t xml:space="preserve"> +154,50 €</w:t>
            </w:r>
          </w:p>
        </w:tc>
        <w:tc>
          <w:tcPr>
            <w:tcW w:type="dxa" w:w="1267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1CDD6220" w14:textId="77777777" w:rsidP="0077047E" w:rsidR="0077047E" w:rsidRDefault="0077047E" w:rsidRPr="0077047E">
            <w:pPr>
              <w:rPr>
                <w:rFonts w:ascii="Calibri" w:cs="Calibri" w:hAnsi="Calibri"/>
                <w:color w:val="1F4E78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1F4E78"/>
                <w:sz w:val="18"/>
                <w:szCs w:val="18"/>
              </w:rPr>
              <w:t>POOL Pointeur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740A149A" w14:textId="77777777" w:rsidP="0077047E" w:rsidR="0077047E" w:rsidRDefault="0077047E" w:rsidRPr="0077047E">
            <w:pPr>
              <w:rPr>
                <w:rFonts w:ascii="Calibri" w:cs="Calibri" w:hAnsi="Calibri"/>
                <w:color w:val="1F4E78"/>
                <w:sz w:val="18"/>
                <w:szCs w:val="18"/>
              </w:rPr>
            </w:pPr>
          </w:p>
        </w:tc>
        <w:tc>
          <w:tcPr>
            <w:tcW w:type="dxa" w:w="1275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41C553E0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4A2FA2FF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> </w:t>
            </w:r>
          </w:p>
        </w:tc>
        <w:tc>
          <w:tcPr>
            <w:tcW w:type="dxa" w:w="851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208CFCB0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</w:tr>
      <w:tr w14:paraId="3DBA2365" w14:textId="77777777" w:rsidR="0077047E" w:rsidRPr="0077047E" w:rsidTr="000419E9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6D713C17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D2</w:t>
            </w:r>
          </w:p>
        </w:tc>
        <w:tc>
          <w:tcPr>
            <w:tcW w:type="dxa" w:w="1267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C1B4142" w14:textId="0F4815CD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0 à 3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2CA3410B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2 605,76 € </w:t>
            </w:r>
          </w:p>
        </w:tc>
        <w:tc>
          <w:tcPr>
            <w:tcW w:type="dxa" w:w="1275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E030217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473DD96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2 605,76 € </w:t>
            </w:r>
          </w:p>
        </w:tc>
        <w:tc>
          <w:tcPr>
            <w:tcW w:type="dxa" w:w="851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C0883EF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</w:tr>
      <w:tr w14:paraId="6D076B2D" w14:textId="77777777" w:rsidR="0077047E" w:rsidRPr="0077047E" w:rsidTr="000419E9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28EC9CAE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67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18438186" w14:textId="4E7C91BE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3 à 6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70CCC200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2 605,76 € </w:t>
            </w:r>
          </w:p>
        </w:tc>
        <w:tc>
          <w:tcPr>
            <w:tcW w:type="dxa" w:w="1275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7A3B6F69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>89,20 €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552E0142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2 694,96 € </w:t>
            </w:r>
          </w:p>
        </w:tc>
        <w:tc>
          <w:tcPr>
            <w:tcW w:type="dxa" w:w="851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0F33364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14EB145B" w14:textId="77777777" w:rsidR="0077047E" w:rsidRPr="0077047E" w:rsidTr="000419E9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50A7941C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67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7E9CC44" w14:textId="60405E14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6 à 9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6F4E1B3A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2 605,76 € </w:t>
            </w:r>
          </w:p>
        </w:tc>
        <w:tc>
          <w:tcPr>
            <w:tcW w:type="dxa" w:w="1275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27767B3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178,40 € 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59D1F998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2 784,16 € </w:t>
            </w:r>
          </w:p>
        </w:tc>
        <w:tc>
          <w:tcPr>
            <w:tcW w:type="dxa" w:w="851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7612591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0C0B1C03" w14:textId="77777777" w:rsidR="0077047E" w:rsidRPr="0077047E" w:rsidTr="000419E9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19789105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67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1603BDE" w14:textId="0545F17C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9 à 12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23E57F54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2 605,76 € </w:t>
            </w:r>
          </w:p>
        </w:tc>
        <w:tc>
          <w:tcPr>
            <w:tcW w:type="dxa" w:w="1275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6527E87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267,60 € 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15CCBFB0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2 873,36 € </w:t>
            </w:r>
          </w:p>
        </w:tc>
        <w:tc>
          <w:tcPr>
            <w:tcW w:type="dxa" w:w="851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AE270B7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791C44F6" w14:textId="77777777" w:rsidR="0077047E" w:rsidRPr="0077047E" w:rsidTr="000419E9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213E5890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67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FD84C00" w14:textId="2D4DA6A6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12 à 15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57E884F9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2 605,76 € </w:t>
            </w:r>
          </w:p>
        </w:tc>
        <w:tc>
          <w:tcPr>
            <w:tcW w:type="dxa" w:w="1275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E4230BB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356,80 € 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1C543B78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2 962,56 € </w:t>
            </w:r>
          </w:p>
        </w:tc>
        <w:tc>
          <w:tcPr>
            <w:tcW w:type="dxa" w:w="851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67A33A6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3D61A66D" w14:textId="77777777" w:rsidR="0077047E" w:rsidRPr="0077047E" w:rsidTr="000419E9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4C8E9384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67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14BE1C6D" w14:textId="50D14626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15 à 18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5C554388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2 605,76 € </w:t>
            </w:r>
          </w:p>
        </w:tc>
        <w:tc>
          <w:tcPr>
            <w:tcW w:type="dxa" w:w="1275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E0CB29D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446,00 € 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582D14B0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3 051,76 € </w:t>
            </w:r>
          </w:p>
        </w:tc>
        <w:tc>
          <w:tcPr>
            <w:tcW w:type="dxa" w:w="851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547F941B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56F7AD89" w14:textId="77777777" w:rsidR="0077047E" w:rsidRPr="0077047E" w:rsidTr="000419E9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663A7C89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67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CC884E9" w14:textId="5FA1CAB3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18 à 21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639FC31F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2 605,76 € </w:t>
            </w:r>
          </w:p>
        </w:tc>
        <w:tc>
          <w:tcPr>
            <w:tcW w:type="dxa" w:w="1275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30D6C6F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535,20 € 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5058E94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3 140,96 € </w:t>
            </w:r>
          </w:p>
        </w:tc>
        <w:tc>
          <w:tcPr>
            <w:tcW w:type="dxa" w:w="851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13B9CB6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0405EFE1" w14:textId="77777777" w:rsidR="0077047E" w:rsidRPr="0077047E" w:rsidTr="000419E9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76C93C2E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67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116A1A1" w14:textId="1C659402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21 à 24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7C436D22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2 605,76 € </w:t>
            </w:r>
          </w:p>
        </w:tc>
        <w:tc>
          <w:tcPr>
            <w:tcW w:type="dxa" w:w="1275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1BEB4C7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624,40 € 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C2A00D9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3 230,16 € </w:t>
            </w:r>
          </w:p>
        </w:tc>
        <w:tc>
          <w:tcPr>
            <w:tcW w:type="dxa" w:w="851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26F5469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3666462F" w14:textId="77777777" w:rsidR="0077047E" w:rsidRPr="0077047E" w:rsidTr="000419E9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72D032E6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67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83DA02D" w14:textId="1761DC0F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24 à 27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2F36A801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2 605,76 € </w:t>
            </w:r>
          </w:p>
        </w:tc>
        <w:tc>
          <w:tcPr>
            <w:tcW w:type="dxa" w:w="1275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5ED7F70B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713,60 € 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1E2D422E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3 319,36 € </w:t>
            </w:r>
          </w:p>
        </w:tc>
        <w:tc>
          <w:tcPr>
            <w:tcW w:type="dxa" w:w="851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950A8BD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4CF965C2" w14:textId="77777777" w:rsidR="0077047E" w:rsidRPr="0077047E" w:rsidTr="000419E9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0C9F45A8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67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553FE392" w14:textId="68F3E2F0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27 à 30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0F0A31F5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2 605,76 € </w:t>
            </w:r>
          </w:p>
        </w:tc>
        <w:tc>
          <w:tcPr>
            <w:tcW w:type="dxa" w:w="1275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152B3649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802,80 € 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5CE3D6D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3 408,56 € </w:t>
            </w:r>
          </w:p>
        </w:tc>
        <w:tc>
          <w:tcPr>
            <w:tcW w:type="dxa" w:w="851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4174D33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7BD93D2F" w14:textId="77777777" w:rsidR="0077047E" w:rsidRPr="0077047E" w:rsidTr="000419E9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color="auto" w:space="0" w:sz="4" w:val="single"/>
              <w:right w:val="nil"/>
            </w:tcBorders>
            <w:shd w:color="000000" w:fill="DDEBF7" w:val="clear"/>
            <w:noWrap/>
            <w:vAlign w:val="bottom"/>
            <w:hideMark/>
          </w:tcPr>
          <w:p w14:paraId="16C1A137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67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1D527760" w14:textId="503CE529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30 à plus</w:t>
            </w:r>
          </w:p>
        </w:tc>
        <w:tc>
          <w:tcPr>
            <w:tcW w:type="dxa" w:w="1276"/>
            <w:tcBorders>
              <w:top w:val="nil"/>
              <w:left w:val="nil"/>
              <w:bottom w:color="auto" w:space="0" w:sz="4" w:val="single"/>
              <w:right w:val="nil"/>
            </w:tcBorders>
            <w:shd w:color="000000" w:fill="DDEBF7" w:val="clear"/>
            <w:noWrap/>
            <w:vAlign w:val="bottom"/>
            <w:hideMark/>
          </w:tcPr>
          <w:p w14:paraId="7FBA60C8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2 605,76 € </w:t>
            </w:r>
          </w:p>
        </w:tc>
        <w:tc>
          <w:tcPr>
            <w:tcW w:type="dxa" w:w="1275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C1FE0BA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892,00 € </w:t>
            </w:r>
          </w:p>
        </w:tc>
        <w:tc>
          <w:tcPr>
            <w:tcW w:type="dxa" w:w="127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5DFD1403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3 497,76 € </w:t>
            </w:r>
          </w:p>
        </w:tc>
        <w:tc>
          <w:tcPr>
            <w:tcW w:type="dxa" w:w="851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50F5AC21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4B3B92B7" w14:textId="77777777" w:rsidR="0077047E" w:rsidRPr="0077047E" w:rsidTr="000419E9">
        <w:trPr>
          <w:trHeight w:val="195"/>
        </w:trPr>
        <w:tc>
          <w:tcPr>
            <w:tcW w:type="dxa" w:w="1280"/>
            <w:tcBorders>
              <w:top w:val="nil"/>
              <w:left w:val="nil"/>
              <w:bottom w:color="auto" w:space="0" w:sz="4" w:val="single"/>
              <w:right w:val="nil"/>
            </w:tcBorders>
            <w:shd w:color="auto" w:fill="auto" w:val="clear"/>
            <w:noWrap/>
            <w:vAlign w:val="bottom"/>
            <w:hideMark/>
          </w:tcPr>
          <w:p w14:paraId="580D340D" w14:textId="77777777" w:rsidP="0077047E" w:rsidR="0077047E" w:rsidRDefault="0077047E" w:rsidRPr="0077047E">
            <w:pPr>
              <w:rPr>
                <w:rFonts w:ascii="Calibri" w:cs="Calibri" w:hAnsi="Calibri"/>
                <w:color w:val="1F4E78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1F4E78"/>
                <w:sz w:val="18"/>
                <w:szCs w:val="18"/>
              </w:rPr>
              <w:t> </w:t>
            </w:r>
          </w:p>
        </w:tc>
        <w:tc>
          <w:tcPr>
            <w:tcW w:type="dxa" w:w="1267"/>
            <w:tcBorders>
              <w:top w:val="nil"/>
              <w:left w:val="nil"/>
              <w:bottom w:color="auto" w:space="0" w:sz="4" w:val="single"/>
              <w:right w:val="nil"/>
            </w:tcBorders>
            <w:shd w:color="auto" w:fill="auto" w:val="clear"/>
            <w:noWrap/>
            <w:vAlign w:val="bottom"/>
            <w:hideMark/>
          </w:tcPr>
          <w:p w14:paraId="0D92B9DB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76"/>
            <w:tcBorders>
              <w:top w:val="nil"/>
              <w:left w:val="nil"/>
              <w:bottom w:color="auto" w:space="0" w:sz="4" w:val="single"/>
              <w:right w:val="nil"/>
            </w:tcBorders>
            <w:shd w:color="auto" w:fill="auto" w:val="clear"/>
            <w:noWrap/>
            <w:vAlign w:val="bottom"/>
            <w:hideMark/>
          </w:tcPr>
          <w:p w14:paraId="50F0C5F2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75"/>
            <w:tcBorders>
              <w:top w:val="nil"/>
              <w:left w:val="nil"/>
              <w:bottom w:color="auto" w:space="0" w:sz="4" w:val="single"/>
              <w:right w:val="nil"/>
            </w:tcBorders>
            <w:shd w:color="auto" w:fill="auto" w:val="clear"/>
            <w:noWrap/>
            <w:vAlign w:val="bottom"/>
            <w:hideMark/>
          </w:tcPr>
          <w:p w14:paraId="3FE6C861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76"/>
            <w:tcBorders>
              <w:top w:val="nil"/>
              <w:left w:val="nil"/>
              <w:bottom w:color="auto" w:space="0" w:sz="4" w:val="single"/>
              <w:right w:val="nil"/>
            </w:tcBorders>
            <w:shd w:color="auto" w:fill="auto" w:val="clear"/>
            <w:noWrap/>
            <w:vAlign w:val="bottom"/>
            <w:hideMark/>
          </w:tcPr>
          <w:p w14:paraId="13A2078F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> </w:t>
            </w:r>
          </w:p>
        </w:tc>
        <w:tc>
          <w:tcPr>
            <w:tcW w:type="dxa" w:w="851"/>
            <w:tcBorders>
              <w:top w:val="nil"/>
              <w:left w:val="nil"/>
              <w:bottom w:color="auto" w:space="0" w:sz="4" w:val="single"/>
              <w:right w:val="nil"/>
            </w:tcBorders>
            <w:shd w:color="auto" w:fill="auto" w:val="clear"/>
            <w:noWrap/>
            <w:vAlign w:val="bottom"/>
            <w:hideMark/>
          </w:tcPr>
          <w:p w14:paraId="4A08B604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</w:tr>
      <w:tr w14:paraId="259F6360" w14:textId="77777777" w:rsidR="0077047E" w:rsidRPr="0077047E" w:rsidTr="000419E9">
        <w:trPr>
          <w:trHeight w:val="229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47785976" w14:textId="77777777" w:rsidP="0077047E" w:rsidR="0077047E" w:rsidRDefault="0077047E" w:rsidRPr="0077047E">
            <w:pPr>
              <w:rPr>
                <w:rFonts w:ascii="Calibri" w:cs="Calibri" w:hAnsi="Calibri"/>
                <w:color w:val="1F4E78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1F4E78"/>
                <w:sz w:val="18"/>
                <w:szCs w:val="18"/>
              </w:rPr>
              <w:t>D2</w:t>
            </w:r>
            <w:r w:rsidRPr="0077047E">
              <w:rPr>
                <w:rFonts w:ascii="Calibri" w:cs="Calibri" w:hAnsi="Calibri"/>
                <w:color w:val="1F4E78"/>
                <w:sz w:val="18"/>
                <w:szCs w:val="18"/>
                <w:u w:val="single"/>
              </w:rPr>
              <w:t xml:space="preserve"> +206,00 €</w:t>
            </w:r>
          </w:p>
        </w:tc>
        <w:tc>
          <w:tcPr>
            <w:tcW w:type="dxa" w:w="1267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6F0CDBAE" w14:textId="77777777" w:rsidP="0077047E" w:rsidR="0077047E" w:rsidRDefault="0077047E" w:rsidRPr="0077047E">
            <w:pPr>
              <w:rPr>
                <w:rFonts w:ascii="Calibri" w:cs="Calibri" w:hAnsi="Calibri"/>
                <w:color w:val="1F4E78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1F4E78"/>
                <w:sz w:val="18"/>
                <w:szCs w:val="18"/>
              </w:rPr>
              <w:t>Formateurs - Adjoint parc containers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5B549DEB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75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583B1603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6DC86287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> </w:t>
            </w:r>
          </w:p>
        </w:tc>
        <w:tc>
          <w:tcPr>
            <w:tcW w:type="dxa" w:w="851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3B78D565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</w:tr>
      <w:tr w14:paraId="0F4758F0" w14:textId="77777777" w:rsidR="0077047E" w:rsidRPr="0077047E" w:rsidTr="000419E9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6EB431FD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D2</w:t>
            </w:r>
          </w:p>
        </w:tc>
        <w:tc>
          <w:tcPr>
            <w:tcW w:type="dxa" w:w="1267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11EEA821" w14:textId="12AF9074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0 à 3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0BB4BF27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2 657,26 € </w:t>
            </w:r>
          </w:p>
        </w:tc>
        <w:tc>
          <w:tcPr>
            <w:tcW w:type="dxa" w:w="1275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015E162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52743881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2 657,26 € </w:t>
            </w:r>
          </w:p>
        </w:tc>
        <w:tc>
          <w:tcPr>
            <w:tcW w:type="dxa" w:w="851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FA886C7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</w:tr>
      <w:tr w14:paraId="71A0416C" w14:textId="77777777" w:rsidR="0077047E" w:rsidRPr="0077047E" w:rsidTr="000419E9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3F2B9E18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67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75CCD53" w14:textId="288E4B16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3 à 6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0E3D8B06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2 657,26 € </w:t>
            </w:r>
          </w:p>
        </w:tc>
        <w:tc>
          <w:tcPr>
            <w:tcW w:type="dxa" w:w="1275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A0B1C8D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>89,20 €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7532FFA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2 746,46 € </w:t>
            </w:r>
          </w:p>
        </w:tc>
        <w:tc>
          <w:tcPr>
            <w:tcW w:type="dxa" w:w="851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5D647318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5E2C36F8" w14:textId="77777777" w:rsidR="0077047E" w:rsidRPr="0077047E" w:rsidTr="000419E9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2BFAC70B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67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EB2BFBF" w14:textId="2B6741AE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6 à 9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3A72D88E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2 657,26 € </w:t>
            </w:r>
          </w:p>
        </w:tc>
        <w:tc>
          <w:tcPr>
            <w:tcW w:type="dxa" w:w="1275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2EA9514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178,40 € 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5C6603C5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2 835,66 € </w:t>
            </w:r>
          </w:p>
        </w:tc>
        <w:tc>
          <w:tcPr>
            <w:tcW w:type="dxa" w:w="851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50AB7ECC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40948530" w14:textId="77777777" w:rsidR="0077047E" w:rsidRPr="0077047E" w:rsidTr="000419E9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6145A048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67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722E257" w14:textId="09E38F44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9 à 12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20520AEF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2 657,26 € </w:t>
            </w:r>
          </w:p>
        </w:tc>
        <w:tc>
          <w:tcPr>
            <w:tcW w:type="dxa" w:w="1275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67A38D0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267,60 € 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19E229B4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2 924,86 € </w:t>
            </w:r>
          </w:p>
        </w:tc>
        <w:tc>
          <w:tcPr>
            <w:tcW w:type="dxa" w:w="851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1466A354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3194E617" w14:textId="77777777" w:rsidR="0077047E" w:rsidRPr="0077047E" w:rsidTr="000419E9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1CC65AB5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67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092842F" w14:textId="4D1915C8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12 à 15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0FE5BBEB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2 657,26 € </w:t>
            </w:r>
          </w:p>
        </w:tc>
        <w:tc>
          <w:tcPr>
            <w:tcW w:type="dxa" w:w="1275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7B66ECBA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356,80 € 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694966B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3 014,06 € </w:t>
            </w:r>
          </w:p>
        </w:tc>
        <w:tc>
          <w:tcPr>
            <w:tcW w:type="dxa" w:w="851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7D5B45E2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7578CB42" w14:textId="77777777" w:rsidR="0077047E" w:rsidRPr="0077047E" w:rsidTr="000419E9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384BC4EA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67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DCE2690" w14:textId="0AFBB89C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15 à 18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78AA4F2E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2 657,26 € </w:t>
            </w:r>
          </w:p>
        </w:tc>
        <w:tc>
          <w:tcPr>
            <w:tcW w:type="dxa" w:w="1275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8AC94FE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446,00 € 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FDCA2B9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3 103,26 € </w:t>
            </w:r>
          </w:p>
        </w:tc>
        <w:tc>
          <w:tcPr>
            <w:tcW w:type="dxa" w:w="851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5E5B73DD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6FBE2892" w14:textId="77777777" w:rsidR="0077047E" w:rsidRPr="0077047E" w:rsidTr="000419E9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361AAB59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67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82C3F49" w14:textId="0F370FC6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18 à 21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1484B814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2 657,26 € </w:t>
            </w:r>
          </w:p>
        </w:tc>
        <w:tc>
          <w:tcPr>
            <w:tcW w:type="dxa" w:w="1275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296819A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535,20 € 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2F6BC7A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3 192,46 € </w:t>
            </w:r>
          </w:p>
        </w:tc>
        <w:tc>
          <w:tcPr>
            <w:tcW w:type="dxa" w:w="851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EA94B64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5B9CBC9A" w14:textId="77777777" w:rsidR="0077047E" w:rsidRPr="0077047E" w:rsidTr="000419E9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6D2762F2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67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1B0BCC23" w14:textId="0FEB0ECC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21 à 24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2EA315AF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2 657,26 € </w:t>
            </w:r>
          </w:p>
        </w:tc>
        <w:tc>
          <w:tcPr>
            <w:tcW w:type="dxa" w:w="1275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183B28A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624,40 € 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74653B69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3 281,66 € </w:t>
            </w:r>
          </w:p>
        </w:tc>
        <w:tc>
          <w:tcPr>
            <w:tcW w:type="dxa" w:w="851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AA51ED5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50D5373C" w14:textId="77777777" w:rsidR="0077047E" w:rsidRPr="0077047E" w:rsidTr="000419E9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26FC3704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67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4D74A7A" w14:textId="62228DF9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24 à 27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425102BC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2 657,26 € </w:t>
            </w:r>
          </w:p>
        </w:tc>
        <w:tc>
          <w:tcPr>
            <w:tcW w:type="dxa" w:w="1275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8E2CD06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713,60 € 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FE03A24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3 370,86 € </w:t>
            </w:r>
          </w:p>
        </w:tc>
        <w:tc>
          <w:tcPr>
            <w:tcW w:type="dxa" w:w="851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823648D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295CCC2C" w14:textId="77777777" w:rsidR="0077047E" w:rsidRPr="0077047E" w:rsidTr="000419E9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1EB4D39D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67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1A26E735" w14:textId="30F52A37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27 à 30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6180A66E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2 657,26 € </w:t>
            </w:r>
          </w:p>
        </w:tc>
        <w:tc>
          <w:tcPr>
            <w:tcW w:type="dxa" w:w="1275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1F7DC36C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802,80 € 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6BECA92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3 460,06 € </w:t>
            </w:r>
          </w:p>
        </w:tc>
        <w:tc>
          <w:tcPr>
            <w:tcW w:type="dxa" w:w="851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506E0FB1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7503C982" w14:textId="77777777" w:rsidR="0077047E" w:rsidRPr="0077047E" w:rsidTr="000419E9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681189C6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67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3DF7050" w14:textId="558C8F54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30 à plus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2DE45873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2 657,26 € </w:t>
            </w:r>
          </w:p>
        </w:tc>
        <w:tc>
          <w:tcPr>
            <w:tcW w:type="dxa" w:w="1275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C21EDC6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892,00 € 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CAB8F09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3 549,26 € </w:t>
            </w:r>
          </w:p>
        </w:tc>
        <w:tc>
          <w:tcPr>
            <w:tcW w:type="dxa" w:w="851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C9B1865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4DE59CD8" w14:textId="77777777" w:rsidR="0077047E" w:rsidRPr="0077047E" w:rsidTr="000419E9">
        <w:trPr>
          <w:trHeight w:val="222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2D5672DE" w14:textId="77777777" w:rsidP="0077047E" w:rsidR="0077047E" w:rsidRDefault="0077047E" w:rsidRPr="0077047E">
            <w:pPr>
              <w:rPr>
                <w:rFonts w:ascii="Calibri" w:cs="Calibri" w:hAnsi="Calibri"/>
                <w:color w:val="1F4E78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1F4E78"/>
                <w:sz w:val="18"/>
                <w:szCs w:val="18"/>
              </w:rPr>
              <w:t> </w:t>
            </w:r>
          </w:p>
        </w:tc>
        <w:tc>
          <w:tcPr>
            <w:tcW w:type="dxa" w:w="1267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68818530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4BDF7AC6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</w:p>
        </w:tc>
        <w:tc>
          <w:tcPr>
            <w:tcW w:type="dxa" w:w="1275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5775CCD4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5D3FC51E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> </w:t>
            </w:r>
          </w:p>
        </w:tc>
        <w:tc>
          <w:tcPr>
            <w:tcW w:type="dxa" w:w="851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727A0383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</w:tr>
      <w:tr w14:paraId="2FE335CA" w14:textId="77777777" w:rsidR="0077047E" w:rsidRPr="0077047E" w:rsidTr="000419E9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7CBEE5CE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D2 Grutiers</w:t>
            </w:r>
          </w:p>
        </w:tc>
        <w:tc>
          <w:tcPr>
            <w:tcW w:type="dxa" w:w="1267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282F9C9" w14:textId="5CD8E0DE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0 à 3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35B567DE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2 941,43 € </w:t>
            </w:r>
          </w:p>
        </w:tc>
        <w:tc>
          <w:tcPr>
            <w:tcW w:type="dxa" w:w="1275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B5E6CF1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086235B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2 941,43 € </w:t>
            </w:r>
          </w:p>
        </w:tc>
        <w:tc>
          <w:tcPr>
            <w:tcW w:type="dxa" w:w="851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750730AC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</w:tr>
      <w:tr w14:paraId="63CC9EEB" w14:textId="77777777" w:rsidR="0077047E" w:rsidRPr="0077047E" w:rsidTr="000419E9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3A93513D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67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0A0563F" w14:textId="76C89568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3 à 6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6219747E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2 941,43 € </w:t>
            </w:r>
          </w:p>
        </w:tc>
        <w:tc>
          <w:tcPr>
            <w:tcW w:type="dxa" w:w="1275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596FC2A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>89,20 €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C548A70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3 030,63 € </w:t>
            </w:r>
          </w:p>
        </w:tc>
        <w:tc>
          <w:tcPr>
            <w:tcW w:type="dxa" w:w="851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24FA07D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3C0320FA" w14:textId="77777777" w:rsidR="0077047E" w:rsidRPr="0077047E" w:rsidTr="000419E9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3BF99076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67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7027D8B4" w14:textId="36BDB878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6 à 9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43B1696D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2 941,43 € </w:t>
            </w:r>
          </w:p>
        </w:tc>
        <w:tc>
          <w:tcPr>
            <w:tcW w:type="dxa" w:w="1275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8265424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178,40 € 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1769EE0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3 119,83 € </w:t>
            </w:r>
          </w:p>
        </w:tc>
        <w:tc>
          <w:tcPr>
            <w:tcW w:type="dxa" w:w="851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7EB9E13F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2C34D8E7" w14:textId="77777777" w:rsidR="0077047E" w:rsidRPr="0077047E" w:rsidTr="000419E9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5F14F0A8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67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1615511" w14:textId="59AB904D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9 à 12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4E094691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2 941,43 € </w:t>
            </w:r>
          </w:p>
        </w:tc>
        <w:tc>
          <w:tcPr>
            <w:tcW w:type="dxa" w:w="1275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54E4F6E6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267,60 € 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EE0C7AB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3 209,03 € </w:t>
            </w:r>
          </w:p>
        </w:tc>
        <w:tc>
          <w:tcPr>
            <w:tcW w:type="dxa" w:w="851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058DD76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38E422FE" w14:textId="77777777" w:rsidR="0077047E" w:rsidRPr="0077047E" w:rsidTr="000419E9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0271D204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67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3928A7D" w14:textId="148CCF6A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12 à 15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07D7CF9B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2 941,43 € </w:t>
            </w:r>
          </w:p>
        </w:tc>
        <w:tc>
          <w:tcPr>
            <w:tcW w:type="dxa" w:w="1275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7D4430E4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356,80 € 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C1494E3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3 298,23 € </w:t>
            </w:r>
          </w:p>
        </w:tc>
        <w:tc>
          <w:tcPr>
            <w:tcW w:type="dxa" w:w="851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7CA09E41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48579967" w14:textId="77777777" w:rsidR="0077047E" w:rsidRPr="0077047E" w:rsidTr="000419E9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231F3C06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67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04E6C2E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  15 à 18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5B98C473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2 941,43 € </w:t>
            </w:r>
          </w:p>
        </w:tc>
        <w:tc>
          <w:tcPr>
            <w:tcW w:type="dxa" w:w="1275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EB56246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446,00 € 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5F87C7E8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3 387,43 € </w:t>
            </w:r>
          </w:p>
        </w:tc>
        <w:tc>
          <w:tcPr>
            <w:tcW w:type="dxa" w:w="851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770CFD20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3F27C907" w14:textId="77777777" w:rsidR="0077047E" w:rsidRPr="0077047E" w:rsidTr="000419E9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63A4EA18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67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8B58737" w14:textId="3F10AF4F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18 à 21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7711236A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2 941,43 € </w:t>
            </w:r>
          </w:p>
        </w:tc>
        <w:tc>
          <w:tcPr>
            <w:tcW w:type="dxa" w:w="1275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788A2ED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535,20 € 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7FDF3D07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3 476,63 € </w:t>
            </w:r>
          </w:p>
        </w:tc>
        <w:tc>
          <w:tcPr>
            <w:tcW w:type="dxa" w:w="851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2353B11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15C5A669" w14:textId="77777777" w:rsidR="0077047E" w:rsidRPr="0077047E" w:rsidTr="000419E9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7457E0D0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67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A589282" w14:textId="02B12061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21 à 24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62F9644F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2 941,43 € </w:t>
            </w:r>
          </w:p>
        </w:tc>
        <w:tc>
          <w:tcPr>
            <w:tcW w:type="dxa" w:w="1275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148A17CC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624,40 € 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10BFB292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3 565,83 € </w:t>
            </w:r>
          </w:p>
        </w:tc>
        <w:tc>
          <w:tcPr>
            <w:tcW w:type="dxa" w:w="851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5324D21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7E0A8003" w14:textId="77777777" w:rsidR="0077047E" w:rsidRPr="0077047E" w:rsidTr="000419E9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5A8DBF31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67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AECABB9" w14:textId="404B2E4B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24 à 27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3484816B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2 941,43 € </w:t>
            </w:r>
          </w:p>
        </w:tc>
        <w:tc>
          <w:tcPr>
            <w:tcW w:type="dxa" w:w="1275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5A65BBF6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713,60 € 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BE8C142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3 655,03 € </w:t>
            </w:r>
          </w:p>
        </w:tc>
        <w:tc>
          <w:tcPr>
            <w:tcW w:type="dxa" w:w="851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7B4AC23C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1094C6A3" w14:textId="77777777" w:rsidR="0077047E" w:rsidRPr="0077047E" w:rsidTr="000419E9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73DDFBFB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67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618C6FE" w14:textId="545CF4FB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27 à 30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1F96CD06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2 941,43 € </w:t>
            </w:r>
          </w:p>
        </w:tc>
        <w:tc>
          <w:tcPr>
            <w:tcW w:type="dxa" w:w="1275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77443558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802,80 € </w:t>
            </w:r>
          </w:p>
        </w:tc>
        <w:tc>
          <w:tcPr>
            <w:tcW w:type="dxa" w:w="1276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EBF6CD4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3 744,23 € </w:t>
            </w:r>
          </w:p>
        </w:tc>
        <w:tc>
          <w:tcPr>
            <w:tcW w:type="dxa" w:w="851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0BEBE3B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  <w:tr w14:paraId="0F3F4963" w14:textId="77777777" w:rsidR="0077047E" w:rsidRPr="0077047E" w:rsidTr="000419E9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color="auto" w:space="0" w:sz="4" w:val="single"/>
              <w:right w:val="nil"/>
            </w:tcBorders>
            <w:shd w:color="000000" w:fill="DDEBF7" w:val="clear"/>
            <w:noWrap/>
            <w:vAlign w:val="bottom"/>
            <w:hideMark/>
          </w:tcPr>
          <w:p w14:paraId="36950F97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67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F83EC6D" w14:textId="66937FAA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30 à plus</w:t>
            </w:r>
          </w:p>
        </w:tc>
        <w:tc>
          <w:tcPr>
            <w:tcW w:type="dxa" w:w="1276"/>
            <w:tcBorders>
              <w:top w:val="nil"/>
              <w:left w:val="nil"/>
              <w:bottom w:color="auto" w:space="0" w:sz="4" w:val="single"/>
              <w:right w:val="nil"/>
            </w:tcBorders>
            <w:shd w:color="000000" w:fill="DDEBF7" w:val="clear"/>
            <w:noWrap/>
            <w:vAlign w:val="bottom"/>
            <w:hideMark/>
          </w:tcPr>
          <w:p w14:paraId="5311B989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2 941,43 € </w:t>
            </w:r>
          </w:p>
        </w:tc>
        <w:tc>
          <w:tcPr>
            <w:tcW w:type="dxa" w:w="1275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A078F7D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 xml:space="preserve">        892,00 € </w:t>
            </w:r>
          </w:p>
        </w:tc>
        <w:tc>
          <w:tcPr>
            <w:tcW w:type="dxa" w:w="127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F189CA1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3 833,43 € </w:t>
            </w:r>
          </w:p>
        </w:tc>
        <w:tc>
          <w:tcPr>
            <w:tcW w:type="dxa" w:w="851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E3DADBF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89,20 €</w:t>
            </w:r>
          </w:p>
        </w:tc>
      </w:tr>
    </w:tbl>
    <w:p w14:paraId="534FF09D" w14:textId="099E48D2" w:rsidP="007E6D77" w:rsidR="0077047E" w:rsidRDefault="0077047E" w:rsidRPr="008B0433">
      <w:pPr>
        <w:spacing w:after="120" w:before="120"/>
        <w:rPr>
          <w:rFonts w:ascii="Arial Narrow" w:cs="Arial" w:hAnsi="Arial Narrow"/>
          <w:sz w:val="28"/>
          <w:szCs w:val="28"/>
        </w:rPr>
      </w:pPr>
    </w:p>
    <w:p w14:paraId="185C66B9" w14:textId="70D32505" w:rsidP="007E6D77" w:rsidR="008B0433" w:rsidRDefault="008B0433">
      <w:pPr>
        <w:spacing w:after="120" w:before="120"/>
        <w:rPr>
          <w:rFonts w:ascii="Arial Narrow" w:cs="Arial" w:hAnsi="Arial Narrow"/>
          <w:sz w:val="12"/>
          <w:szCs w:val="12"/>
        </w:rPr>
      </w:pPr>
    </w:p>
    <w:p w14:paraId="6F40246E" w14:textId="0AC2744B" w:rsidP="007E6D77" w:rsidR="00763098" w:rsidRDefault="00763098">
      <w:pPr>
        <w:spacing w:after="120" w:before="120"/>
        <w:rPr>
          <w:rFonts w:ascii="Arial Narrow" w:cs="Arial" w:hAnsi="Arial Narrow"/>
          <w:sz w:val="12"/>
          <w:szCs w:val="12"/>
        </w:rPr>
      </w:pPr>
    </w:p>
    <w:p w14:paraId="60F41D1D" w14:textId="77777777" w:rsidP="007E6D77" w:rsidR="00763098" w:rsidRDefault="00763098" w:rsidRPr="008B0433">
      <w:pPr>
        <w:spacing w:after="120" w:before="120"/>
        <w:rPr>
          <w:rFonts w:ascii="Arial Narrow" w:cs="Arial" w:hAnsi="Arial Narrow"/>
          <w:sz w:val="12"/>
          <w:szCs w:val="12"/>
        </w:rPr>
      </w:pPr>
    </w:p>
    <w:tbl>
      <w:tblPr>
        <w:tblW w:type="dxa" w:w="7060"/>
        <w:tblCellMar>
          <w:left w:type="dxa" w:w="70"/>
          <w:right w:type="dxa" w:w="70"/>
        </w:tblCellMar>
        <w:tblLook w:firstColumn="1" w:firstRow="1" w:lastColumn="0" w:lastRow="0" w:noHBand="0" w:noVBand="1" w:val="04A0"/>
      </w:tblPr>
      <w:tblGrid>
        <w:gridCol w:w="1280"/>
        <w:gridCol w:w="1240"/>
        <w:gridCol w:w="1320"/>
        <w:gridCol w:w="1180"/>
        <w:gridCol w:w="1180"/>
        <w:gridCol w:w="860"/>
      </w:tblGrid>
      <w:tr w14:paraId="1D3F2741" w14:textId="77777777" w:rsidR="0077047E" w:rsidRPr="0077047E" w:rsidTr="0077047E">
        <w:trPr>
          <w:trHeight w:val="300"/>
        </w:trPr>
        <w:tc>
          <w:tcPr>
            <w:tcW w:type="dxa" w:w="7060"/>
            <w:gridSpan w:val="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000000" w:space="0" w:sz="4" w:val="single"/>
            </w:tcBorders>
            <w:shd w:color="000000" w:fill="FCE4D6" w:val="clear"/>
            <w:vAlign w:val="center"/>
            <w:hideMark/>
          </w:tcPr>
          <w:p w14:paraId="20955DE0" w14:textId="77777777" w:rsidP="0077047E" w:rsidR="0077047E" w:rsidRDefault="0077047E" w:rsidRPr="0077047E">
            <w:pPr>
              <w:jc w:val="center"/>
              <w:rPr>
                <w:rFonts w:ascii="Calibri" w:cs="Calibri" w:hAnsi="Calibri"/>
                <w:b/>
                <w:bCs/>
                <w:color w:val="FF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FF0000"/>
                <w:sz w:val="18"/>
                <w:szCs w:val="18"/>
              </w:rPr>
              <w:t>Agent de maîtrise</w:t>
            </w:r>
          </w:p>
        </w:tc>
      </w:tr>
      <w:tr w14:paraId="7570E36C" w14:textId="77777777" w:rsidR="0077047E" w:rsidRPr="0077047E" w:rsidTr="0077047E">
        <w:trPr>
          <w:trHeight w:val="480"/>
        </w:trPr>
        <w:tc>
          <w:tcPr>
            <w:tcW w:type="dxa" w:w="128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000000" w:fill="DDEBF7" w:val="clear"/>
            <w:vAlign w:val="center"/>
            <w:hideMark/>
          </w:tcPr>
          <w:p w14:paraId="1AD1AA07" w14:textId="77777777" w:rsidP="0077047E" w:rsidR="0077047E" w:rsidRDefault="0077047E" w:rsidRPr="0077047E">
            <w:pPr>
              <w:jc w:val="center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Classification</w:t>
            </w:r>
          </w:p>
        </w:tc>
        <w:tc>
          <w:tcPr>
            <w:tcW w:type="dxa" w:w="124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DDEBF7" w:val="clear"/>
            <w:vAlign w:val="center"/>
            <w:hideMark/>
          </w:tcPr>
          <w:p w14:paraId="787497F8" w14:textId="5A7A6027" w:rsidP="0077047E" w:rsidR="0077047E" w:rsidRDefault="002F12D1" w:rsidRPr="0077047E">
            <w:pPr>
              <w:jc w:val="center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Nbre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années d'ancienneté</w:t>
            </w:r>
          </w:p>
        </w:tc>
        <w:tc>
          <w:tcPr>
            <w:tcW w:type="dxa" w:w="13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DDEBF7" w:val="clear"/>
            <w:vAlign w:val="center"/>
            <w:hideMark/>
          </w:tcPr>
          <w:p w14:paraId="2BF70599" w14:textId="77777777" w:rsidP="0077047E" w:rsidR="0077047E" w:rsidRDefault="0077047E" w:rsidRPr="0077047E">
            <w:pPr>
              <w:jc w:val="center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Rémunération de base</w:t>
            </w:r>
          </w:p>
        </w:tc>
        <w:tc>
          <w:tcPr>
            <w:tcW w:type="dxa" w:w="1180"/>
            <w:tcBorders>
              <w:top w:val="nil"/>
              <w:left w:val="nil"/>
              <w:bottom w:color="auto" w:space="0" w:sz="4" w:val="single"/>
              <w:right w:val="nil"/>
            </w:tcBorders>
            <w:shd w:color="000000" w:fill="DDEBF7" w:val="clear"/>
            <w:vAlign w:val="center"/>
            <w:hideMark/>
          </w:tcPr>
          <w:p w14:paraId="3E9E85D7" w14:textId="3B0EFAA2" w:rsidP="0077047E" w:rsidR="0077047E" w:rsidRDefault="002F12D1" w:rsidRPr="0077047E">
            <w:pPr>
              <w:jc w:val="center"/>
              <w:rPr>
                <w:rFonts w:ascii="Calibri" w:cs="Calibri" w:hAnsi="Calibri"/>
                <w:i/>
                <w:iCs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sz w:val="18"/>
                <w:szCs w:val="18"/>
              </w:rPr>
              <w:t>Pr. Ancienneté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000000" w:fill="DDEBF7" w:val="clear"/>
            <w:vAlign w:val="center"/>
            <w:hideMark/>
          </w:tcPr>
          <w:p w14:paraId="628158FA" w14:textId="77777777" w:rsidP="0077047E" w:rsidR="0077047E" w:rsidRDefault="0077047E" w:rsidRPr="0077047E">
            <w:pPr>
              <w:jc w:val="center"/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>SBMH DSM</w:t>
            </w:r>
          </w:p>
        </w:tc>
        <w:tc>
          <w:tcPr>
            <w:tcW w:type="dxa" w:w="8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DDEBF7" w:val="clear"/>
            <w:vAlign w:val="center"/>
            <w:hideMark/>
          </w:tcPr>
          <w:p w14:paraId="173F60CA" w14:textId="77777777" w:rsidP="0077047E" w:rsidR="0077047E" w:rsidRDefault="0077047E" w:rsidRPr="0077047E">
            <w:pPr>
              <w:jc w:val="center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Ecarts</w:t>
            </w:r>
          </w:p>
        </w:tc>
      </w:tr>
      <w:tr w14:paraId="19265C85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06D18F5D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AM1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0759045" w14:textId="6C81CFF0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0 à 3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92C645C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2 741,50 €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2712E73A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i/>
                <w:iCs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1B3D72B1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2 741,50 €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1F65A2E1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</w:tr>
      <w:tr w14:paraId="53FAE700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6FB8186E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48E240F" w14:textId="36F26B3C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3 à 6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5C09FCBC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2 741,50 €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0631955D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i/>
                <w:iCs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sz w:val="18"/>
                <w:szCs w:val="18"/>
              </w:rPr>
              <w:t>121,04 €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73BB4D4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2 862,54 €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894EAA8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121,04 € </w:t>
            </w:r>
          </w:p>
        </w:tc>
      </w:tr>
      <w:tr w14:paraId="541D2732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5B7CDF23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0893062" w14:textId="20C3CEDD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6 à 9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A12044F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2 741,50 €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703C02F8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sz w:val="18"/>
                <w:szCs w:val="18"/>
              </w:rPr>
              <w:t xml:space="preserve">        242,08 €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94ACDBE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2 983,58 €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55C3D05B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121,04 € </w:t>
            </w:r>
          </w:p>
        </w:tc>
      </w:tr>
      <w:tr w14:paraId="6ACB4E48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7D7597D4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34EAB16" w14:textId="47F19899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9 à 12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1C062344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2 741,50 €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3283AAFD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sz w:val="18"/>
                <w:szCs w:val="18"/>
              </w:rPr>
              <w:t xml:space="preserve">        363,12 €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0438A19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3 104,62 €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A15A0EC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121,04 € </w:t>
            </w:r>
          </w:p>
        </w:tc>
      </w:tr>
      <w:tr w14:paraId="2430045C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14871280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1CDD732C" w14:textId="0AD069EA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12 à 15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76981B13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2 741,50 €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44539BAB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sz w:val="18"/>
                <w:szCs w:val="18"/>
              </w:rPr>
              <w:t xml:space="preserve">        484,16 €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5687BB06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3 225,66 €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01EAF18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121,04 € </w:t>
            </w:r>
          </w:p>
        </w:tc>
      </w:tr>
      <w:tr w14:paraId="2122B41C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612412B0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FEDDEE7" w14:textId="47009177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15 à 18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38D0C27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2 741,50 €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7517EB89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sz w:val="18"/>
                <w:szCs w:val="18"/>
              </w:rPr>
              <w:t xml:space="preserve">        605,20 €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1B3EFE4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3 346,70 €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5F06C0E3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121,04 € </w:t>
            </w:r>
          </w:p>
        </w:tc>
      </w:tr>
      <w:tr w14:paraId="3872CC6E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4B646260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51ECC4C" w14:textId="5DBC240E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</w:t>
            </w:r>
            <w:r w:rsidR="002F12D1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18 à 21 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9906E20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2 741,50 €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64DDBEC1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sz w:val="18"/>
                <w:szCs w:val="18"/>
              </w:rPr>
              <w:t xml:space="preserve">        726,24 €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9EBD8FE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3 467,74 €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57F04ACF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121,04 € </w:t>
            </w:r>
          </w:p>
        </w:tc>
      </w:tr>
      <w:tr w14:paraId="153AC58A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27195AA6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12B75F1C" w14:textId="02358B04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21 à 24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1FC86F9E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2 741,50 €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676ECDF2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sz w:val="18"/>
                <w:szCs w:val="18"/>
              </w:rPr>
              <w:t xml:space="preserve">        847,28 €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0DFBD0B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3 588,78 €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26419B3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121,04 € </w:t>
            </w:r>
          </w:p>
        </w:tc>
      </w:tr>
      <w:tr w14:paraId="062869F2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0AB90CFD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7833EED1" w14:textId="60FBFAE0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24 à 27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7B5DCEDE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2 741,50 €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58D62018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sz w:val="18"/>
                <w:szCs w:val="18"/>
              </w:rPr>
              <w:t xml:space="preserve">        968,32 €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99A25E4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3 709,82 €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19AC6842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121,04 € </w:t>
            </w:r>
          </w:p>
        </w:tc>
      </w:tr>
      <w:tr w14:paraId="2B475F28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577524B5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40E0BA5" w14:textId="14623FF4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27 à 30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9E19540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2 741,50 €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0E27B010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sz w:val="18"/>
                <w:szCs w:val="18"/>
              </w:rPr>
              <w:t xml:space="preserve">     1 089,36 €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39A1A4D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3 830,86 €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9EFB032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121,04 € </w:t>
            </w:r>
          </w:p>
        </w:tc>
      </w:tr>
      <w:tr w14:paraId="36AECC77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6C1A5812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9B1A2E0" w14:textId="596A3C67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30 à plus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EC23A6D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2 741,50 €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3C483347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sz w:val="18"/>
                <w:szCs w:val="18"/>
              </w:rPr>
              <w:t xml:space="preserve">     1 210,40 €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8E3EFCD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3 951,90 €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1B73707B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121,04 € </w:t>
            </w:r>
          </w:p>
        </w:tc>
      </w:tr>
      <w:tr w14:paraId="2C9B92FC" w14:textId="77777777" w:rsidR="0077047E" w:rsidRPr="0077047E" w:rsidTr="00807B6C">
        <w:trPr>
          <w:trHeight w:val="175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6AE6CA65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32EF6460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24EA8F11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</w:p>
        </w:tc>
        <w:tc>
          <w:tcPr>
            <w:tcW w:type="dxa" w:w="118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557F50FF" w14:textId="77777777" w:rsidP="0077047E" w:rsidR="0077047E" w:rsidRDefault="0077047E" w:rsidRPr="0077047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10532DF7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621722B6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</w:tr>
      <w:tr w14:paraId="1190AF96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6762927B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AM2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B9A56B8" w14:textId="0E7AF00E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0 à 3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7AFDA91B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3 063,79 €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704D6FF6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5CD13A5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3 063,79 €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77794B6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</w:tr>
      <w:tr w14:paraId="522000FE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76ACBA12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5B6B47AA" w14:textId="566F303B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3 à 6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DA919CD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3 063,79 €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1B4FAD89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i/>
                <w:iCs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sz w:val="18"/>
                <w:szCs w:val="18"/>
              </w:rPr>
              <w:t>121,04 €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5AC10F00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3 184,83 €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B694F9D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121,04 € </w:t>
            </w:r>
          </w:p>
        </w:tc>
      </w:tr>
      <w:tr w14:paraId="694B75E6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30D2EAA3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6804B4E" w14:textId="6DB36F55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6 à 9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2D5ABE1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3 063,79 €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7A2FA795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sz w:val="18"/>
                <w:szCs w:val="18"/>
              </w:rPr>
              <w:t xml:space="preserve">        242,08 €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113CFEF6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3 305,87 €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C0DD258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121,04 € </w:t>
            </w:r>
          </w:p>
        </w:tc>
      </w:tr>
      <w:tr w14:paraId="2983A694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0EF6E32E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0762165" w14:textId="2F6CD3FA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9 à 12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EEBF6AF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3 063,79 €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7D636CFD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sz w:val="18"/>
                <w:szCs w:val="18"/>
              </w:rPr>
              <w:t xml:space="preserve">        363,12 €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A5928CF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3 426,91 €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797F739F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121,04 € </w:t>
            </w:r>
          </w:p>
        </w:tc>
      </w:tr>
      <w:tr w14:paraId="51B5500F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3A9A5382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D82709A" w14:textId="74CB0878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12 à 15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0269DA3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3 063,79 €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047A39F4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sz w:val="18"/>
                <w:szCs w:val="18"/>
              </w:rPr>
              <w:t xml:space="preserve">        484,16 €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00E00E8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3 547,95 €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1445B820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121,04 € </w:t>
            </w:r>
          </w:p>
        </w:tc>
      </w:tr>
      <w:tr w14:paraId="2AEFD9C5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33CD1E46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5F0F4090" w14:textId="1ED79CAB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15 à 18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72CCC0C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3 063,79 €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3C9CCC3D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sz w:val="18"/>
                <w:szCs w:val="18"/>
              </w:rPr>
              <w:t xml:space="preserve">        605,20 €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6541EDE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3 668,99 €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4311B44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121,04 € </w:t>
            </w:r>
          </w:p>
        </w:tc>
      </w:tr>
      <w:tr w14:paraId="50BA41C8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4E821AC8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704A37AE" w14:textId="475DE3E1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18 à 21 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A4703EC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3 063,79 €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416E5C5C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sz w:val="18"/>
                <w:szCs w:val="18"/>
              </w:rPr>
              <w:t xml:space="preserve">        726,24 €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1DA1747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3 790,03 €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6BBE12C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121,04 € </w:t>
            </w:r>
          </w:p>
        </w:tc>
      </w:tr>
      <w:tr w14:paraId="50A70742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147A659C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698BDE1" w14:textId="41F9D7B1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21 à 24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1CB94106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3 063,79 €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0A004652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sz w:val="18"/>
                <w:szCs w:val="18"/>
              </w:rPr>
              <w:t xml:space="preserve">        847,28 €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79661AD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3 911,07 €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F2DF1ED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121,04 € </w:t>
            </w:r>
          </w:p>
        </w:tc>
      </w:tr>
      <w:tr w14:paraId="35CE107B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32CE5A0D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1616DDB" w14:textId="7C64F026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24 à 27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1C028D4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3 063,79 €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43EAFE52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sz w:val="18"/>
                <w:szCs w:val="18"/>
              </w:rPr>
              <w:t xml:space="preserve">        968,32 €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92B5733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4 032,11 €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7EBD0DF9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121,04 € </w:t>
            </w:r>
          </w:p>
        </w:tc>
      </w:tr>
      <w:tr w14:paraId="630E1794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3D5AFE73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6E04B5B" w14:textId="1CC4D1B7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27 à 30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5B7CA22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3 063,79 €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36D25FA8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sz w:val="18"/>
                <w:szCs w:val="18"/>
              </w:rPr>
              <w:t xml:space="preserve">     1 089,36 €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FAC79B0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4 153,15 €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56C51D9E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121,04 € </w:t>
            </w:r>
          </w:p>
        </w:tc>
      </w:tr>
      <w:tr w14:paraId="2F0B844F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color="auto" w:space="0" w:sz="4" w:val="single"/>
              <w:right w:val="nil"/>
            </w:tcBorders>
            <w:shd w:color="000000" w:fill="DDEBF7" w:val="clear"/>
            <w:noWrap/>
            <w:vAlign w:val="bottom"/>
            <w:hideMark/>
          </w:tcPr>
          <w:p w14:paraId="2EAB7929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353DF0F" w14:textId="40E3684C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30 à plus</w:t>
            </w:r>
          </w:p>
        </w:tc>
        <w:tc>
          <w:tcPr>
            <w:tcW w:type="dxa" w:w="13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3A0E8AA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3 063,79 € </w:t>
            </w:r>
          </w:p>
        </w:tc>
        <w:tc>
          <w:tcPr>
            <w:tcW w:type="dxa" w:w="1180"/>
            <w:tcBorders>
              <w:top w:val="nil"/>
              <w:left w:val="nil"/>
              <w:bottom w:color="auto" w:space="0" w:sz="4" w:val="single"/>
              <w:right w:val="nil"/>
            </w:tcBorders>
            <w:shd w:color="000000" w:fill="DDEBF7" w:val="clear"/>
            <w:noWrap/>
            <w:vAlign w:val="bottom"/>
            <w:hideMark/>
          </w:tcPr>
          <w:p w14:paraId="0F0A8DAA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sz w:val="18"/>
                <w:szCs w:val="18"/>
              </w:rPr>
              <w:t xml:space="preserve">     1 210,40 €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2E97D50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4 274,19 € </w:t>
            </w:r>
          </w:p>
        </w:tc>
        <w:tc>
          <w:tcPr>
            <w:tcW w:type="dxa" w:w="8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727935A2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121,04 € </w:t>
            </w:r>
          </w:p>
        </w:tc>
      </w:tr>
      <w:tr w14:paraId="6C884EE0" w14:textId="77777777" w:rsidR="0077047E" w:rsidRPr="0077047E" w:rsidTr="00807B6C">
        <w:trPr>
          <w:trHeight w:val="149"/>
        </w:trPr>
        <w:tc>
          <w:tcPr>
            <w:tcW w:type="dxa" w:w="128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46DFF043" w14:textId="77777777" w:rsidP="0077047E" w:rsidR="0077047E" w:rsidRDefault="0077047E" w:rsidRPr="0077047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type="dxa" w:w="124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1811098B" w14:textId="77777777" w:rsidP="0077047E" w:rsidR="0077047E" w:rsidRDefault="0077047E" w:rsidRPr="0077047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type="dxa" w:w="132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60A7CCBF" w14:textId="77777777" w:rsidP="0077047E" w:rsidR="0077047E" w:rsidRDefault="0077047E" w:rsidRPr="0077047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type="dxa" w:w="118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20669E85" w14:textId="77777777" w:rsidP="0077047E" w:rsidR="0077047E" w:rsidRDefault="0077047E" w:rsidRPr="0077047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type="dxa" w:w="118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1BDC13B5" w14:textId="77777777" w:rsidP="0077047E" w:rsidR="0077047E" w:rsidRDefault="0077047E" w:rsidRPr="0077047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type="dxa" w:w="86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64ECD3DA" w14:textId="77777777" w:rsidP="0077047E" w:rsidR="0077047E" w:rsidRDefault="0077047E" w:rsidRPr="0077047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14:paraId="6ADF1C2C" w14:textId="77777777" w:rsidR="0077047E" w:rsidRPr="0077047E" w:rsidTr="0077047E">
        <w:trPr>
          <w:trHeight w:val="300"/>
        </w:trPr>
        <w:tc>
          <w:tcPr>
            <w:tcW w:type="dxa" w:w="7060"/>
            <w:gridSpan w:val="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000000" w:space="0" w:sz="4" w:val="single"/>
            </w:tcBorders>
            <w:shd w:color="000000" w:fill="FCE4D6" w:val="clear"/>
            <w:vAlign w:val="center"/>
            <w:hideMark/>
          </w:tcPr>
          <w:p w14:paraId="4446CACE" w14:textId="77777777" w:rsidP="0077047E" w:rsidR="0077047E" w:rsidRDefault="0077047E" w:rsidRPr="0077047E">
            <w:pPr>
              <w:jc w:val="center"/>
              <w:rPr>
                <w:rFonts w:ascii="Calibri" w:cs="Calibri" w:hAnsi="Calibri"/>
                <w:b/>
                <w:bCs/>
                <w:color w:val="FF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FF0000"/>
                <w:sz w:val="18"/>
                <w:szCs w:val="18"/>
              </w:rPr>
              <w:t>Cadres CDI</w:t>
            </w:r>
          </w:p>
        </w:tc>
      </w:tr>
      <w:tr w14:paraId="70FEC8DF" w14:textId="77777777" w:rsidR="0077047E" w:rsidRPr="0077047E" w:rsidTr="0077047E">
        <w:trPr>
          <w:trHeight w:val="480"/>
        </w:trPr>
        <w:tc>
          <w:tcPr>
            <w:tcW w:type="dxa" w:w="128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000000" w:fill="DDEBF7" w:val="clear"/>
            <w:vAlign w:val="center"/>
            <w:hideMark/>
          </w:tcPr>
          <w:p w14:paraId="0C48ADF0" w14:textId="77777777" w:rsidP="0077047E" w:rsidR="0077047E" w:rsidRDefault="0077047E" w:rsidRPr="0077047E">
            <w:pPr>
              <w:jc w:val="center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Classification</w:t>
            </w:r>
          </w:p>
        </w:tc>
        <w:tc>
          <w:tcPr>
            <w:tcW w:type="dxa" w:w="124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DDEBF7" w:val="clear"/>
            <w:vAlign w:val="center"/>
            <w:hideMark/>
          </w:tcPr>
          <w:p w14:paraId="5B457DAB" w14:textId="7A491EB4" w:rsidP="0077047E" w:rsidR="0077047E" w:rsidRDefault="002F12D1" w:rsidRPr="0077047E">
            <w:pPr>
              <w:jc w:val="center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Nbre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années d'ancienneté</w:t>
            </w:r>
          </w:p>
        </w:tc>
        <w:tc>
          <w:tcPr>
            <w:tcW w:type="dxa" w:w="13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DDEBF7" w:val="clear"/>
            <w:vAlign w:val="center"/>
            <w:hideMark/>
          </w:tcPr>
          <w:p w14:paraId="13F2ECC7" w14:textId="77777777" w:rsidP="0077047E" w:rsidR="0077047E" w:rsidRDefault="0077047E" w:rsidRPr="0077047E">
            <w:pPr>
              <w:jc w:val="center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Rémunération de base</w:t>
            </w:r>
          </w:p>
        </w:tc>
        <w:tc>
          <w:tcPr>
            <w:tcW w:type="dxa" w:w="1180"/>
            <w:tcBorders>
              <w:top w:val="nil"/>
              <w:left w:val="nil"/>
              <w:bottom w:color="auto" w:space="0" w:sz="4" w:val="single"/>
              <w:right w:val="nil"/>
            </w:tcBorders>
            <w:shd w:color="000000" w:fill="DDEBF7" w:val="clear"/>
            <w:vAlign w:val="center"/>
            <w:hideMark/>
          </w:tcPr>
          <w:p w14:paraId="69725818" w14:textId="656037B7" w:rsidP="0077047E" w:rsidR="0077047E" w:rsidRDefault="002F12D1" w:rsidRPr="0077047E">
            <w:pPr>
              <w:jc w:val="center"/>
              <w:rPr>
                <w:rFonts w:ascii="Calibri" w:cs="Calibri" w:hAnsi="Calibri"/>
                <w:i/>
                <w:iCs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sz w:val="18"/>
                <w:szCs w:val="18"/>
              </w:rPr>
              <w:t>Pr. Ancienneté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000000" w:fill="DDEBF7" w:val="clear"/>
            <w:vAlign w:val="center"/>
            <w:hideMark/>
          </w:tcPr>
          <w:p w14:paraId="62AA8DB3" w14:textId="77777777" w:rsidP="0077047E" w:rsidR="0077047E" w:rsidRDefault="0077047E" w:rsidRPr="0077047E">
            <w:pPr>
              <w:jc w:val="center"/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>SBMH DSM</w:t>
            </w:r>
          </w:p>
        </w:tc>
        <w:tc>
          <w:tcPr>
            <w:tcW w:type="dxa" w:w="8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DDEBF7" w:val="clear"/>
            <w:vAlign w:val="center"/>
            <w:hideMark/>
          </w:tcPr>
          <w:p w14:paraId="440AE4F8" w14:textId="77777777" w:rsidP="0077047E" w:rsidR="0077047E" w:rsidRDefault="0077047E" w:rsidRPr="0077047E">
            <w:pPr>
              <w:jc w:val="center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Ecarts</w:t>
            </w:r>
          </w:p>
        </w:tc>
      </w:tr>
      <w:tr w14:paraId="61B3053E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796CF77D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  <w:u w:val="single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  <w:u w:val="single"/>
              </w:rPr>
              <w:t>Cadres  P1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45F6693" w14:textId="20BFD05F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0 à 3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AEF1275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3 533,45 €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00A3F26B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i/>
                <w:iCs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C97932B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3 533,45 €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DF5971D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</w:tr>
      <w:tr w14:paraId="5C267C33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2BDD0B9E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Forfait jours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5A137C0C" w14:textId="7A93B10E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3 à 6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88AB56C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3 533,45 €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3C5EBAA4" w14:textId="77777777" w:rsidP="0077047E" w:rsidR="0077047E" w:rsidRDefault="0077047E" w:rsidRPr="0077047E">
            <w:pPr>
              <w:jc w:val="right"/>
              <w:rPr>
                <w:rFonts w:ascii="Calibri" w:cs="Calibri" w:hAnsi="Calibri"/>
                <w:i/>
                <w:iCs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sz w:val="18"/>
                <w:szCs w:val="18"/>
              </w:rPr>
              <w:t>126,20 €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192AE738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3 659,65 €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1DF50751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126,20 € </w:t>
            </w:r>
          </w:p>
        </w:tc>
      </w:tr>
      <w:tr w14:paraId="1E4A965E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4B779F32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72325DE" w14:textId="04F56ABC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6 à 9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A709449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3 533,45 €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3BF577CE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sz w:val="18"/>
                <w:szCs w:val="18"/>
              </w:rPr>
              <w:t xml:space="preserve">        252,40 €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5301F805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3 785,85 €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D94BE06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126,20 € </w:t>
            </w:r>
          </w:p>
        </w:tc>
      </w:tr>
      <w:tr w14:paraId="3DBC5BB9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2E7751BE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287A557" w14:textId="35B64797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9 à 12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18DEC0BE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3 533,45 €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3494ED1A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sz w:val="18"/>
                <w:szCs w:val="18"/>
              </w:rPr>
              <w:t xml:space="preserve">        378,60 €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5058BB23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3 912,05 €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77100C7F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126,20 € </w:t>
            </w:r>
          </w:p>
        </w:tc>
      </w:tr>
      <w:tr w14:paraId="005E9268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7E179E25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B1AFEC1" w14:textId="73D1E245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12 à 15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5AC2223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3 533,45 €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37A63B1C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sz w:val="18"/>
                <w:szCs w:val="18"/>
              </w:rPr>
              <w:t xml:space="preserve">        504,80 €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7F3662F5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4 038,25 €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47F3D46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126,20 € </w:t>
            </w:r>
          </w:p>
        </w:tc>
      </w:tr>
      <w:tr w14:paraId="2838FC62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47234971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FC54D98" w14:textId="6BEC4CB4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15 à 18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F3E8467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3 533,45 €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5C6A487F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sz w:val="18"/>
                <w:szCs w:val="18"/>
              </w:rPr>
              <w:t xml:space="preserve">        631,00 €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746C0B3F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4 164,45 €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FF86B4B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126,20 € </w:t>
            </w:r>
          </w:p>
        </w:tc>
      </w:tr>
      <w:tr w14:paraId="67C984C6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2D36F0E1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FC3A0D6" w14:textId="4AAD6C46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18 à 21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7EFDF4F3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3 533,45 €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6FAB0BDB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sz w:val="18"/>
                <w:szCs w:val="18"/>
              </w:rPr>
              <w:t xml:space="preserve">        757,20 €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FF2BAE3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4 290,65 €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DF84059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126,20 € </w:t>
            </w:r>
          </w:p>
        </w:tc>
      </w:tr>
      <w:tr w14:paraId="4114372E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38F7963E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D4B9B19" w14:textId="2B3E8EC3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21 à 24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889C801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3 533,45 €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48CA9180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sz w:val="18"/>
                <w:szCs w:val="18"/>
              </w:rPr>
              <w:t xml:space="preserve">        883,40 €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1E3CABC0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4 416,85 €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1895ACD5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126,20 € </w:t>
            </w:r>
          </w:p>
        </w:tc>
      </w:tr>
      <w:tr w14:paraId="4123AB73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3F95A458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ACEAC7E" w14:textId="4ABEC786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24 à 27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15BC4687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3 533,45 €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72EA5A1E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sz w:val="18"/>
                <w:szCs w:val="18"/>
              </w:rPr>
              <w:t xml:space="preserve">     1 009,60 €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3903021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4 543,05 €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D9325F2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126,20 € </w:t>
            </w:r>
          </w:p>
        </w:tc>
      </w:tr>
      <w:tr w14:paraId="3A51F84C" w14:textId="77777777" w:rsidR="0077047E" w:rsidRPr="0077047E" w:rsidTr="0077047E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10754268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7D814B45" w14:textId="5BCCED3A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27 à 30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4319ECF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3 533,45 €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5EA65812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sz w:val="18"/>
                <w:szCs w:val="18"/>
              </w:rPr>
              <w:t xml:space="preserve">     1 135,80 €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E8D8175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4 669,25 €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5AC33F5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126,20 € </w:t>
            </w:r>
          </w:p>
        </w:tc>
      </w:tr>
      <w:tr w14:paraId="67CD3D47" w14:textId="77777777" w:rsidR="0077047E" w:rsidRPr="0077047E" w:rsidTr="00ED4BB7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color="auto" w:space="0" w:sz="4" w:val="single"/>
              <w:right w:val="nil"/>
            </w:tcBorders>
            <w:shd w:color="000000" w:fill="DDEBF7" w:val="clear"/>
            <w:noWrap/>
            <w:vAlign w:val="bottom"/>
            <w:hideMark/>
          </w:tcPr>
          <w:p w14:paraId="75AF6195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43F997F" w14:textId="597D0F5D" w:rsidP="0077047E" w:rsidR="0077047E" w:rsidRDefault="002F12D1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</w:t>
            </w:r>
            <w:r w:rsidR="0077047E"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30 à plus</w:t>
            </w:r>
          </w:p>
        </w:tc>
        <w:tc>
          <w:tcPr>
            <w:tcW w:type="dxa" w:w="13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76F08D74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3 533,45 € </w:t>
            </w:r>
          </w:p>
        </w:tc>
        <w:tc>
          <w:tcPr>
            <w:tcW w:type="dxa" w:w="1180"/>
            <w:tcBorders>
              <w:top w:val="nil"/>
              <w:left w:val="nil"/>
              <w:bottom w:color="auto" w:space="0" w:sz="4" w:val="single"/>
              <w:right w:val="nil"/>
            </w:tcBorders>
            <w:shd w:color="000000" w:fill="DDEBF7" w:val="clear"/>
            <w:noWrap/>
            <w:vAlign w:val="bottom"/>
            <w:hideMark/>
          </w:tcPr>
          <w:p w14:paraId="056F7FB3" w14:textId="77777777" w:rsidP="0077047E" w:rsidR="0077047E" w:rsidRDefault="0077047E" w:rsidRPr="0077047E">
            <w:pPr>
              <w:rPr>
                <w:rFonts w:ascii="Calibri" w:cs="Calibri" w:hAnsi="Calibri"/>
                <w:i/>
                <w:iCs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sz w:val="18"/>
                <w:szCs w:val="18"/>
              </w:rPr>
              <w:t xml:space="preserve">     1 262,00 €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182A084" w14:textId="77777777" w:rsidP="0077047E" w:rsidR="0077047E" w:rsidRDefault="0077047E" w:rsidRPr="0077047E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4 795,45 € </w:t>
            </w:r>
          </w:p>
        </w:tc>
        <w:tc>
          <w:tcPr>
            <w:tcW w:type="dxa" w:w="8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B549B0E" w14:textId="77777777" w:rsidP="0077047E" w:rsidR="0077047E" w:rsidRDefault="0077047E" w:rsidRPr="0077047E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126,20 € </w:t>
            </w:r>
          </w:p>
        </w:tc>
      </w:tr>
      <w:tr w14:paraId="6287DF5B" w14:textId="77777777" w:rsidR="00ED4BB7" w:rsidRPr="00ED4BB7" w:rsidTr="00ED4BB7">
        <w:trPr>
          <w:trHeight w:val="270"/>
        </w:trPr>
        <w:tc>
          <w:tcPr>
            <w:tcW w:type="dxa" w:w="1280"/>
            <w:tcBorders>
              <w:top w:color="auto" w:space="0" w:sz="4" w:val="single"/>
              <w:left w:color="auto" w:space="0" w:sz="4" w:val="single"/>
              <w:right w:val="nil"/>
            </w:tcBorders>
            <w:shd w:color="000000" w:fill="DDEBF7" w:val="clear"/>
            <w:noWrap/>
            <w:vAlign w:val="bottom"/>
            <w:hideMark/>
          </w:tcPr>
          <w:p w14:paraId="42E55418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</w:rPr>
              <w:t>Cadres  P2</w:t>
            </w:r>
          </w:p>
        </w:tc>
        <w:tc>
          <w:tcPr>
            <w:tcW w:type="dxa" w:w="1240"/>
            <w:tcBorders>
              <w:top w:color="auto" w:space="0" w:sz="4" w:val="single"/>
              <w:left w:color="auto" w:space="0" w:sz="4" w:val="single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72D80790" w14:textId="66A47EF1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 0 à 3</w:t>
            </w:r>
          </w:p>
        </w:tc>
        <w:tc>
          <w:tcPr>
            <w:tcW w:type="dxa" w:w="1320"/>
            <w:tcBorders>
              <w:top w:color="auto" w:space="0" w:sz="4" w:val="single"/>
              <w:left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4A72043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4 375,12 € </w:t>
            </w:r>
          </w:p>
        </w:tc>
        <w:tc>
          <w:tcPr>
            <w:tcW w:type="dxa" w:w="1180"/>
            <w:tcBorders>
              <w:top w:color="auto" w:space="0" w:sz="4" w:val="single"/>
              <w:left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7A8D9B67" w14:textId="77777777" w:rsidP="00ED4BB7" w:rsidR="00ED4BB7" w:rsidRDefault="00ED4BB7" w:rsidRPr="00ED4BB7">
            <w:pPr>
              <w:rPr>
                <w:rFonts w:ascii="Calibri" w:cs="Calibri" w:hAnsi="Calibri"/>
                <w:i/>
                <w:iCs/>
                <w:sz w:val="18"/>
                <w:szCs w:val="18"/>
              </w:rPr>
            </w:pPr>
            <w:r w:rsidRPr="00ED4BB7">
              <w:rPr>
                <w:rFonts w:ascii="Calibri" w:cs="Calibri" w:hAnsi="Calibri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type="dxa" w:w="1180"/>
            <w:tcBorders>
              <w:top w:color="auto" w:space="0" w:sz="4" w:val="single"/>
              <w:left w:color="auto" w:space="0" w:sz="4" w:val="single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58FC24B" w14:textId="77777777" w:rsidP="00ED4BB7" w:rsidR="00ED4BB7" w:rsidRDefault="00ED4BB7" w:rsidRPr="00ED4BB7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ED4BB7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4 375,12 € </w:t>
            </w:r>
          </w:p>
        </w:tc>
        <w:tc>
          <w:tcPr>
            <w:tcW w:type="dxa" w:w="860"/>
            <w:tcBorders>
              <w:top w:color="auto" w:space="0" w:sz="4" w:val="single"/>
              <w:left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171D8519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</w:tr>
      <w:tr w14:paraId="3C398DA6" w14:textId="77777777" w:rsidR="00ED4BB7" w:rsidRPr="00ED4BB7" w:rsidTr="00ED4BB7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right w:val="nil"/>
            </w:tcBorders>
            <w:shd w:color="000000" w:fill="DDEBF7" w:val="clear"/>
            <w:noWrap/>
            <w:vAlign w:val="bottom"/>
            <w:hideMark/>
          </w:tcPr>
          <w:p w14:paraId="119086A5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</w:rPr>
              <w:t>Forfait jours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708A2096" w14:textId="4D6B781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 3 à 6</w:t>
            </w:r>
          </w:p>
        </w:tc>
        <w:tc>
          <w:tcPr>
            <w:tcW w:type="dxa" w:w="1320"/>
            <w:tcBorders>
              <w:top w:val="nil"/>
              <w:left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7E11009E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4 375,12 € </w:t>
            </w:r>
          </w:p>
        </w:tc>
        <w:tc>
          <w:tcPr>
            <w:tcW w:type="dxa" w:w="1180"/>
            <w:tcBorders>
              <w:top w:val="nil"/>
              <w:left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6D519D6A" w14:textId="5945DB3F" w:rsidP="00ED4BB7" w:rsidR="00ED4BB7" w:rsidRDefault="008E6AC8" w:rsidRPr="00ED4BB7">
            <w:pPr>
              <w:rPr>
                <w:rFonts w:ascii="Calibri" w:cs="Calibri" w:hAnsi="Calibri"/>
                <w:i/>
                <w:iCs/>
                <w:sz w:val="18"/>
                <w:szCs w:val="18"/>
              </w:rPr>
            </w:pPr>
            <w:r>
              <w:rPr>
                <w:rFonts w:ascii="Calibri" w:cs="Calibri" w:hAnsi="Calibri"/>
                <w:i/>
                <w:iCs/>
                <w:sz w:val="18"/>
                <w:szCs w:val="18"/>
              </w:rPr>
              <w:t xml:space="preserve">        </w:t>
            </w:r>
            <w:r w:rsidR="00ED4BB7" w:rsidRPr="00ED4BB7">
              <w:rPr>
                <w:rFonts w:ascii="Calibri" w:cs="Calibri" w:hAnsi="Calibri"/>
                <w:i/>
                <w:iCs/>
                <w:sz w:val="18"/>
                <w:szCs w:val="18"/>
              </w:rPr>
              <w:t>126,20 €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F10DAA0" w14:textId="77777777" w:rsidP="00ED4BB7" w:rsidR="00ED4BB7" w:rsidRDefault="00ED4BB7" w:rsidRPr="00ED4BB7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ED4BB7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4 501,32 € </w:t>
            </w:r>
          </w:p>
        </w:tc>
        <w:tc>
          <w:tcPr>
            <w:tcW w:type="dxa" w:w="860"/>
            <w:tcBorders>
              <w:top w:val="nil"/>
              <w:left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74A01459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126,20 € </w:t>
            </w:r>
          </w:p>
        </w:tc>
      </w:tr>
      <w:tr w14:paraId="536992E5" w14:textId="77777777" w:rsidR="00ED4BB7" w:rsidRPr="00ED4BB7" w:rsidTr="00ED4BB7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right w:val="nil"/>
            </w:tcBorders>
            <w:shd w:color="000000" w:fill="DDEBF7" w:val="clear"/>
            <w:noWrap/>
            <w:vAlign w:val="bottom"/>
            <w:hideMark/>
          </w:tcPr>
          <w:p w14:paraId="06FBE1C4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810C21F" w14:textId="060FEF05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 6 à 9</w:t>
            </w:r>
          </w:p>
        </w:tc>
        <w:tc>
          <w:tcPr>
            <w:tcW w:type="dxa" w:w="1320"/>
            <w:tcBorders>
              <w:top w:val="nil"/>
              <w:left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5F3CF4B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4 375,12 € </w:t>
            </w:r>
          </w:p>
        </w:tc>
        <w:tc>
          <w:tcPr>
            <w:tcW w:type="dxa" w:w="1180"/>
            <w:tcBorders>
              <w:top w:val="nil"/>
              <w:left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75643447" w14:textId="77777777" w:rsidP="00ED4BB7" w:rsidR="00ED4BB7" w:rsidRDefault="00ED4BB7" w:rsidRPr="00ED4BB7">
            <w:pPr>
              <w:rPr>
                <w:rFonts w:ascii="Calibri" w:cs="Calibri" w:hAnsi="Calibri"/>
                <w:i/>
                <w:iCs/>
                <w:sz w:val="18"/>
                <w:szCs w:val="18"/>
              </w:rPr>
            </w:pPr>
            <w:r w:rsidRPr="00ED4BB7">
              <w:rPr>
                <w:rFonts w:ascii="Calibri" w:cs="Calibri" w:hAnsi="Calibri"/>
                <w:i/>
                <w:iCs/>
                <w:sz w:val="18"/>
                <w:szCs w:val="18"/>
              </w:rPr>
              <w:t xml:space="preserve">        252,40 €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036854D" w14:textId="77777777" w:rsidP="00ED4BB7" w:rsidR="00ED4BB7" w:rsidRDefault="00ED4BB7" w:rsidRPr="00ED4BB7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ED4BB7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4 627,52 € </w:t>
            </w:r>
          </w:p>
        </w:tc>
        <w:tc>
          <w:tcPr>
            <w:tcW w:type="dxa" w:w="860"/>
            <w:tcBorders>
              <w:top w:val="nil"/>
              <w:left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6A4980A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126,20 € </w:t>
            </w:r>
          </w:p>
        </w:tc>
      </w:tr>
      <w:tr w14:paraId="752A28BD" w14:textId="77777777" w:rsidR="00ED4BB7" w:rsidRPr="00ED4BB7" w:rsidTr="00ED4BB7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right w:val="nil"/>
            </w:tcBorders>
            <w:shd w:color="000000" w:fill="DDEBF7" w:val="clear"/>
            <w:noWrap/>
            <w:vAlign w:val="bottom"/>
            <w:hideMark/>
          </w:tcPr>
          <w:p w14:paraId="14353E2D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599EF5CD" w14:textId="433F3139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 9 à 12</w:t>
            </w:r>
          </w:p>
        </w:tc>
        <w:tc>
          <w:tcPr>
            <w:tcW w:type="dxa" w:w="1320"/>
            <w:tcBorders>
              <w:top w:val="nil"/>
              <w:left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2488ED1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4 375,12 € </w:t>
            </w:r>
          </w:p>
        </w:tc>
        <w:tc>
          <w:tcPr>
            <w:tcW w:type="dxa" w:w="1180"/>
            <w:tcBorders>
              <w:top w:val="nil"/>
              <w:left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749BBD7E" w14:textId="77777777" w:rsidP="00ED4BB7" w:rsidR="00ED4BB7" w:rsidRDefault="00ED4BB7" w:rsidRPr="00ED4BB7">
            <w:pPr>
              <w:rPr>
                <w:rFonts w:ascii="Calibri" w:cs="Calibri" w:hAnsi="Calibri"/>
                <w:i/>
                <w:iCs/>
                <w:sz w:val="18"/>
                <w:szCs w:val="18"/>
              </w:rPr>
            </w:pPr>
            <w:r w:rsidRPr="00ED4BB7">
              <w:rPr>
                <w:rFonts w:ascii="Calibri" w:cs="Calibri" w:hAnsi="Calibri"/>
                <w:i/>
                <w:iCs/>
                <w:sz w:val="18"/>
                <w:szCs w:val="18"/>
              </w:rPr>
              <w:t xml:space="preserve">        378,60 €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15C17540" w14:textId="77777777" w:rsidP="00ED4BB7" w:rsidR="00ED4BB7" w:rsidRDefault="00ED4BB7" w:rsidRPr="00ED4BB7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ED4BB7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4 753,72 € </w:t>
            </w:r>
          </w:p>
        </w:tc>
        <w:tc>
          <w:tcPr>
            <w:tcW w:type="dxa" w:w="860"/>
            <w:tcBorders>
              <w:top w:val="nil"/>
              <w:left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9BBD013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126,20 € </w:t>
            </w:r>
          </w:p>
        </w:tc>
      </w:tr>
      <w:tr w14:paraId="5EC7FEF3" w14:textId="77777777" w:rsidR="00ED4BB7" w:rsidRPr="00ED4BB7" w:rsidTr="00ED4BB7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right w:val="nil"/>
            </w:tcBorders>
            <w:shd w:color="000000" w:fill="DDEBF7" w:val="clear"/>
            <w:noWrap/>
            <w:vAlign w:val="bottom"/>
            <w:hideMark/>
          </w:tcPr>
          <w:p w14:paraId="6D69D192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F99B212" w14:textId="20B2033C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 12 à 15</w:t>
            </w:r>
          </w:p>
        </w:tc>
        <w:tc>
          <w:tcPr>
            <w:tcW w:type="dxa" w:w="1320"/>
            <w:tcBorders>
              <w:top w:val="nil"/>
              <w:left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165122E6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4 375,12 € </w:t>
            </w:r>
          </w:p>
        </w:tc>
        <w:tc>
          <w:tcPr>
            <w:tcW w:type="dxa" w:w="1180"/>
            <w:tcBorders>
              <w:top w:val="nil"/>
              <w:left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41B49A89" w14:textId="77777777" w:rsidP="00ED4BB7" w:rsidR="00ED4BB7" w:rsidRDefault="00ED4BB7" w:rsidRPr="00ED4BB7">
            <w:pPr>
              <w:rPr>
                <w:rFonts w:ascii="Calibri" w:cs="Calibri" w:hAnsi="Calibri"/>
                <w:i/>
                <w:iCs/>
                <w:sz w:val="18"/>
                <w:szCs w:val="18"/>
              </w:rPr>
            </w:pPr>
            <w:r w:rsidRPr="00ED4BB7">
              <w:rPr>
                <w:rFonts w:ascii="Calibri" w:cs="Calibri" w:hAnsi="Calibri"/>
                <w:i/>
                <w:iCs/>
                <w:sz w:val="18"/>
                <w:szCs w:val="18"/>
              </w:rPr>
              <w:t xml:space="preserve">        504,80 €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8995076" w14:textId="77777777" w:rsidP="00ED4BB7" w:rsidR="00ED4BB7" w:rsidRDefault="00ED4BB7" w:rsidRPr="00ED4BB7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ED4BB7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4 879,92 € </w:t>
            </w:r>
          </w:p>
        </w:tc>
        <w:tc>
          <w:tcPr>
            <w:tcW w:type="dxa" w:w="860"/>
            <w:tcBorders>
              <w:top w:val="nil"/>
              <w:left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CB09EC7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126,20 € </w:t>
            </w:r>
          </w:p>
        </w:tc>
      </w:tr>
      <w:tr w14:paraId="51453BE1" w14:textId="77777777" w:rsidR="00ED4BB7" w:rsidRPr="00ED4BB7" w:rsidTr="00ED4BB7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right w:val="nil"/>
            </w:tcBorders>
            <w:shd w:color="000000" w:fill="DDEBF7" w:val="clear"/>
            <w:noWrap/>
            <w:vAlign w:val="bottom"/>
            <w:hideMark/>
          </w:tcPr>
          <w:p w14:paraId="398C9522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141FF8F" w14:textId="7F7C1420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 15 à 18</w:t>
            </w:r>
          </w:p>
        </w:tc>
        <w:tc>
          <w:tcPr>
            <w:tcW w:type="dxa" w:w="1320"/>
            <w:tcBorders>
              <w:top w:val="nil"/>
              <w:left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BF5F25B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4 375,12 € </w:t>
            </w:r>
          </w:p>
        </w:tc>
        <w:tc>
          <w:tcPr>
            <w:tcW w:type="dxa" w:w="1180"/>
            <w:tcBorders>
              <w:top w:val="nil"/>
              <w:left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655F6BFE" w14:textId="77777777" w:rsidP="00ED4BB7" w:rsidR="00ED4BB7" w:rsidRDefault="00ED4BB7" w:rsidRPr="00ED4BB7">
            <w:pPr>
              <w:rPr>
                <w:rFonts w:ascii="Calibri" w:cs="Calibri" w:hAnsi="Calibri"/>
                <w:i/>
                <w:iCs/>
                <w:sz w:val="18"/>
                <w:szCs w:val="18"/>
              </w:rPr>
            </w:pPr>
            <w:r w:rsidRPr="00ED4BB7">
              <w:rPr>
                <w:rFonts w:ascii="Calibri" w:cs="Calibri" w:hAnsi="Calibri"/>
                <w:i/>
                <w:iCs/>
                <w:sz w:val="18"/>
                <w:szCs w:val="18"/>
              </w:rPr>
              <w:t xml:space="preserve">        631,00 €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18BECE6F" w14:textId="77777777" w:rsidP="00ED4BB7" w:rsidR="00ED4BB7" w:rsidRDefault="00ED4BB7" w:rsidRPr="00ED4BB7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ED4BB7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5 006,12 € </w:t>
            </w:r>
          </w:p>
        </w:tc>
        <w:tc>
          <w:tcPr>
            <w:tcW w:type="dxa" w:w="860"/>
            <w:tcBorders>
              <w:top w:val="nil"/>
              <w:left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B024606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126,20 € </w:t>
            </w:r>
          </w:p>
        </w:tc>
      </w:tr>
      <w:tr w14:paraId="6BA47596" w14:textId="77777777" w:rsidR="00ED4BB7" w:rsidRPr="00ED4BB7" w:rsidTr="00ED4BB7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right w:val="nil"/>
            </w:tcBorders>
            <w:shd w:color="000000" w:fill="DDEBF7" w:val="clear"/>
            <w:noWrap/>
            <w:vAlign w:val="bottom"/>
            <w:hideMark/>
          </w:tcPr>
          <w:p w14:paraId="68170F90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57BCE592" w14:textId="312F09A2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 18 à 21</w:t>
            </w:r>
          </w:p>
        </w:tc>
        <w:tc>
          <w:tcPr>
            <w:tcW w:type="dxa" w:w="1320"/>
            <w:tcBorders>
              <w:top w:val="nil"/>
              <w:left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4BFFF37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4 375,12 € </w:t>
            </w:r>
          </w:p>
        </w:tc>
        <w:tc>
          <w:tcPr>
            <w:tcW w:type="dxa" w:w="1180"/>
            <w:tcBorders>
              <w:top w:val="nil"/>
              <w:left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54AE870B" w14:textId="77777777" w:rsidP="00ED4BB7" w:rsidR="00ED4BB7" w:rsidRDefault="00ED4BB7" w:rsidRPr="00ED4BB7">
            <w:pPr>
              <w:rPr>
                <w:rFonts w:ascii="Calibri" w:cs="Calibri" w:hAnsi="Calibri"/>
                <w:i/>
                <w:iCs/>
                <w:sz w:val="18"/>
                <w:szCs w:val="18"/>
              </w:rPr>
            </w:pPr>
            <w:r w:rsidRPr="00ED4BB7">
              <w:rPr>
                <w:rFonts w:ascii="Calibri" w:cs="Calibri" w:hAnsi="Calibri"/>
                <w:i/>
                <w:iCs/>
                <w:sz w:val="18"/>
                <w:szCs w:val="18"/>
              </w:rPr>
              <w:t xml:space="preserve">        757,20 €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67F9553" w14:textId="77777777" w:rsidP="00ED4BB7" w:rsidR="00ED4BB7" w:rsidRDefault="00ED4BB7" w:rsidRPr="00ED4BB7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ED4BB7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5 132,32 € </w:t>
            </w:r>
          </w:p>
        </w:tc>
        <w:tc>
          <w:tcPr>
            <w:tcW w:type="dxa" w:w="860"/>
            <w:tcBorders>
              <w:top w:val="nil"/>
              <w:left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790734F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126,20 € </w:t>
            </w:r>
          </w:p>
        </w:tc>
      </w:tr>
      <w:tr w14:paraId="3552A222" w14:textId="77777777" w:rsidR="00ED4BB7" w:rsidRPr="00ED4BB7" w:rsidTr="00ED4BB7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right w:val="nil"/>
            </w:tcBorders>
            <w:shd w:color="000000" w:fill="DDEBF7" w:val="clear"/>
            <w:noWrap/>
            <w:vAlign w:val="bottom"/>
            <w:hideMark/>
          </w:tcPr>
          <w:p w14:paraId="1F3FFE2B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75068911" w14:textId="0636C8A9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 21 à 24</w:t>
            </w:r>
          </w:p>
        </w:tc>
        <w:tc>
          <w:tcPr>
            <w:tcW w:type="dxa" w:w="1320"/>
            <w:tcBorders>
              <w:top w:val="nil"/>
              <w:left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16C53C07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4 375,12 € </w:t>
            </w:r>
          </w:p>
        </w:tc>
        <w:tc>
          <w:tcPr>
            <w:tcW w:type="dxa" w:w="1180"/>
            <w:tcBorders>
              <w:top w:val="nil"/>
              <w:left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279C8CEB" w14:textId="77777777" w:rsidP="00ED4BB7" w:rsidR="00ED4BB7" w:rsidRDefault="00ED4BB7" w:rsidRPr="00ED4BB7">
            <w:pPr>
              <w:rPr>
                <w:rFonts w:ascii="Calibri" w:cs="Calibri" w:hAnsi="Calibri"/>
                <w:i/>
                <w:iCs/>
                <w:sz w:val="18"/>
                <w:szCs w:val="18"/>
              </w:rPr>
            </w:pPr>
            <w:r w:rsidRPr="00ED4BB7">
              <w:rPr>
                <w:rFonts w:ascii="Calibri" w:cs="Calibri" w:hAnsi="Calibri"/>
                <w:i/>
                <w:iCs/>
                <w:sz w:val="18"/>
                <w:szCs w:val="18"/>
              </w:rPr>
              <w:t xml:space="preserve">        883,40 €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BD6EBF0" w14:textId="77777777" w:rsidP="00ED4BB7" w:rsidR="00ED4BB7" w:rsidRDefault="00ED4BB7" w:rsidRPr="00ED4BB7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ED4BB7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5 258,52 € </w:t>
            </w:r>
          </w:p>
        </w:tc>
        <w:tc>
          <w:tcPr>
            <w:tcW w:type="dxa" w:w="860"/>
            <w:tcBorders>
              <w:top w:val="nil"/>
              <w:left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F26247D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126,20 € </w:t>
            </w:r>
          </w:p>
        </w:tc>
      </w:tr>
      <w:tr w14:paraId="4121A3F6" w14:textId="77777777" w:rsidR="00ED4BB7" w:rsidRPr="00ED4BB7" w:rsidTr="00ED4BB7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right w:val="nil"/>
            </w:tcBorders>
            <w:shd w:color="000000" w:fill="DDEBF7" w:val="clear"/>
            <w:noWrap/>
            <w:vAlign w:val="bottom"/>
            <w:hideMark/>
          </w:tcPr>
          <w:p w14:paraId="3E22BA35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554E6483" w14:textId="29539E40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 24 à 27</w:t>
            </w:r>
          </w:p>
        </w:tc>
        <w:tc>
          <w:tcPr>
            <w:tcW w:type="dxa" w:w="1320"/>
            <w:tcBorders>
              <w:top w:val="nil"/>
              <w:left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B72C697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4 375,12 € </w:t>
            </w:r>
          </w:p>
        </w:tc>
        <w:tc>
          <w:tcPr>
            <w:tcW w:type="dxa" w:w="1180"/>
            <w:tcBorders>
              <w:top w:val="nil"/>
              <w:left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3D394FE5" w14:textId="77777777" w:rsidP="00ED4BB7" w:rsidR="00ED4BB7" w:rsidRDefault="00ED4BB7" w:rsidRPr="00ED4BB7">
            <w:pPr>
              <w:rPr>
                <w:rFonts w:ascii="Calibri" w:cs="Calibri" w:hAnsi="Calibri"/>
                <w:i/>
                <w:iCs/>
                <w:sz w:val="18"/>
                <w:szCs w:val="18"/>
              </w:rPr>
            </w:pPr>
            <w:r w:rsidRPr="00ED4BB7">
              <w:rPr>
                <w:rFonts w:ascii="Calibri" w:cs="Calibri" w:hAnsi="Calibri"/>
                <w:i/>
                <w:iCs/>
                <w:sz w:val="18"/>
                <w:szCs w:val="18"/>
              </w:rPr>
              <w:t xml:space="preserve">     1 009,60 €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5ABAD124" w14:textId="77777777" w:rsidP="00ED4BB7" w:rsidR="00ED4BB7" w:rsidRDefault="00ED4BB7" w:rsidRPr="00ED4BB7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ED4BB7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5 384,72 € </w:t>
            </w:r>
          </w:p>
        </w:tc>
        <w:tc>
          <w:tcPr>
            <w:tcW w:type="dxa" w:w="860"/>
            <w:tcBorders>
              <w:top w:val="nil"/>
              <w:left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BF640D2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126,20 € </w:t>
            </w:r>
          </w:p>
        </w:tc>
      </w:tr>
      <w:tr w14:paraId="3674BD38" w14:textId="77777777" w:rsidR="00ED4BB7" w:rsidRPr="00ED4BB7" w:rsidTr="00ED4BB7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right w:val="nil"/>
            </w:tcBorders>
            <w:shd w:color="000000" w:fill="DDEBF7" w:val="clear"/>
            <w:noWrap/>
            <w:vAlign w:val="bottom"/>
            <w:hideMark/>
          </w:tcPr>
          <w:p w14:paraId="429BEEE1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732817C2" w14:textId="57615DFE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 27 à 30</w:t>
            </w:r>
          </w:p>
        </w:tc>
        <w:tc>
          <w:tcPr>
            <w:tcW w:type="dxa" w:w="1320"/>
            <w:tcBorders>
              <w:top w:val="nil"/>
              <w:left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4246E80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4 375,12 € </w:t>
            </w:r>
          </w:p>
        </w:tc>
        <w:tc>
          <w:tcPr>
            <w:tcW w:type="dxa" w:w="1180"/>
            <w:tcBorders>
              <w:top w:val="nil"/>
              <w:left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64B01C9C" w14:textId="77777777" w:rsidP="00ED4BB7" w:rsidR="00ED4BB7" w:rsidRDefault="00ED4BB7" w:rsidRPr="00ED4BB7">
            <w:pPr>
              <w:rPr>
                <w:rFonts w:ascii="Calibri" w:cs="Calibri" w:hAnsi="Calibri"/>
                <w:i/>
                <w:iCs/>
                <w:sz w:val="18"/>
                <w:szCs w:val="18"/>
              </w:rPr>
            </w:pPr>
            <w:r w:rsidRPr="00ED4BB7">
              <w:rPr>
                <w:rFonts w:ascii="Calibri" w:cs="Calibri" w:hAnsi="Calibri"/>
                <w:i/>
                <w:iCs/>
                <w:sz w:val="18"/>
                <w:szCs w:val="18"/>
              </w:rPr>
              <w:t xml:space="preserve">     1 135,80 €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53466D07" w14:textId="77777777" w:rsidP="00ED4BB7" w:rsidR="00ED4BB7" w:rsidRDefault="00ED4BB7" w:rsidRPr="00ED4BB7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ED4BB7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5 510,92 € </w:t>
            </w:r>
          </w:p>
        </w:tc>
        <w:tc>
          <w:tcPr>
            <w:tcW w:type="dxa" w:w="860"/>
            <w:tcBorders>
              <w:top w:val="nil"/>
              <w:left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FD19602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126,20 € </w:t>
            </w:r>
          </w:p>
        </w:tc>
      </w:tr>
      <w:tr w14:paraId="48F287DF" w14:textId="77777777" w:rsidR="00ED4BB7" w:rsidRPr="00ED4BB7" w:rsidTr="00ED4BB7">
        <w:trPr>
          <w:trHeight w:val="270"/>
        </w:trPr>
        <w:tc>
          <w:tcPr>
            <w:tcW w:type="dxa" w:w="1280"/>
            <w:tcBorders>
              <w:top w:val="nil"/>
              <w:left w:color="auto" w:space="0" w:sz="4" w:val="single"/>
              <w:bottom w:color="auto" w:space="0" w:sz="4" w:val="single"/>
              <w:right w:val="nil"/>
            </w:tcBorders>
            <w:shd w:color="000000" w:fill="DDEBF7" w:val="clear"/>
            <w:noWrap/>
            <w:vAlign w:val="bottom"/>
            <w:hideMark/>
          </w:tcPr>
          <w:p w14:paraId="378BD5CD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A95E5C1" w14:textId="6C24E8AB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 30 à plus</w:t>
            </w:r>
          </w:p>
        </w:tc>
        <w:tc>
          <w:tcPr>
            <w:tcW w:type="dxa" w:w="13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39BCD25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4 375,12 € </w:t>
            </w:r>
          </w:p>
        </w:tc>
        <w:tc>
          <w:tcPr>
            <w:tcW w:type="dxa" w:w="1180"/>
            <w:tcBorders>
              <w:top w:val="nil"/>
              <w:left w:val="nil"/>
              <w:bottom w:color="auto" w:space="0" w:sz="4" w:val="single"/>
              <w:right w:val="nil"/>
            </w:tcBorders>
            <w:shd w:color="000000" w:fill="DDEBF7" w:val="clear"/>
            <w:noWrap/>
            <w:vAlign w:val="bottom"/>
            <w:hideMark/>
          </w:tcPr>
          <w:p w14:paraId="7B19C879" w14:textId="77777777" w:rsidP="00ED4BB7" w:rsidR="00ED4BB7" w:rsidRDefault="00ED4BB7" w:rsidRPr="00ED4BB7">
            <w:pPr>
              <w:rPr>
                <w:rFonts w:ascii="Calibri" w:cs="Calibri" w:hAnsi="Calibri"/>
                <w:i/>
                <w:iCs/>
                <w:sz w:val="18"/>
                <w:szCs w:val="18"/>
              </w:rPr>
            </w:pPr>
            <w:r w:rsidRPr="00ED4BB7">
              <w:rPr>
                <w:rFonts w:ascii="Calibri" w:cs="Calibri" w:hAnsi="Calibri"/>
                <w:i/>
                <w:iCs/>
                <w:sz w:val="18"/>
                <w:szCs w:val="18"/>
              </w:rPr>
              <w:t xml:space="preserve">     1 262,00 €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72CC777" w14:textId="77777777" w:rsidP="00ED4BB7" w:rsidR="00ED4BB7" w:rsidRDefault="00ED4BB7" w:rsidRPr="00ED4BB7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ED4BB7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5 637,12 € </w:t>
            </w:r>
          </w:p>
        </w:tc>
        <w:tc>
          <w:tcPr>
            <w:tcW w:type="dxa" w:w="8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7BECDD4B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126,20 € </w:t>
            </w:r>
          </w:p>
        </w:tc>
      </w:tr>
    </w:tbl>
    <w:p w14:paraId="564D37E3" w14:textId="2637F19D" w:rsidP="002F12D1" w:rsidR="0077047E" w:rsidRDefault="0077047E" w:rsidRPr="008B0433">
      <w:pPr>
        <w:spacing w:before="120"/>
        <w:rPr>
          <w:rFonts w:ascii="Arial Narrow" w:cs="Arial" w:hAnsi="Arial Narrow"/>
          <w:sz w:val="12"/>
          <w:szCs w:val="12"/>
        </w:rPr>
      </w:pPr>
    </w:p>
    <w:p w14:paraId="1D0041ED" w14:textId="7F01EF53" w:rsidP="002F12D1" w:rsidR="00763098" w:rsidRDefault="00763098">
      <w:pPr>
        <w:spacing w:after="120"/>
        <w:rPr>
          <w:rFonts w:ascii="Arial Narrow" w:cs="Arial" w:hAnsi="Arial Narrow"/>
          <w:b/>
          <w:bCs/>
          <w:sz w:val="20"/>
          <w:szCs w:val="20"/>
        </w:rPr>
      </w:pPr>
    </w:p>
    <w:p w14:paraId="0847392B" w14:textId="77777777" w:rsidP="002F12D1" w:rsidR="00ED4BB7" w:rsidRDefault="00ED4BB7">
      <w:pPr>
        <w:spacing w:after="120"/>
        <w:rPr>
          <w:rFonts w:ascii="Arial Narrow" w:cs="Arial" w:hAnsi="Arial Narrow"/>
          <w:b/>
          <w:bCs/>
          <w:sz w:val="20"/>
          <w:szCs w:val="20"/>
        </w:rPr>
      </w:pPr>
    </w:p>
    <w:tbl>
      <w:tblPr>
        <w:tblW w:type="dxa" w:w="7060"/>
        <w:tblCellMar>
          <w:left w:type="dxa" w:w="70"/>
          <w:right w:type="dxa" w:w="70"/>
        </w:tblCellMar>
        <w:tblLook w:firstColumn="1" w:firstRow="1" w:lastColumn="0" w:lastRow="0" w:noHBand="0" w:noVBand="1" w:val="04A0"/>
      </w:tblPr>
      <w:tblGrid>
        <w:gridCol w:w="1280"/>
        <w:gridCol w:w="1240"/>
        <w:gridCol w:w="1320"/>
        <w:gridCol w:w="1180"/>
        <w:gridCol w:w="1180"/>
        <w:gridCol w:w="860"/>
      </w:tblGrid>
      <w:tr w14:paraId="3BA208C2" w14:textId="77777777" w:rsidR="00ED4BB7" w:rsidRPr="0077047E" w:rsidTr="00ED4BB7">
        <w:trPr>
          <w:trHeight w:val="480"/>
        </w:trPr>
        <w:tc>
          <w:tcPr>
            <w:tcW w:type="dxa" w:w="128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000000" w:fill="DDEBF7" w:val="clear"/>
            <w:vAlign w:val="center"/>
            <w:hideMark/>
          </w:tcPr>
          <w:p w14:paraId="4269CFCD" w14:textId="77777777" w:rsidP="0081028D" w:rsidR="00ED4BB7" w:rsidRDefault="00ED4BB7" w:rsidRPr="0077047E">
            <w:pPr>
              <w:jc w:val="center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Classification</w:t>
            </w:r>
          </w:p>
        </w:tc>
        <w:tc>
          <w:tcPr>
            <w:tcW w:type="dxa" w:w="1240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000000" w:fill="DDEBF7" w:val="clear"/>
            <w:vAlign w:val="center"/>
            <w:hideMark/>
          </w:tcPr>
          <w:p w14:paraId="7055C65C" w14:textId="77777777" w:rsidP="0081028D" w:rsidR="00ED4BB7" w:rsidRDefault="00ED4BB7" w:rsidRPr="0077047E">
            <w:pPr>
              <w:jc w:val="center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Nbre années d'ancienneté</w:t>
            </w:r>
          </w:p>
        </w:tc>
        <w:tc>
          <w:tcPr>
            <w:tcW w:type="dxa" w:w="1320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000000" w:fill="DDEBF7" w:val="clear"/>
            <w:vAlign w:val="center"/>
            <w:hideMark/>
          </w:tcPr>
          <w:p w14:paraId="25A79DED" w14:textId="77777777" w:rsidP="0081028D" w:rsidR="00ED4BB7" w:rsidRDefault="00ED4BB7" w:rsidRPr="0077047E">
            <w:pPr>
              <w:jc w:val="center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Rémunération de base</w:t>
            </w:r>
          </w:p>
        </w:tc>
        <w:tc>
          <w:tcPr>
            <w:tcW w:type="dxa" w:w="1180"/>
            <w:tcBorders>
              <w:top w:color="auto" w:space="0" w:sz="4" w:val="single"/>
              <w:left w:val="nil"/>
              <w:bottom w:color="auto" w:space="0" w:sz="4" w:val="single"/>
              <w:right w:val="nil"/>
            </w:tcBorders>
            <w:shd w:color="000000" w:fill="DDEBF7" w:val="clear"/>
            <w:vAlign w:val="center"/>
            <w:hideMark/>
          </w:tcPr>
          <w:p w14:paraId="2A625328" w14:textId="77777777" w:rsidP="0081028D" w:rsidR="00ED4BB7" w:rsidRDefault="00ED4BB7" w:rsidRPr="0077047E">
            <w:pPr>
              <w:jc w:val="center"/>
              <w:rPr>
                <w:rFonts w:ascii="Calibri" w:cs="Calibri" w:hAnsi="Calibri"/>
                <w:i/>
                <w:iCs/>
                <w:sz w:val="18"/>
                <w:szCs w:val="18"/>
              </w:rPr>
            </w:pPr>
            <w:r w:rsidRPr="0077047E">
              <w:rPr>
                <w:rFonts w:ascii="Calibri" w:cs="Calibri" w:hAnsi="Calibri"/>
                <w:i/>
                <w:iCs/>
                <w:sz w:val="18"/>
                <w:szCs w:val="18"/>
              </w:rPr>
              <w:t>Pr. Ancienneté</w:t>
            </w:r>
          </w:p>
        </w:tc>
        <w:tc>
          <w:tcPr>
            <w:tcW w:type="dxa" w:w="118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000000" w:fill="DDEBF7" w:val="clear"/>
            <w:vAlign w:val="center"/>
            <w:hideMark/>
          </w:tcPr>
          <w:p w14:paraId="191CF901" w14:textId="77777777" w:rsidP="0081028D" w:rsidR="00ED4BB7" w:rsidRDefault="00ED4BB7" w:rsidRPr="0077047E">
            <w:pPr>
              <w:jc w:val="center"/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77047E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>SBMH DSM</w:t>
            </w:r>
          </w:p>
        </w:tc>
        <w:tc>
          <w:tcPr>
            <w:tcW w:type="dxa" w:w="860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000000" w:fill="DDEBF7" w:val="clear"/>
            <w:vAlign w:val="center"/>
            <w:hideMark/>
          </w:tcPr>
          <w:p w14:paraId="07895C2E" w14:textId="77777777" w:rsidP="0081028D" w:rsidR="00ED4BB7" w:rsidRDefault="00ED4BB7" w:rsidRPr="0077047E">
            <w:pPr>
              <w:jc w:val="center"/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Ecarts</w:t>
            </w:r>
          </w:p>
        </w:tc>
      </w:tr>
      <w:tr w14:paraId="114D63AC" w14:textId="77777777" w:rsidR="00ED4BB7" w:rsidRPr="00ED4BB7" w:rsidTr="00ED4BB7">
        <w:trPr>
          <w:trHeight w:val="30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0ACAD50E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  <w:u w:val="single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  <w:u w:val="single"/>
              </w:rPr>
              <w:t>Cadres  P3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25C23AC" w14:textId="2BC81203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 0 à 3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3D1500E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4 981,57 €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4FF9095E" w14:textId="77777777" w:rsidP="00ED4BB7" w:rsidR="00ED4BB7" w:rsidRDefault="00ED4BB7" w:rsidRPr="00ED4BB7">
            <w:pPr>
              <w:rPr>
                <w:rFonts w:ascii="Calibri" w:cs="Calibri" w:hAnsi="Calibri"/>
                <w:b/>
                <w:bCs/>
                <w:i/>
                <w:iCs/>
                <w:sz w:val="18"/>
                <w:szCs w:val="18"/>
              </w:rPr>
            </w:pPr>
            <w:r w:rsidRPr="00ED4BB7">
              <w:rPr>
                <w:rFonts w:ascii="Calibri" w:cs="Calibri" w:hAnsi="Calibri"/>
                <w:b/>
                <w:bCs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1FE944A6" w14:textId="77777777" w:rsidP="00ED4BB7" w:rsidR="00ED4BB7" w:rsidRDefault="00ED4BB7" w:rsidRPr="00ED4BB7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ED4BB7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5 082,52 €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52FB648D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</w:tr>
      <w:tr w14:paraId="5A845B92" w14:textId="77777777" w:rsidR="00ED4BB7" w:rsidRPr="00ED4BB7" w:rsidTr="00ED4BB7">
        <w:trPr>
          <w:trHeight w:val="30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60F566EB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</w:rPr>
              <w:t>Forfait jours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17A305E" w14:textId="68BEFBE2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 3 à 6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79E6EAD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4 981,57 €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6408A53B" w14:textId="77777777" w:rsidP="00ED4BB7" w:rsidR="00ED4BB7" w:rsidRDefault="00ED4BB7" w:rsidRPr="00ED4BB7">
            <w:pPr>
              <w:jc w:val="right"/>
              <w:rPr>
                <w:rFonts w:ascii="Calibri" w:cs="Calibri" w:hAnsi="Calibri"/>
                <w:i/>
                <w:iCs/>
                <w:sz w:val="18"/>
                <w:szCs w:val="18"/>
              </w:rPr>
            </w:pPr>
            <w:r w:rsidRPr="00ED4BB7">
              <w:rPr>
                <w:rFonts w:ascii="Calibri" w:cs="Calibri" w:hAnsi="Calibri"/>
                <w:i/>
                <w:iCs/>
                <w:sz w:val="18"/>
                <w:szCs w:val="18"/>
              </w:rPr>
              <w:t>126,20 €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AB7C617" w14:textId="77777777" w:rsidP="00ED4BB7" w:rsidR="00ED4BB7" w:rsidRDefault="00ED4BB7" w:rsidRPr="00ED4BB7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ED4BB7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5 208,72 €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7372B49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126,20 € </w:t>
            </w:r>
          </w:p>
        </w:tc>
      </w:tr>
      <w:tr w14:paraId="1A0C031B" w14:textId="77777777" w:rsidR="00ED4BB7" w:rsidRPr="00ED4BB7" w:rsidTr="00ED4BB7">
        <w:trPr>
          <w:trHeight w:val="30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22B9D7E4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E9C163A" w14:textId="727A9953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 6 à 9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550D8516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4 981,57 €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02B78AEB" w14:textId="77777777" w:rsidP="00ED4BB7" w:rsidR="00ED4BB7" w:rsidRDefault="00ED4BB7" w:rsidRPr="00ED4BB7">
            <w:pPr>
              <w:rPr>
                <w:rFonts w:ascii="Calibri" w:cs="Calibri" w:hAnsi="Calibri"/>
                <w:i/>
                <w:iCs/>
                <w:sz w:val="18"/>
                <w:szCs w:val="18"/>
              </w:rPr>
            </w:pPr>
            <w:r w:rsidRPr="00ED4BB7">
              <w:rPr>
                <w:rFonts w:ascii="Calibri" w:cs="Calibri" w:hAnsi="Calibri"/>
                <w:i/>
                <w:iCs/>
                <w:sz w:val="18"/>
                <w:szCs w:val="18"/>
              </w:rPr>
              <w:t xml:space="preserve">        252,40 €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5658F864" w14:textId="77777777" w:rsidP="00ED4BB7" w:rsidR="00ED4BB7" w:rsidRDefault="00ED4BB7" w:rsidRPr="00ED4BB7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ED4BB7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5 334,92 €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E3DF5D0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126,20 € </w:t>
            </w:r>
          </w:p>
        </w:tc>
      </w:tr>
      <w:tr w14:paraId="7EB4C43C" w14:textId="77777777" w:rsidR="00ED4BB7" w:rsidRPr="00ED4BB7" w:rsidTr="00ED4BB7">
        <w:trPr>
          <w:trHeight w:val="30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59DFF4C7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7FBE6B8D" w14:textId="43D697D6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 9 à 12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7310AB1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4 981,57 €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3F73F58D" w14:textId="77777777" w:rsidP="00ED4BB7" w:rsidR="00ED4BB7" w:rsidRDefault="00ED4BB7" w:rsidRPr="00ED4BB7">
            <w:pPr>
              <w:rPr>
                <w:rFonts w:ascii="Calibri" w:cs="Calibri" w:hAnsi="Calibri"/>
                <w:i/>
                <w:iCs/>
                <w:sz w:val="18"/>
                <w:szCs w:val="18"/>
              </w:rPr>
            </w:pPr>
            <w:r w:rsidRPr="00ED4BB7">
              <w:rPr>
                <w:rFonts w:ascii="Calibri" w:cs="Calibri" w:hAnsi="Calibri"/>
                <w:i/>
                <w:iCs/>
                <w:sz w:val="18"/>
                <w:szCs w:val="18"/>
              </w:rPr>
              <w:t xml:space="preserve">        378,60 €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5EA0067A" w14:textId="77777777" w:rsidP="00ED4BB7" w:rsidR="00ED4BB7" w:rsidRDefault="00ED4BB7" w:rsidRPr="00ED4BB7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ED4BB7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5 461,12 €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C255182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126,20 € </w:t>
            </w:r>
          </w:p>
        </w:tc>
      </w:tr>
      <w:tr w14:paraId="17F508D9" w14:textId="77777777" w:rsidR="00ED4BB7" w:rsidRPr="00ED4BB7" w:rsidTr="00ED4BB7">
        <w:trPr>
          <w:trHeight w:val="30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77D93418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2B07820" w14:textId="01845A54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 12 à 15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6FD43C3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4 981,57 €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5D1D450A" w14:textId="77777777" w:rsidP="00ED4BB7" w:rsidR="00ED4BB7" w:rsidRDefault="00ED4BB7" w:rsidRPr="00ED4BB7">
            <w:pPr>
              <w:rPr>
                <w:rFonts w:ascii="Calibri" w:cs="Calibri" w:hAnsi="Calibri"/>
                <w:i/>
                <w:iCs/>
                <w:sz w:val="18"/>
                <w:szCs w:val="18"/>
              </w:rPr>
            </w:pPr>
            <w:r w:rsidRPr="00ED4BB7">
              <w:rPr>
                <w:rFonts w:ascii="Calibri" w:cs="Calibri" w:hAnsi="Calibri"/>
                <w:i/>
                <w:iCs/>
                <w:sz w:val="18"/>
                <w:szCs w:val="18"/>
              </w:rPr>
              <w:t xml:space="preserve">        504,80 €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6EE691F" w14:textId="77777777" w:rsidP="00ED4BB7" w:rsidR="00ED4BB7" w:rsidRDefault="00ED4BB7" w:rsidRPr="00ED4BB7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ED4BB7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5 587,32 €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343B7F5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126,20 € </w:t>
            </w:r>
          </w:p>
        </w:tc>
      </w:tr>
      <w:tr w14:paraId="393EC934" w14:textId="77777777" w:rsidR="00ED4BB7" w:rsidRPr="00ED4BB7" w:rsidTr="00ED4BB7">
        <w:trPr>
          <w:trHeight w:val="30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2E613451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220C5D7" w14:textId="40953C75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 15 à 18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1E52AEB6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4 981,57 €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65053B48" w14:textId="77777777" w:rsidP="00ED4BB7" w:rsidR="00ED4BB7" w:rsidRDefault="00ED4BB7" w:rsidRPr="00ED4BB7">
            <w:pPr>
              <w:rPr>
                <w:rFonts w:ascii="Calibri" w:cs="Calibri" w:hAnsi="Calibri"/>
                <w:i/>
                <w:iCs/>
                <w:sz w:val="18"/>
                <w:szCs w:val="18"/>
              </w:rPr>
            </w:pPr>
            <w:r w:rsidRPr="00ED4BB7">
              <w:rPr>
                <w:rFonts w:ascii="Calibri" w:cs="Calibri" w:hAnsi="Calibri"/>
                <w:i/>
                <w:iCs/>
                <w:sz w:val="18"/>
                <w:szCs w:val="18"/>
              </w:rPr>
              <w:t xml:space="preserve">        631,00 €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14C017B8" w14:textId="77777777" w:rsidP="00ED4BB7" w:rsidR="00ED4BB7" w:rsidRDefault="00ED4BB7" w:rsidRPr="00ED4BB7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ED4BB7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5 713,52 €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85AAA2A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126,20 € </w:t>
            </w:r>
          </w:p>
        </w:tc>
      </w:tr>
      <w:tr w14:paraId="057B5524" w14:textId="77777777" w:rsidR="00ED4BB7" w:rsidRPr="00ED4BB7" w:rsidTr="00ED4BB7">
        <w:trPr>
          <w:trHeight w:val="30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38B98F5B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1BD6A21" w14:textId="1D4781BB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 18 à 21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1A9D4630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4 981,57 €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1E9A5CE2" w14:textId="77777777" w:rsidP="00ED4BB7" w:rsidR="00ED4BB7" w:rsidRDefault="00ED4BB7" w:rsidRPr="00ED4BB7">
            <w:pPr>
              <w:rPr>
                <w:rFonts w:ascii="Calibri" w:cs="Calibri" w:hAnsi="Calibri"/>
                <w:i/>
                <w:iCs/>
                <w:sz w:val="18"/>
                <w:szCs w:val="18"/>
              </w:rPr>
            </w:pPr>
            <w:r w:rsidRPr="00ED4BB7">
              <w:rPr>
                <w:rFonts w:ascii="Calibri" w:cs="Calibri" w:hAnsi="Calibri"/>
                <w:i/>
                <w:iCs/>
                <w:sz w:val="18"/>
                <w:szCs w:val="18"/>
              </w:rPr>
              <w:t xml:space="preserve">        757,20 €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22E9FB7B" w14:textId="77777777" w:rsidP="00ED4BB7" w:rsidR="00ED4BB7" w:rsidRDefault="00ED4BB7" w:rsidRPr="00ED4BB7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ED4BB7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5 839,72 €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5616C10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126,20 € </w:t>
            </w:r>
          </w:p>
        </w:tc>
      </w:tr>
      <w:tr w14:paraId="4540A8A1" w14:textId="77777777" w:rsidR="00ED4BB7" w:rsidRPr="00ED4BB7" w:rsidTr="00ED4BB7">
        <w:trPr>
          <w:trHeight w:val="30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677E09D0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94B5231" w14:textId="0CDB7382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 21 à 24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99D15A5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4 981,57 €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6A54075F" w14:textId="77777777" w:rsidP="00ED4BB7" w:rsidR="00ED4BB7" w:rsidRDefault="00ED4BB7" w:rsidRPr="00ED4BB7">
            <w:pPr>
              <w:rPr>
                <w:rFonts w:ascii="Calibri" w:cs="Calibri" w:hAnsi="Calibri"/>
                <w:i/>
                <w:iCs/>
                <w:sz w:val="18"/>
                <w:szCs w:val="18"/>
              </w:rPr>
            </w:pPr>
            <w:r w:rsidRPr="00ED4BB7">
              <w:rPr>
                <w:rFonts w:ascii="Calibri" w:cs="Calibri" w:hAnsi="Calibri"/>
                <w:i/>
                <w:iCs/>
                <w:sz w:val="18"/>
                <w:szCs w:val="18"/>
              </w:rPr>
              <w:t xml:space="preserve">        883,40 €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4ABBCB3" w14:textId="77777777" w:rsidP="00ED4BB7" w:rsidR="00ED4BB7" w:rsidRDefault="00ED4BB7" w:rsidRPr="00ED4BB7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ED4BB7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5 965,92 €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B72FC2A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126,20 € </w:t>
            </w:r>
          </w:p>
        </w:tc>
      </w:tr>
      <w:tr w14:paraId="6A7A1725" w14:textId="77777777" w:rsidR="00ED4BB7" w:rsidRPr="00ED4BB7" w:rsidTr="00ED4BB7">
        <w:trPr>
          <w:trHeight w:val="30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5C920C5E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9F150DB" w14:textId="24B019C6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 24 à 27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9B7D22C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4 981,57 €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4C06E269" w14:textId="77777777" w:rsidP="00ED4BB7" w:rsidR="00ED4BB7" w:rsidRDefault="00ED4BB7" w:rsidRPr="00ED4BB7">
            <w:pPr>
              <w:rPr>
                <w:rFonts w:ascii="Calibri" w:cs="Calibri" w:hAnsi="Calibri"/>
                <w:i/>
                <w:iCs/>
                <w:sz w:val="18"/>
                <w:szCs w:val="18"/>
              </w:rPr>
            </w:pPr>
            <w:r w:rsidRPr="00ED4BB7">
              <w:rPr>
                <w:rFonts w:ascii="Calibri" w:cs="Calibri" w:hAnsi="Calibri"/>
                <w:i/>
                <w:iCs/>
                <w:sz w:val="18"/>
                <w:szCs w:val="18"/>
              </w:rPr>
              <w:t xml:space="preserve">     1 009,60 €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3F28BCB9" w14:textId="77777777" w:rsidP="00ED4BB7" w:rsidR="00ED4BB7" w:rsidRDefault="00ED4BB7" w:rsidRPr="00ED4BB7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ED4BB7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6 092,12 €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18DCD23C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126,20 € </w:t>
            </w:r>
          </w:p>
        </w:tc>
      </w:tr>
      <w:tr w14:paraId="2643AB8B" w14:textId="77777777" w:rsidR="00ED4BB7" w:rsidRPr="00ED4BB7" w:rsidTr="00ED4BB7">
        <w:trPr>
          <w:trHeight w:val="300"/>
        </w:trPr>
        <w:tc>
          <w:tcPr>
            <w:tcW w:type="dxa" w:w="1280"/>
            <w:tcBorders>
              <w:top w:val="nil"/>
              <w:left w:color="auto" w:space="0" w:sz="4" w:val="single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68D6CDFD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13A9642A" w14:textId="3D7B729F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 27 à 30</w:t>
            </w:r>
          </w:p>
        </w:tc>
        <w:tc>
          <w:tcPr>
            <w:tcW w:type="dxa" w:w="132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4745F65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4 981,57 € </w:t>
            </w:r>
          </w:p>
        </w:tc>
        <w:tc>
          <w:tcPr>
            <w:tcW w:type="dxa" w:w="1180"/>
            <w:tcBorders>
              <w:top w:val="nil"/>
              <w:left w:val="nil"/>
              <w:bottom w:val="nil"/>
              <w:right w:val="nil"/>
            </w:tcBorders>
            <w:shd w:color="000000" w:fill="DDEBF7" w:val="clear"/>
            <w:noWrap/>
            <w:vAlign w:val="bottom"/>
            <w:hideMark/>
          </w:tcPr>
          <w:p w14:paraId="5F7C921C" w14:textId="77777777" w:rsidP="00ED4BB7" w:rsidR="00ED4BB7" w:rsidRDefault="00ED4BB7" w:rsidRPr="00ED4BB7">
            <w:pPr>
              <w:rPr>
                <w:rFonts w:ascii="Calibri" w:cs="Calibri" w:hAnsi="Calibri"/>
                <w:i/>
                <w:iCs/>
                <w:sz w:val="18"/>
                <w:szCs w:val="18"/>
              </w:rPr>
            </w:pPr>
            <w:r w:rsidRPr="00ED4BB7">
              <w:rPr>
                <w:rFonts w:ascii="Calibri" w:cs="Calibri" w:hAnsi="Calibri"/>
                <w:i/>
                <w:iCs/>
                <w:sz w:val="18"/>
                <w:szCs w:val="18"/>
              </w:rPr>
              <w:t xml:space="preserve">     1 135,80 €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48FE3601" w14:textId="77777777" w:rsidP="00ED4BB7" w:rsidR="00ED4BB7" w:rsidRDefault="00ED4BB7" w:rsidRPr="00ED4BB7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ED4BB7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6 218,32 € </w:t>
            </w:r>
          </w:p>
        </w:tc>
        <w:tc>
          <w:tcPr>
            <w:tcW w:type="dxa" w:w="860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5B6AAB8A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126,20 € </w:t>
            </w:r>
          </w:p>
        </w:tc>
      </w:tr>
      <w:tr w14:paraId="1E3FEB4B" w14:textId="77777777" w:rsidR="00ED4BB7" w:rsidRPr="00ED4BB7" w:rsidTr="00ED4BB7">
        <w:trPr>
          <w:trHeight w:val="300"/>
        </w:trPr>
        <w:tc>
          <w:tcPr>
            <w:tcW w:type="dxa" w:w="1280"/>
            <w:tcBorders>
              <w:top w:val="nil"/>
              <w:left w:color="auto" w:space="0" w:sz="4" w:val="single"/>
              <w:bottom w:color="auto" w:space="0" w:sz="4" w:val="single"/>
              <w:right w:val="nil"/>
            </w:tcBorders>
            <w:shd w:color="000000" w:fill="DDEBF7" w:val="clear"/>
            <w:noWrap/>
            <w:vAlign w:val="bottom"/>
            <w:hideMark/>
          </w:tcPr>
          <w:p w14:paraId="0D18C83E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type="dxa" w:w="124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AC6B6B6" w14:textId="6251E890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77047E">
              <w:rPr>
                <w:rFonts w:ascii="Calibri" w:cs="Calibri" w:hAnsi="Calibri"/>
                <w:color w:val="000000"/>
                <w:sz w:val="18"/>
                <w:szCs w:val="18"/>
              </w:rPr>
              <w:t>De 30 à plus</w:t>
            </w:r>
          </w:p>
        </w:tc>
        <w:tc>
          <w:tcPr>
            <w:tcW w:type="dxa" w:w="13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045C22D6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       4 981,57 € </w:t>
            </w:r>
          </w:p>
        </w:tc>
        <w:tc>
          <w:tcPr>
            <w:tcW w:type="dxa" w:w="1180"/>
            <w:tcBorders>
              <w:top w:val="nil"/>
              <w:left w:val="nil"/>
              <w:bottom w:color="auto" w:space="0" w:sz="4" w:val="single"/>
              <w:right w:val="nil"/>
            </w:tcBorders>
            <w:shd w:color="000000" w:fill="DDEBF7" w:val="clear"/>
            <w:noWrap/>
            <w:vAlign w:val="bottom"/>
            <w:hideMark/>
          </w:tcPr>
          <w:p w14:paraId="5DB1207D" w14:textId="77777777" w:rsidP="00ED4BB7" w:rsidR="00ED4BB7" w:rsidRDefault="00ED4BB7" w:rsidRPr="00ED4BB7">
            <w:pPr>
              <w:rPr>
                <w:rFonts w:ascii="Calibri" w:cs="Calibri" w:hAnsi="Calibri"/>
                <w:i/>
                <w:iCs/>
                <w:sz w:val="18"/>
                <w:szCs w:val="18"/>
              </w:rPr>
            </w:pPr>
            <w:r w:rsidRPr="00ED4BB7">
              <w:rPr>
                <w:rFonts w:ascii="Calibri" w:cs="Calibri" w:hAnsi="Calibri"/>
                <w:i/>
                <w:iCs/>
                <w:sz w:val="18"/>
                <w:szCs w:val="18"/>
              </w:rPr>
              <w:t xml:space="preserve">     1 262,00 € </w:t>
            </w:r>
          </w:p>
        </w:tc>
        <w:tc>
          <w:tcPr>
            <w:tcW w:type="dxa" w:w="118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6F3856D1" w14:textId="77777777" w:rsidP="00ED4BB7" w:rsidR="00ED4BB7" w:rsidRDefault="00ED4BB7" w:rsidRPr="00ED4BB7">
            <w:pPr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</w:pPr>
            <w:r w:rsidRPr="00ED4BB7">
              <w:rPr>
                <w:rFonts w:ascii="Calibri" w:cs="Calibri" w:hAnsi="Calibri"/>
                <w:b/>
                <w:bCs/>
                <w:color w:val="305496"/>
                <w:sz w:val="18"/>
                <w:szCs w:val="18"/>
              </w:rPr>
              <w:t xml:space="preserve">      6 344,52 € </w:t>
            </w:r>
          </w:p>
        </w:tc>
        <w:tc>
          <w:tcPr>
            <w:tcW w:type="dxa" w:w="8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14:paraId="5F676FFB" w14:textId="77777777" w:rsidP="00ED4BB7" w:rsidR="00ED4BB7" w:rsidRDefault="00ED4BB7" w:rsidRPr="00ED4BB7">
            <w:pPr>
              <w:rPr>
                <w:rFonts w:ascii="Calibri" w:cs="Calibri" w:hAnsi="Calibri"/>
                <w:color w:val="000000"/>
                <w:sz w:val="18"/>
                <w:szCs w:val="18"/>
              </w:rPr>
            </w:pPr>
            <w:r w:rsidRPr="00ED4BB7">
              <w:rPr>
                <w:rFonts w:ascii="Calibri" w:cs="Calibri" w:hAnsi="Calibri"/>
                <w:color w:val="000000"/>
                <w:sz w:val="18"/>
                <w:szCs w:val="18"/>
              </w:rPr>
              <w:t xml:space="preserve">  126,20 € </w:t>
            </w:r>
          </w:p>
        </w:tc>
      </w:tr>
    </w:tbl>
    <w:p w14:paraId="1558B958" w14:textId="07CB1DFE" w:rsidP="002F12D1" w:rsidR="00ED4BB7" w:rsidRDefault="00ED4BB7">
      <w:pPr>
        <w:spacing w:after="120"/>
        <w:rPr>
          <w:rFonts w:ascii="Arial Narrow" w:cs="Arial" w:hAnsi="Arial Narrow"/>
          <w:b/>
          <w:bCs/>
          <w:sz w:val="20"/>
          <w:szCs w:val="20"/>
        </w:rPr>
      </w:pPr>
    </w:p>
    <w:p w14:paraId="1A42F4D6" w14:textId="77777777" w:rsidP="002F12D1" w:rsidR="00ED4BB7" w:rsidRDefault="00ED4BB7">
      <w:pPr>
        <w:spacing w:after="120"/>
        <w:rPr>
          <w:rFonts w:ascii="Arial Narrow" w:cs="Arial" w:hAnsi="Arial Narrow"/>
          <w:b/>
          <w:bCs/>
          <w:sz w:val="20"/>
          <w:szCs w:val="20"/>
        </w:rPr>
      </w:pPr>
    </w:p>
    <w:p w14:paraId="4B3CE34F" w14:textId="74B69EF7" w:rsidP="002F12D1" w:rsidR="00807B6C" w:rsidRDefault="00807B6C">
      <w:pPr>
        <w:spacing w:after="120"/>
        <w:rPr>
          <w:rFonts w:ascii="Arial Narrow" w:cs="Arial" w:hAnsi="Arial Narrow"/>
          <w:sz w:val="20"/>
          <w:szCs w:val="20"/>
        </w:rPr>
      </w:pPr>
      <w:r w:rsidRPr="008B0433">
        <w:rPr>
          <w:rFonts w:ascii="Arial Narrow" w:cs="Arial" w:hAnsi="Arial Narrow"/>
          <w:b/>
          <w:bCs/>
          <w:sz w:val="20"/>
          <w:szCs w:val="20"/>
        </w:rPr>
        <w:t>A noter :</w:t>
      </w:r>
      <w:r>
        <w:rPr>
          <w:rFonts w:ascii="Arial Narrow" w:cs="Arial" w:hAnsi="Arial Narrow"/>
          <w:sz w:val="20"/>
          <w:szCs w:val="20"/>
        </w:rPr>
        <w:t xml:space="preserve"> 73,33 € bruts </w:t>
      </w:r>
      <w:r w:rsidRPr="00807B6C">
        <w:rPr>
          <w:rFonts w:ascii="Arial Narrow" w:cs="Arial" w:hAnsi="Arial Narrow"/>
          <w:sz w:val="20"/>
          <w:szCs w:val="20"/>
        </w:rPr>
        <w:sym w:char="F0E0" w:font="Wingdings"/>
      </w:r>
      <w:r>
        <w:rPr>
          <w:rFonts w:ascii="Arial Narrow" w:cs="Arial" w:hAnsi="Arial Narrow"/>
          <w:sz w:val="20"/>
          <w:szCs w:val="20"/>
        </w:rPr>
        <w:t xml:space="preserve"> </w:t>
      </w:r>
      <w:r w:rsidRPr="00807B6C">
        <w:rPr>
          <w:rFonts w:ascii="Arial Narrow" w:cs="Arial" w:hAnsi="Arial Narrow"/>
          <w:sz w:val="20"/>
          <w:szCs w:val="20"/>
        </w:rPr>
        <w:t>Ecart moyen constaté entre les tranches d'ancienneté sur la grille</w:t>
      </w:r>
      <w:r>
        <w:rPr>
          <w:rFonts w:ascii="Arial Narrow" w:cs="Arial" w:hAnsi="Arial Narrow"/>
          <w:sz w:val="20"/>
          <w:szCs w:val="20"/>
        </w:rPr>
        <w:t xml:space="preserve"> </w:t>
      </w:r>
      <w:r w:rsidRPr="00807B6C">
        <w:rPr>
          <w:rFonts w:ascii="Arial Narrow" w:cs="Arial" w:hAnsi="Arial Narrow"/>
          <w:sz w:val="20"/>
          <w:szCs w:val="20"/>
        </w:rPr>
        <w:t xml:space="preserve">conventionnelle </w:t>
      </w:r>
      <w:r w:rsidR="008B0433">
        <w:rPr>
          <w:rFonts w:ascii="Arial Narrow" w:cs="Arial" w:hAnsi="Arial Narrow"/>
          <w:sz w:val="20"/>
          <w:szCs w:val="20"/>
        </w:rPr>
        <w:t xml:space="preserve">de </w:t>
      </w:r>
      <w:r w:rsidRPr="00807B6C">
        <w:rPr>
          <w:rFonts w:ascii="Arial Narrow" w:cs="Arial" w:hAnsi="Arial Narrow"/>
          <w:sz w:val="20"/>
          <w:szCs w:val="20"/>
        </w:rPr>
        <w:t>novembre 2022 des rémunérations des personnels non-cadres</w:t>
      </w:r>
    </w:p>
    <w:p w14:paraId="1A0645CC" w14:textId="77777777" w:rsidP="007E6D77" w:rsidR="00763098" w:rsidRDefault="00763098">
      <w:pPr>
        <w:spacing w:after="120" w:before="120"/>
        <w:rPr>
          <w:rFonts w:ascii="Arial Narrow" w:cs="Arial" w:hAnsi="Arial Narrow"/>
          <w:b/>
          <w:bCs/>
          <w:sz w:val="20"/>
          <w:szCs w:val="20"/>
        </w:rPr>
      </w:pPr>
    </w:p>
    <w:p w14:paraId="1A722502" w14:textId="2DEDE210" w:rsidP="007E6D77" w:rsidR="00807B6C" w:rsidRDefault="00807B6C" w:rsidRPr="008B0433">
      <w:pPr>
        <w:spacing w:after="120" w:before="120"/>
        <w:rPr>
          <w:rFonts w:ascii="Arial Narrow" w:cs="Arial" w:hAnsi="Arial Narrow"/>
          <w:b/>
          <w:bCs/>
          <w:sz w:val="20"/>
          <w:szCs w:val="20"/>
        </w:rPr>
      </w:pPr>
      <w:r w:rsidRPr="008B0433">
        <w:rPr>
          <w:rFonts w:ascii="Arial Narrow" w:cs="Arial" w:hAnsi="Arial Narrow"/>
          <w:b/>
          <w:bCs/>
          <w:sz w:val="20"/>
          <w:szCs w:val="20"/>
        </w:rPr>
        <w:t>Ecarts tranches d'ancienneté - Grille 11/2022</w:t>
      </w:r>
    </w:p>
    <w:p w14:paraId="210C5DBB" w14:textId="25F0E707" w:rsidP="008B0433" w:rsidR="00807B6C" w:rsidRDefault="00807B6C">
      <w:pPr>
        <w:spacing w:after="60" w:before="60"/>
        <w:rPr>
          <w:rFonts w:ascii="Arial Narrow" w:cs="Arial" w:hAnsi="Arial Narrow"/>
          <w:sz w:val="20"/>
          <w:szCs w:val="20"/>
        </w:rPr>
      </w:pPr>
      <w:r>
        <w:rPr>
          <w:rFonts w:ascii="Arial Narrow" w:cs="Arial" w:hAnsi="Arial Narrow"/>
          <w:sz w:val="20"/>
          <w:szCs w:val="20"/>
        </w:rPr>
        <w:t xml:space="preserve">89,20 € bruts </w:t>
      </w:r>
      <w:r w:rsidRPr="00807B6C">
        <w:rPr>
          <w:rFonts w:ascii="Arial Narrow" w:cs="Arial" w:hAnsi="Arial Narrow"/>
          <w:sz w:val="20"/>
          <w:szCs w:val="20"/>
        </w:rPr>
        <w:sym w:char="F0E0" w:font="Wingdings"/>
      </w:r>
      <w:r>
        <w:rPr>
          <w:rFonts w:ascii="Arial Narrow" w:cs="Arial" w:hAnsi="Arial Narrow"/>
          <w:sz w:val="20"/>
          <w:szCs w:val="20"/>
        </w:rPr>
        <w:t xml:space="preserve"> </w:t>
      </w:r>
      <w:r w:rsidRPr="00807B6C">
        <w:rPr>
          <w:rFonts w:ascii="Arial Narrow" w:cs="Arial" w:hAnsi="Arial Narrow"/>
          <w:sz w:val="20"/>
          <w:szCs w:val="20"/>
        </w:rPr>
        <w:t>Ecart moyen constaté entre les tranches d'ancienneté sur la grille</w:t>
      </w:r>
      <w:r>
        <w:rPr>
          <w:rFonts w:ascii="Arial Narrow" w:cs="Arial" w:hAnsi="Arial Narrow"/>
          <w:sz w:val="20"/>
          <w:szCs w:val="20"/>
        </w:rPr>
        <w:t xml:space="preserve"> </w:t>
      </w:r>
      <w:r w:rsidRPr="00807B6C">
        <w:rPr>
          <w:rFonts w:ascii="Arial Narrow" w:cs="Arial" w:hAnsi="Arial Narrow"/>
          <w:sz w:val="20"/>
          <w:szCs w:val="20"/>
        </w:rPr>
        <w:t>des rémunérations des pers. non-cadres DSM</w:t>
      </w:r>
      <w:r>
        <w:rPr>
          <w:rFonts w:ascii="Arial Narrow" w:cs="Arial" w:hAnsi="Arial Narrow"/>
          <w:sz w:val="20"/>
          <w:szCs w:val="20"/>
        </w:rPr>
        <w:t>,</w:t>
      </w:r>
    </w:p>
    <w:p w14:paraId="4819BFA8" w14:textId="31D7E534" w:rsidP="008B0433" w:rsidR="00807B6C" w:rsidRDefault="00807B6C" w:rsidRPr="00807B6C">
      <w:pPr>
        <w:spacing w:after="60" w:before="60"/>
        <w:rPr>
          <w:rFonts w:ascii="Arial Narrow" w:cs="Arial" w:hAnsi="Arial Narrow"/>
          <w:spacing w:val="-4"/>
          <w:sz w:val="20"/>
          <w:szCs w:val="20"/>
        </w:rPr>
      </w:pPr>
      <w:r w:rsidRPr="00807B6C">
        <w:rPr>
          <w:rFonts w:ascii="Arial Narrow" w:cs="Arial" w:hAnsi="Arial Narrow"/>
          <w:spacing w:val="-4"/>
          <w:sz w:val="20"/>
          <w:szCs w:val="20"/>
        </w:rPr>
        <w:t xml:space="preserve">121,04 € bruts </w:t>
      </w:r>
      <w:r w:rsidRPr="00807B6C">
        <w:rPr>
          <w:rFonts w:ascii="Arial Narrow" w:cs="Arial" w:hAnsi="Arial Narrow"/>
          <w:spacing w:val="-4"/>
          <w:sz w:val="20"/>
          <w:szCs w:val="20"/>
        </w:rPr>
        <w:sym w:char="F0E0" w:font="Wingdings"/>
      </w:r>
      <w:r w:rsidRPr="00807B6C">
        <w:rPr>
          <w:rFonts w:ascii="Arial Narrow" w:cs="Arial" w:hAnsi="Arial Narrow"/>
          <w:spacing w:val="-4"/>
          <w:sz w:val="20"/>
          <w:szCs w:val="20"/>
        </w:rPr>
        <w:t xml:space="preserve"> Ecart moyen constaté entre les tranches d'ancienneté sur la grille des rémunérations des pers. </w:t>
      </w:r>
      <w:r>
        <w:rPr>
          <w:rFonts w:ascii="Arial Narrow" w:cs="Arial" w:hAnsi="Arial Narrow"/>
          <w:spacing w:val="-4"/>
          <w:sz w:val="20"/>
          <w:szCs w:val="20"/>
        </w:rPr>
        <w:t>a</w:t>
      </w:r>
      <w:r w:rsidRPr="00807B6C">
        <w:rPr>
          <w:rFonts w:ascii="Arial Narrow" w:cs="Arial" w:hAnsi="Arial Narrow"/>
          <w:spacing w:val="-4"/>
          <w:sz w:val="20"/>
          <w:szCs w:val="20"/>
        </w:rPr>
        <w:t>gents de maîtrise DSM,</w:t>
      </w:r>
    </w:p>
    <w:p w14:paraId="316DF1B7" w14:textId="7DB06F9C" w:rsidP="00763098" w:rsidR="0077047E" w:rsidRDefault="00807B6C" w:rsidRPr="00F6113C">
      <w:pPr>
        <w:spacing w:after="60" w:before="60"/>
        <w:rPr>
          <w:rFonts w:ascii="Arial Narrow" w:cs="Arial" w:hAnsi="Arial Narrow"/>
          <w:sz w:val="20"/>
          <w:szCs w:val="20"/>
        </w:rPr>
      </w:pPr>
      <w:r>
        <w:rPr>
          <w:rFonts w:ascii="Arial Narrow" w:cs="Arial" w:hAnsi="Arial Narrow"/>
          <w:sz w:val="20"/>
          <w:szCs w:val="20"/>
        </w:rPr>
        <w:t xml:space="preserve">126,20 € € bruts </w:t>
      </w:r>
      <w:r w:rsidRPr="00807B6C">
        <w:rPr>
          <w:rFonts w:ascii="Arial Narrow" w:cs="Arial" w:hAnsi="Arial Narrow"/>
          <w:sz w:val="20"/>
          <w:szCs w:val="20"/>
        </w:rPr>
        <w:sym w:char="F0E0" w:font="Wingdings"/>
      </w:r>
      <w:r>
        <w:rPr>
          <w:rFonts w:ascii="Arial Narrow" w:cs="Arial" w:hAnsi="Arial Narrow"/>
          <w:sz w:val="20"/>
          <w:szCs w:val="20"/>
        </w:rPr>
        <w:t xml:space="preserve"> </w:t>
      </w:r>
      <w:r w:rsidRPr="00807B6C">
        <w:rPr>
          <w:rFonts w:ascii="Arial Narrow" w:cs="Arial" w:hAnsi="Arial Narrow"/>
          <w:sz w:val="20"/>
          <w:szCs w:val="20"/>
        </w:rPr>
        <w:t>Ecart moyen constaté entre les tranches d'ancienneté sur la grille</w:t>
      </w:r>
      <w:r>
        <w:rPr>
          <w:rFonts w:ascii="Arial Narrow" w:cs="Arial" w:hAnsi="Arial Narrow"/>
          <w:sz w:val="20"/>
          <w:szCs w:val="20"/>
        </w:rPr>
        <w:t xml:space="preserve"> </w:t>
      </w:r>
      <w:r w:rsidRPr="00807B6C">
        <w:rPr>
          <w:rFonts w:ascii="Arial Narrow" w:cs="Arial" w:hAnsi="Arial Narrow"/>
          <w:sz w:val="20"/>
          <w:szCs w:val="20"/>
        </w:rPr>
        <w:t>des rémunérations des pers</w:t>
      </w:r>
      <w:r>
        <w:rPr>
          <w:rFonts w:ascii="Arial Narrow" w:cs="Arial" w:hAnsi="Arial Narrow"/>
          <w:sz w:val="20"/>
          <w:szCs w:val="20"/>
        </w:rPr>
        <w:t xml:space="preserve">. </w:t>
      </w:r>
      <w:r w:rsidRPr="00807B6C">
        <w:rPr>
          <w:rFonts w:ascii="Arial Narrow" w:cs="Arial" w:hAnsi="Arial Narrow"/>
          <w:sz w:val="20"/>
          <w:szCs w:val="20"/>
        </w:rPr>
        <w:t>cadres DSM</w:t>
      </w:r>
      <w:r w:rsidR="008B0433">
        <w:rPr>
          <w:rFonts w:ascii="Arial Narrow" w:cs="Arial" w:hAnsi="Arial Narrow"/>
          <w:sz w:val="20"/>
          <w:szCs w:val="20"/>
        </w:rPr>
        <w:t>.</w:t>
      </w:r>
    </w:p>
    <w:sectPr w:rsidR="0077047E" w:rsidRPr="00F6113C" w:rsidSect="00F6113C">
      <w:headerReference r:id="rId9" w:type="even"/>
      <w:headerReference r:id="rId10" w:type="default"/>
      <w:footerReference r:id="rId11" w:type="even"/>
      <w:footerReference r:id="rId12" w:type="default"/>
      <w:headerReference r:id="rId13" w:type="first"/>
      <w:footerReference r:id="rId14" w:type="first"/>
      <w:pgSz w:code="9" w:h="16840" w:w="11907"/>
      <w:pgMar w:bottom="709" w:footer="479" w:gutter="0" w:header="709" w:left="1134" w:right="1134" w:top="113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5D96D" w14:textId="77777777" w:rsidR="00902FE7" w:rsidRDefault="00902FE7" w:rsidP="009077A9">
      <w:r>
        <w:separator/>
      </w:r>
    </w:p>
  </w:endnote>
  <w:endnote w:type="continuationSeparator" w:id="0">
    <w:p w14:paraId="05CB664E" w14:textId="77777777" w:rsidR="00902FE7" w:rsidRDefault="00902FE7" w:rsidP="00907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GothicITCbyBT-Book">
    <w:altName w:val="FrnkGothITC Bk B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3B6C4276" w14:textId="77777777" w:rsidR="009B6A81" w:rsidRDefault="009B6A81">
    <w:pPr>
      <w:pStyle w:val="Pieddepage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45A82875" w14:textId="659F05B2" w:rsidP="00531358" w:rsidR="008A45BE" w:rsidRDefault="00531358" w:rsidRPr="00531358">
    <w:pPr>
      <w:pStyle w:val="Pieddepage"/>
      <w:jc w:val="right"/>
      <w:rPr>
        <w:sz w:val="16"/>
      </w:rPr>
    </w:pPr>
    <w:r>
      <w:rPr>
        <w:snapToGrid w:val="0"/>
        <w:sz w:val="16"/>
      </w:rPr>
      <w:t xml:space="preserve">P. </w:t>
    </w:r>
    <w:r>
      <w:rPr>
        <w:snapToGrid w:val="0"/>
        <w:sz w:val="16"/>
      </w:rPr>
      <w:fldChar w:fldCharType="begin"/>
    </w:r>
    <w:r>
      <w:rPr>
        <w:snapToGrid w:val="0"/>
        <w:sz w:val="16"/>
      </w:rPr>
      <w:instrText xml:space="preserve"> PAGE </w:instrText>
    </w:r>
    <w:r>
      <w:rPr>
        <w:snapToGrid w:val="0"/>
        <w:sz w:val="16"/>
      </w:rPr>
      <w:fldChar w:fldCharType="separate"/>
    </w:r>
    <w:r>
      <w:rPr>
        <w:snapToGrid w:val="0"/>
        <w:sz w:val="16"/>
      </w:rPr>
      <w:t>1</w:t>
    </w:r>
    <w:r>
      <w:rPr>
        <w:snapToGrid w:val="0"/>
        <w:sz w:val="16"/>
      </w:rPr>
      <w:fldChar w:fldCharType="end"/>
    </w:r>
    <w:r>
      <w:rPr>
        <w:snapToGrid w:val="0"/>
        <w:sz w:val="16"/>
      </w:rPr>
      <w:t xml:space="preserve"> s/ </w:t>
    </w:r>
    <w:r w:rsidR="00571509">
      <w:rPr>
        <w:snapToGrid w:val="0"/>
        <w:sz w:val="16"/>
      </w:rPr>
      <w:t>5</w:t>
    </w:r>
  </w:p>
</w:ftr>
</file>

<file path=word/footer3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5A30BC6A" w14:textId="77777777" w:rsidR="009B6A81" w:rsidRDefault="009B6A81">
    <w:pPr>
      <w:pStyle w:val="Pieddepage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0F02AF4B" w14:textId="77777777" w:rsidP="009077A9" w:rsidR="00902FE7" w:rsidRDefault="00902FE7">
      <w:r>
        <w:separator/>
      </w:r>
    </w:p>
  </w:footnote>
  <w:footnote w:id="0" w:type="continuationSeparator">
    <w:p w14:paraId="5430F43E" w14:textId="77777777" w:rsidP="009077A9" w:rsidR="00902FE7" w:rsidRDefault="00902FE7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62EEC7E8" w14:textId="6363B215" w:rsidR="00CE5232" w:rsidRDefault="008E6AC8">
    <w:pPr>
      <w:pStyle w:val="En-tte"/>
    </w:pPr>
    <w:r>
      <w:rPr>
        <w:noProof/>
        <w:lang w:eastAsia="en-US"/>
      </w:rPr>
      <w:pict w14:anchorId="04E91D60">
        <v:shapetype adj="10800" coordsize="21600,21600" id="_x0000_t136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o:connectangles="270,180,90,0" o:connectlocs="@9,0;@10,10800;@11,21600;@12,10800" o:connecttype="custom" textpathok="t"/>
          <v:textpath fitshape="t" on="t"/>
          <v:handles>
            <v:h position="#0,bottomRight" xrange="6629,14971"/>
          </v:handles>
          <o:lock shapetype="t" text="t" v:ext="edit"/>
        </v:shapetype>
        <v:shape fillcolor="#8eaadb [1944]" id="_x0000_s2050" o:allowincell="f" stroked="f" style="position:absolute;margin-left:0;margin-top:0;width:426.25pt;height:213.1pt;rotation:315;z-index:-251658240;mso-position-horizontal:center;mso-position-horizontal-relative:margin;mso-position-vertical:center;mso-position-vertical-relative:margin" type="#_x0000_t136">
          <v:fill opacity=".5"/>
          <v:textpath string="PROJET" style="font-family:&quot;Calibri&quot;;font-size:1pt"/>
          <w10:wrap anchorx="margin" anchory="margin"/>
        </v:shape>
      </w:pict>
    </w: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C87984F" w14:textId="02B3BE61" w:rsidP="0031683E" w:rsidR="0031683E" w:rsidRDefault="00511033">
    <w:pPr>
      <w:pStyle w:val="Pieddepage"/>
      <w:spacing w:line="200" w:lineRule="exact"/>
      <w:rPr>
        <w:rFonts w:cs="FranklinGothicITCbyBT-Book"/>
        <w:b/>
        <w:color w:val="8F979D"/>
        <w:sz w:val="32"/>
        <w:szCs w:val="32"/>
      </w:rPr>
    </w:pPr>
    <w:r>
      <w:rPr>
        <w:rFonts w:ascii="Times New Roman" w:hAnsi="Times New Roman"/>
        <w:i/>
        <w:noProof/>
        <w:sz w:val="40"/>
        <w:szCs w:val="40"/>
      </w:rPr>
      <w:drawing>
        <wp:anchor allowOverlap="1" behindDoc="0" distB="0" distL="114300" distR="114300" distT="0" layoutInCell="1" locked="0" relativeHeight="251657216" simplePos="0" wp14:anchorId="7E18A365" wp14:editId="12414A63">
          <wp:simplePos x="0" y="0"/>
          <wp:positionH relativeFrom="column">
            <wp:posOffset>-449804</wp:posOffset>
          </wp:positionH>
          <wp:positionV relativeFrom="paragraph">
            <wp:posOffset>-281305</wp:posOffset>
          </wp:positionV>
          <wp:extent cx="1501010" cy="680314"/>
          <wp:effectExtent b="5715" l="0" r="4445" t="0"/>
          <wp:wrapNone/>
          <wp:docPr descr="logo DSM quadri 150dpi"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logo DSM quadri 150dpi" id="0" name="Image 1"/>
                  <pic:cNvPicPr>
                    <a:picLocks noChangeArrowheads="1" noChangeAspect="1"/>
                  </pic:cNvPicPr>
                </pic:nvPicPr>
                <pic:blipFill>
                  <a:blip cstate="print"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1010" cy="6803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8EB0E4D" w14:textId="77777777" w:rsidP="0031683E" w:rsidR="00511033" w:rsidRDefault="00511033">
    <w:pPr>
      <w:pStyle w:val="Pieddepage"/>
      <w:spacing w:line="200" w:lineRule="exact"/>
      <w:rPr>
        <w:rFonts w:cs="FranklinGothicITCbyBT-Book"/>
        <w:b/>
        <w:color w:val="8F979D"/>
        <w:sz w:val="32"/>
        <w:szCs w:val="32"/>
      </w:rPr>
    </w:pPr>
  </w:p>
  <w:p w14:paraId="6C9086B2" w14:textId="77777777" w:rsidP="0031683E" w:rsidR="00511033" w:rsidRDefault="00511033">
    <w:pPr>
      <w:pStyle w:val="Pieddepage"/>
      <w:spacing w:line="200" w:lineRule="exact"/>
      <w:rPr>
        <w:rFonts w:cs="FranklinGothicITCbyBT-Book"/>
        <w:b/>
        <w:color w:val="8F979D"/>
        <w:sz w:val="32"/>
        <w:szCs w:val="32"/>
      </w:rPr>
    </w:pPr>
  </w:p>
  <w:p w14:paraId="7F8C5C10" w14:textId="77777777" w:rsidP="0031683E" w:rsidR="00511033" w:rsidRDefault="00511033">
    <w:pPr>
      <w:pStyle w:val="Pieddepage"/>
      <w:spacing w:line="200" w:lineRule="exact"/>
      <w:rPr>
        <w:rFonts w:cs="FranklinGothicITCbyBT-Book"/>
        <w:b/>
        <w:color w:val="8F979D"/>
        <w:sz w:val="32"/>
        <w:szCs w:val="32"/>
      </w:rPr>
    </w:pPr>
  </w:p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4D3DCD0D" w14:textId="27D9A38A" w:rsidR="009B6A81" w:rsidRDefault="009B6A81">
    <w:pPr>
      <w:pStyle w:val="En-tte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A3F4E2D"/>
    <w:multiLevelType w:val="hybridMultilevel"/>
    <w:tmpl w:val="C4F453E0"/>
    <w:lvl w:ilvl="0" w:tplc="1CAA14C8">
      <w:start w:val="3"/>
      <w:numFmt w:val="bullet"/>
      <w:lvlText w:val="-"/>
      <w:lvlJc w:val="left"/>
      <w:pPr>
        <w:ind w:hanging="360" w:left="720"/>
      </w:pPr>
      <w:rPr>
        <w:rFonts w:ascii="Arial Narrow" w:cs="Arial" w:eastAsia="Times New Roman" w:hAnsi="Arial Narrow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C485B3C"/>
    <w:multiLevelType w:val="hybridMultilevel"/>
    <w:tmpl w:val="773EEC24"/>
    <w:lvl w:ilvl="0" w:tplc="D206DC0C">
      <w:start w:val="1"/>
      <w:numFmt w:val="bullet"/>
      <w:lvlText w:val="-"/>
      <w:lvlJc w:val="left"/>
      <w:pPr>
        <w:ind w:hanging="360" w:left="360"/>
      </w:pPr>
      <w:rPr>
        <w:rFonts w:ascii="Arial Narrow" w:cs="Arial" w:eastAsia="Times New Roman" w:hAnsi="Arial Narrow" w:hint="default"/>
      </w:rPr>
    </w:lvl>
    <w:lvl w:ilvl="1" w:tentative="1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2">
    <w:nsid w:val="0D005854"/>
    <w:multiLevelType w:val="hybridMultilevel"/>
    <w:tmpl w:val="B96CEE7A"/>
    <w:lvl w:ilvl="0" w:tplc="05ACFF06">
      <w:numFmt w:val="bullet"/>
      <w:lvlText w:val="-"/>
      <w:lvlJc w:val="left"/>
      <w:pPr>
        <w:ind w:hanging="360" w:left="720"/>
      </w:pPr>
      <w:rPr>
        <w:rFonts w:ascii="Calibri" w:cs="Times New Roman" w:eastAsia="Calibr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15C903B0"/>
    <w:multiLevelType w:val="hybridMultilevel"/>
    <w:tmpl w:val="897007C4"/>
    <w:lvl w:ilvl="0" w:tplc="109A2876">
      <w:numFmt w:val="bullet"/>
      <w:lvlText w:val="-"/>
      <w:lvlJc w:val="left"/>
      <w:pPr>
        <w:ind w:hanging="360" w:left="720"/>
      </w:pPr>
      <w:rPr>
        <w:rFonts w:ascii="Arial Narrow" w:cs="Arial" w:eastAsia="Times New Roman" w:hAnsi="Arial Narrow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90F7726"/>
    <w:multiLevelType w:val="hybridMultilevel"/>
    <w:tmpl w:val="7CC286C2"/>
    <w:lvl w:ilvl="0" w:tplc="3A4E5306">
      <w:numFmt w:val="bullet"/>
      <w:lvlText w:val="-"/>
      <w:lvlJc w:val="left"/>
      <w:pPr>
        <w:ind w:hanging="360" w:left="720"/>
      </w:pPr>
      <w:rPr>
        <w:rFonts w:ascii="Arial Narrow" w:cs="Times New Roman" w:eastAsia="Times New Roman" w:hAnsi="Arial Narrow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283655C0"/>
    <w:multiLevelType w:val="hybridMultilevel"/>
    <w:tmpl w:val="34D8CFE4"/>
    <w:lvl w:ilvl="0" w:tplc="1D709C42">
      <w:numFmt w:val="bullet"/>
      <w:lvlText w:val="-"/>
      <w:lvlJc w:val="left"/>
      <w:pPr>
        <w:ind w:hanging="360" w:left="720"/>
      </w:pPr>
      <w:rPr>
        <w:rFonts w:ascii="Arial Narrow" w:cs="Arial" w:eastAsia="Times New Roman" w:hAnsi="Arial Narrow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30DE5FFB"/>
    <w:multiLevelType w:val="hybridMultilevel"/>
    <w:tmpl w:val="E6D04656"/>
    <w:lvl w:ilvl="0" w:tplc="298C2508">
      <w:start w:val="10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598483E"/>
    <w:multiLevelType w:val="hybridMultilevel"/>
    <w:tmpl w:val="8806B95A"/>
    <w:lvl w:ilvl="0" w:tplc="B1E40762">
      <w:start w:val="2"/>
      <w:numFmt w:val="bullet"/>
      <w:lvlText w:val="-"/>
      <w:lvlJc w:val="left"/>
      <w:pPr>
        <w:ind w:hanging="360" w:left="720"/>
      </w:pPr>
      <w:rPr>
        <w:rFonts w:ascii="Arial Narrow" w:cs="Arial" w:eastAsia="Times New Roman" w:hAnsi="Arial Narrow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502D1143"/>
    <w:multiLevelType w:val="hybridMultilevel"/>
    <w:tmpl w:val="BB402F5A"/>
    <w:lvl w:ilvl="0" w:tplc="6C02EE40">
      <w:start w:val="412"/>
      <w:numFmt w:val="bullet"/>
      <w:lvlText w:val="-"/>
      <w:lvlJc w:val="left"/>
      <w:pPr>
        <w:ind w:hanging="360" w:left="1080"/>
      </w:pPr>
      <w:rPr>
        <w:rFonts w:ascii="Arial" w:cs="Arial" w:eastAsiaTheme="minorHAns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9">
    <w:nsid w:val="502F7089"/>
    <w:multiLevelType w:val="hybridMultilevel"/>
    <w:tmpl w:val="096E2642"/>
    <w:lvl w:ilvl="0" w:tplc="A17A2F76">
      <w:start w:val="2"/>
      <w:numFmt w:val="bullet"/>
      <w:lvlText w:val="-"/>
      <w:lvlJc w:val="left"/>
      <w:pPr>
        <w:ind w:hanging="360" w:left="720"/>
      </w:pPr>
      <w:rPr>
        <w:rFonts w:ascii="Arial Narrow" w:cs="Arial" w:eastAsia="Times New Roman" w:hAnsi="Arial Narrow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53E6641C"/>
    <w:multiLevelType w:val="hybridMultilevel"/>
    <w:tmpl w:val="1CA2E6D8"/>
    <w:lvl w:ilvl="0" w:tplc="487407D6">
      <w:start w:val="1"/>
      <w:numFmt w:val="decimal"/>
      <w:lvlText w:val="%1."/>
      <w:lvlJc w:val="left"/>
      <w:pPr>
        <w:tabs>
          <w:tab w:pos="1637" w:val="num"/>
        </w:tabs>
        <w:ind w:hanging="360" w:left="1637"/>
      </w:pPr>
      <w:rPr>
        <w:rFonts w:hint="default"/>
        <w:b/>
        <w:bCs/>
        <w:color w:val="auto"/>
      </w:rPr>
    </w:lvl>
    <w:lvl w:ilvl="1" w:tentative="1" w:tplc="040C0019">
      <w:start w:val="1"/>
      <w:numFmt w:val="lowerLetter"/>
      <w:lvlText w:val="%2."/>
      <w:lvlJc w:val="left"/>
      <w:pPr>
        <w:tabs>
          <w:tab w:pos="2357" w:val="num"/>
        </w:tabs>
        <w:ind w:hanging="360" w:left="2357"/>
      </w:pPr>
    </w:lvl>
    <w:lvl w:ilvl="2" w:tentative="1" w:tplc="040C001B">
      <w:start w:val="1"/>
      <w:numFmt w:val="lowerRoman"/>
      <w:lvlText w:val="%3."/>
      <w:lvlJc w:val="right"/>
      <w:pPr>
        <w:tabs>
          <w:tab w:pos="3077" w:val="num"/>
        </w:tabs>
        <w:ind w:hanging="180" w:left="3077"/>
      </w:pPr>
    </w:lvl>
    <w:lvl w:ilvl="3" w:tentative="1" w:tplc="040C000F">
      <w:start w:val="1"/>
      <w:numFmt w:val="decimal"/>
      <w:lvlText w:val="%4."/>
      <w:lvlJc w:val="left"/>
      <w:pPr>
        <w:tabs>
          <w:tab w:pos="3797" w:val="num"/>
        </w:tabs>
        <w:ind w:hanging="360" w:left="3797"/>
      </w:pPr>
    </w:lvl>
    <w:lvl w:ilvl="4" w:tentative="1" w:tplc="040C0019">
      <w:start w:val="1"/>
      <w:numFmt w:val="lowerLetter"/>
      <w:lvlText w:val="%5."/>
      <w:lvlJc w:val="left"/>
      <w:pPr>
        <w:tabs>
          <w:tab w:pos="4517" w:val="num"/>
        </w:tabs>
        <w:ind w:hanging="360" w:left="4517"/>
      </w:pPr>
    </w:lvl>
    <w:lvl w:ilvl="5" w:tentative="1" w:tplc="040C001B">
      <w:start w:val="1"/>
      <w:numFmt w:val="lowerRoman"/>
      <w:lvlText w:val="%6."/>
      <w:lvlJc w:val="right"/>
      <w:pPr>
        <w:tabs>
          <w:tab w:pos="5237" w:val="num"/>
        </w:tabs>
        <w:ind w:hanging="180" w:left="5237"/>
      </w:pPr>
    </w:lvl>
    <w:lvl w:ilvl="6" w:tentative="1" w:tplc="040C000F">
      <w:start w:val="1"/>
      <w:numFmt w:val="decimal"/>
      <w:lvlText w:val="%7."/>
      <w:lvlJc w:val="left"/>
      <w:pPr>
        <w:tabs>
          <w:tab w:pos="5957" w:val="num"/>
        </w:tabs>
        <w:ind w:hanging="360" w:left="5957"/>
      </w:pPr>
    </w:lvl>
    <w:lvl w:ilvl="7" w:tentative="1" w:tplc="040C0019">
      <w:start w:val="1"/>
      <w:numFmt w:val="lowerLetter"/>
      <w:lvlText w:val="%8."/>
      <w:lvlJc w:val="left"/>
      <w:pPr>
        <w:tabs>
          <w:tab w:pos="6677" w:val="num"/>
        </w:tabs>
        <w:ind w:hanging="360" w:left="6677"/>
      </w:pPr>
    </w:lvl>
    <w:lvl w:ilvl="8" w:tentative="1" w:tplc="040C001B">
      <w:start w:val="1"/>
      <w:numFmt w:val="lowerRoman"/>
      <w:lvlText w:val="%9."/>
      <w:lvlJc w:val="right"/>
      <w:pPr>
        <w:tabs>
          <w:tab w:pos="7397" w:val="num"/>
        </w:tabs>
        <w:ind w:hanging="180" w:left="7397"/>
      </w:pPr>
    </w:lvl>
  </w:abstractNum>
  <w:abstractNum w15:restartNumberingAfterBreak="0" w:abstractNumId="11">
    <w:nsid w:val="55CD6003"/>
    <w:multiLevelType w:val="hybridMultilevel"/>
    <w:tmpl w:val="28943304"/>
    <w:lvl w:ilvl="0" w:tplc="AC9C9088">
      <w:start w:val="1"/>
      <w:numFmt w:val="bullet"/>
      <w:lvlText w:val="-"/>
      <w:lvlJc w:val="left"/>
      <w:pPr>
        <w:ind w:hanging="360" w:left="720"/>
      </w:pPr>
      <w:rPr>
        <w:rFonts w:ascii="Arial Narrow" w:cs="Arial" w:eastAsia="Times New Roman" w:hAnsi="Arial Narrow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57EA07A5"/>
    <w:multiLevelType w:val="hybridMultilevel"/>
    <w:tmpl w:val="ED905708"/>
    <w:lvl w:ilvl="0" w:tplc="22F22A7A">
      <w:start w:val="1"/>
      <w:numFmt w:val="bullet"/>
      <w:lvlText w:val="-"/>
      <w:lvlJc w:val="left"/>
      <w:pPr>
        <w:ind w:hanging="360" w:left="720"/>
      </w:pPr>
      <w:rPr>
        <w:rFonts w:ascii="Arial Narrow" w:cs="Arial" w:eastAsia="Calibri" w:hAnsi="Arial Narrow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5A4430C8"/>
    <w:multiLevelType w:val="hybridMultilevel"/>
    <w:tmpl w:val="E362DD8A"/>
    <w:lvl w:ilvl="0" w:tplc="D71244FC">
      <w:start w:val="2"/>
      <w:numFmt w:val="decimal"/>
      <w:lvlText w:val="%1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4">
    <w:nsid w:val="5F9D56EC"/>
    <w:multiLevelType w:val="hybridMultilevel"/>
    <w:tmpl w:val="3DA8D8FC"/>
    <w:lvl w:ilvl="0" w:tplc="040C0009">
      <w:start w:val="1"/>
      <w:numFmt w:val="bullet"/>
      <w:lvlText w:val="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66192C31"/>
    <w:multiLevelType w:val="hybridMultilevel"/>
    <w:tmpl w:val="28DCD526"/>
    <w:lvl w:ilvl="0" w:tplc="4AA8881C">
      <w:start w:val="1"/>
      <w:numFmt w:val="decimal"/>
      <w:lvlText w:val="Article %1 - 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7FC928EF"/>
    <w:multiLevelType w:val="hybridMultilevel"/>
    <w:tmpl w:val="1666AB14"/>
    <w:lvl w:ilvl="0" w:tplc="EF36B0B2">
      <w:start w:val="9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Comic Sans MS" w:cs="Times New Roman" w:eastAsia="Times New Roman" w:hAnsi="Comic Sans MS" w:hint="default"/>
      </w:rPr>
    </w:lvl>
    <w:lvl w:ilvl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num w16cid:durableId="622229098" w:numId="1">
    <w:abstractNumId w:val="5"/>
  </w:num>
  <w:num w16cid:durableId="1980769401" w:numId="2">
    <w:abstractNumId w:val="3"/>
  </w:num>
  <w:num w16cid:durableId="114982740" w:numId="3">
    <w:abstractNumId w:val="6"/>
  </w:num>
  <w:num w16cid:durableId="1863283632" w:numId="4">
    <w:abstractNumId w:val="14"/>
  </w:num>
  <w:num w16cid:durableId="70466058" w:numId="5">
    <w:abstractNumId w:val="10"/>
  </w:num>
  <w:num w16cid:durableId="1570917304" w:numId="6">
    <w:abstractNumId w:val="15"/>
  </w:num>
  <w:num w16cid:durableId="900286219" w:numId="7">
    <w:abstractNumId w:val="4"/>
  </w:num>
  <w:num w16cid:durableId="1968657280" w:numId="8">
    <w:abstractNumId w:val="16"/>
  </w:num>
  <w:num w16cid:durableId="438990135" w:numId="9">
    <w:abstractNumId w:val="8"/>
  </w:num>
  <w:num w16cid:durableId="1443845803" w:numId="10">
    <w:abstractNumId w:val="1"/>
  </w:num>
  <w:num w16cid:durableId="749237022" w:numId="11">
    <w:abstractNumId w:val="12"/>
  </w:num>
  <w:num w16cid:durableId="1565556040" w:numId="12">
    <w:abstractNumId w:val="13"/>
  </w:num>
  <w:num w16cid:durableId="1082949416" w:numId="13">
    <w:abstractNumId w:val="2"/>
  </w:num>
  <w:num w16cid:durableId="1758594398" w:numId="14">
    <w:abstractNumId w:val="9"/>
  </w:num>
  <w:num w16cid:durableId="1503659729" w:numId="15">
    <w:abstractNumId w:val="11"/>
  </w:num>
  <w:num w16cid:durableId="14968919" w:numId="16">
    <w:abstractNumId w:val="0"/>
  </w:num>
  <w:num w16cid:durableId="2126814" w:numId="17">
    <w:abstractNumId w:val="7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grammar="clean" w:spelling="clean"/>
  <w:defaultTabStop w:val="708"/>
  <w:hyphenationZone w:val="425"/>
  <w:characterSpacingControl w:val="doNotCompress"/>
  <w:hdrShapeDefaults>
    <o:shapedefaults spidmax="2054" v:ext="edit"/>
    <o:shapelayout v:ext="edit">
      <o:idmap data="2" v:ext="edit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B06"/>
    <w:rsid w:val="00033E0F"/>
    <w:rsid w:val="000419E9"/>
    <w:rsid w:val="000B4F84"/>
    <w:rsid w:val="000B538A"/>
    <w:rsid w:val="000C08FC"/>
    <w:rsid w:val="000D5E63"/>
    <w:rsid w:val="000E6A11"/>
    <w:rsid w:val="000E6FA5"/>
    <w:rsid w:val="000F4BF4"/>
    <w:rsid w:val="0011428C"/>
    <w:rsid w:val="001253C9"/>
    <w:rsid w:val="0013575F"/>
    <w:rsid w:val="00141DC5"/>
    <w:rsid w:val="00150B2A"/>
    <w:rsid w:val="00153E84"/>
    <w:rsid w:val="0015435D"/>
    <w:rsid w:val="00157877"/>
    <w:rsid w:val="00157AA4"/>
    <w:rsid w:val="001949E8"/>
    <w:rsid w:val="00197662"/>
    <w:rsid w:val="001979CD"/>
    <w:rsid w:val="001A4DE7"/>
    <w:rsid w:val="001A5F92"/>
    <w:rsid w:val="001A6794"/>
    <w:rsid w:val="001C2DB9"/>
    <w:rsid w:val="001C40CA"/>
    <w:rsid w:val="001E5B5F"/>
    <w:rsid w:val="001F1E9E"/>
    <w:rsid w:val="00204293"/>
    <w:rsid w:val="00205FD4"/>
    <w:rsid w:val="00212122"/>
    <w:rsid w:val="00214970"/>
    <w:rsid w:val="00244FDF"/>
    <w:rsid w:val="00250533"/>
    <w:rsid w:val="002771A0"/>
    <w:rsid w:val="00282D90"/>
    <w:rsid w:val="00297455"/>
    <w:rsid w:val="002A1465"/>
    <w:rsid w:val="002D4408"/>
    <w:rsid w:val="002F12D1"/>
    <w:rsid w:val="00300536"/>
    <w:rsid w:val="0031683E"/>
    <w:rsid w:val="00334FDF"/>
    <w:rsid w:val="00340689"/>
    <w:rsid w:val="003647D1"/>
    <w:rsid w:val="003904C3"/>
    <w:rsid w:val="00396B78"/>
    <w:rsid w:val="003A082A"/>
    <w:rsid w:val="003D54A1"/>
    <w:rsid w:val="003D5922"/>
    <w:rsid w:val="003E5DCB"/>
    <w:rsid w:val="00445B90"/>
    <w:rsid w:val="004534E0"/>
    <w:rsid w:val="004563D5"/>
    <w:rsid w:val="00456961"/>
    <w:rsid w:val="00460F6A"/>
    <w:rsid w:val="0047632C"/>
    <w:rsid w:val="0048294F"/>
    <w:rsid w:val="004C1F74"/>
    <w:rsid w:val="004D6757"/>
    <w:rsid w:val="004E79EC"/>
    <w:rsid w:val="00506544"/>
    <w:rsid w:val="00511033"/>
    <w:rsid w:val="005268CB"/>
    <w:rsid w:val="00531358"/>
    <w:rsid w:val="00536776"/>
    <w:rsid w:val="0056299A"/>
    <w:rsid w:val="005649E8"/>
    <w:rsid w:val="00571509"/>
    <w:rsid w:val="00573C36"/>
    <w:rsid w:val="005A1489"/>
    <w:rsid w:val="005B61E5"/>
    <w:rsid w:val="005B6532"/>
    <w:rsid w:val="005B7F7F"/>
    <w:rsid w:val="005C299F"/>
    <w:rsid w:val="005C6C1A"/>
    <w:rsid w:val="005F5F12"/>
    <w:rsid w:val="00613213"/>
    <w:rsid w:val="00620403"/>
    <w:rsid w:val="0067429D"/>
    <w:rsid w:val="006808B6"/>
    <w:rsid w:val="00682083"/>
    <w:rsid w:val="006831B0"/>
    <w:rsid w:val="00687492"/>
    <w:rsid w:val="006B4890"/>
    <w:rsid w:val="006C01D0"/>
    <w:rsid w:val="006C7AE2"/>
    <w:rsid w:val="006E0AEE"/>
    <w:rsid w:val="00706926"/>
    <w:rsid w:val="007173EF"/>
    <w:rsid w:val="007213E5"/>
    <w:rsid w:val="007221E6"/>
    <w:rsid w:val="00735B06"/>
    <w:rsid w:val="00736AFD"/>
    <w:rsid w:val="007615AB"/>
    <w:rsid w:val="00763098"/>
    <w:rsid w:val="00766D29"/>
    <w:rsid w:val="0077047E"/>
    <w:rsid w:val="00774FD7"/>
    <w:rsid w:val="007751BA"/>
    <w:rsid w:val="007775EA"/>
    <w:rsid w:val="00785370"/>
    <w:rsid w:val="007A0FE4"/>
    <w:rsid w:val="007A2214"/>
    <w:rsid w:val="007C02E1"/>
    <w:rsid w:val="007D22ED"/>
    <w:rsid w:val="007E6D77"/>
    <w:rsid w:val="00807594"/>
    <w:rsid w:val="00807B6C"/>
    <w:rsid w:val="00830301"/>
    <w:rsid w:val="008A45BE"/>
    <w:rsid w:val="008B0433"/>
    <w:rsid w:val="008C090D"/>
    <w:rsid w:val="008C453F"/>
    <w:rsid w:val="008E0C9F"/>
    <w:rsid w:val="008E2131"/>
    <w:rsid w:val="008E6AC8"/>
    <w:rsid w:val="008F0CFE"/>
    <w:rsid w:val="008F6612"/>
    <w:rsid w:val="00902FE7"/>
    <w:rsid w:val="009077A9"/>
    <w:rsid w:val="00922490"/>
    <w:rsid w:val="009278FA"/>
    <w:rsid w:val="009361D4"/>
    <w:rsid w:val="009435D9"/>
    <w:rsid w:val="0095389E"/>
    <w:rsid w:val="009568D8"/>
    <w:rsid w:val="00966E86"/>
    <w:rsid w:val="00972C89"/>
    <w:rsid w:val="00982470"/>
    <w:rsid w:val="00995D67"/>
    <w:rsid w:val="009B6A81"/>
    <w:rsid w:val="009C58BE"/>
    <w:rsid w:val="009D2C34"/>
    <w:rsid w:val="009E0CA6"/>
    <w:rsid w:val="009E302A"/>
    <w:rsid w:val="009F6808"/>
    <w:rsid w:val="00A20756"/>
    <w:rsid w:val="00A94D98"/>
    <w:rsid w:val="00A968AC"/>
    <w:rsid w:val="00AF427F"/>
    <w:rsid w:val="00B11A65"/>
    <w:rsid w:val="00B154A1"/>
    <w:rsid w:val="00B15A33"/>
    <w:rsid w:val="00B15B0B"/>
    <w:rsid w:val="00B17E4B"/>
    <w:rsid w:val="00B3682C"/>
    <w:rsid w:val="00B46715"/>
    <w:rsid w:val="00B517A5"/>
    <w:rsid w:val="00BA7843"/>
    <w:rsid w:val="00BC4633"/>
    <w:rsid w:val="00BE31FD"/>
    <w:rsid w:val="00BF685C"/>
    <w:rsid w:val="00C36973"/>
    <w:rsid w:val="00C473F3"/>
    <w:rsid w:val="00C53F94"/>
    <w:rsid w:val="00C63870"/>
    <w:rsid w:val="00CA7592"/>
    <w:rsid w:val="00CA7A1A"/>
    <w:rsid w:val="00CB1F5A"/>
    <w:rsid w:val="00CB575E"/>
    <w:rsid w:val="00CD5AB0"/>
    <w:rsid w:val="00CE5232"/>
    <w:rsid w:val="00CF12B0"/>
    <w:rsid w:val="00CF258E"/>
    <w:rsid w:val="00D03C78"/>
    <w:rsid w:val="00D24B2E"/>
    <w:rsid w:val="00D65372"/>
    <w:rsid w:val="00D66C42"/>
    <w:rsid w:val="00D8269B"/>
    <w:rsid w:val="00DC069B"/>
    <w:rsid w:val="00DD4848"/>
    <w:rsid w:val="00DD6E86"/>
    <w:rsid w:val="00DE25FD"/>
    <w:rsid w:val="00DE3FE4"/>
    <w:rsid w:val="00DE4A1B"/>
    <w:rsid w:val="00DF56B6"/>
    <w:rsid w:val="00E037AC"/>
    <w:rsid w:val="00E1264A"/>
    <w:rsid w:val="00E12966"/>
    <w:rsid w:val="00E1608E"/>
    <w:rsid w:val="00E23050"/>
    <w:rsid w:val="00E30045"/>
    <w:rsid w:val="00E515EA"/>
    <w:rsid w:val="00E85916"/>
    <w:rsid w:val="00E92E4D"/>
    <w:rsid w:val="00EB0F64"/>
    <w:rsid w:val="00EB59C3"/>
    <w:rsid w:val="00EB6342"/>
    <w:rsid w:val="00EB6573"/>
    <w:rsid w:val="00EB77FB"/>
    <w:rsid w:val="00ED4BB7"/>
    <w:rsid w:val="00EE52A2"/>
    <w:rsid w:val="00F00A9E"/>
    <w:rsid w:val="00F01623"/>
    <w:rsid w:val="00F23B94"/>
    <w:rsid w:val="00F32F96"/>
    <w:rsid w:val="00F37CF7"/>
    <w:rsid w:val="00F610BC"/>
    <w:rsid w:val="00F6113C"/>
    <w:rsid w:val="00F83ABE"/>
    <w:rsid w:val="00F93A70"/>
    <w:rsid w:val="00FB13BE"/>
    <w:rsid w:val="00FB2C2F"/>
    <w:rsid w:val="00FB640E"/>
    <w:rsid w:val="00FD0270"/>
    <w:rsid w:val="00FE21F7"/>
    <w:rsid w:val="00FE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4" v:ext="edit"/>
    <o:shapelayout v:ext="edit">
      <o:idmap data="1" v:ext="edit"/>
    </o:shapelayout>
  </w:shapeDefaults>
  <w:decimalSymbol w:val=","/>
  <w:listSeparator w:val=";"/>
  <w14:docId w14:val="4A6D934F"/>
  <w15:chartTrackingRefBased/>
  <w15:docId w15:val="{7971DB97-4DA5-4E9A-8E25-21D676BCC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aliases w:val="arial"/>
    <w:qFormat/>
    <w:rsid w:val="009278FA"/>
    <w:pPr>
      <w:spacing w:after="0" w:line="240" w:lineRule="auto"/>
    </w:pPr>
    <w:rPr>
      <w:rFonts w:ascii="Arial" w:cs="Times New Roman" w:eastAsia="Times New Roman" w:hAnsi="Arial"/>
      <w:lang w:eastAsia="fr-FR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Retraitcorpsdetexte" w:type="paragraph">
    <w:name w:val="Body Text Indent"/>
    <w:basedOn w:val="Normal"/>
    <w:link w:val="RetraitcorpsdetexteCar"/>
    <w:rsid w:val="00735B06"/>
    <w:pPr>
      <w:spacing w:before="120"/>
      <w:ind w:left="851"/>
    </w:pPr>
    <w:rPr>
      <w:rFonts w:ascii="Times New Roman" w:hAnsi="Times New Roman"/>
      <w:sz w:val="24"/>
      <w:szCs w:val="24"/>
    </w:rPr>
  </w:style>
  <w:style w:customStyle="1" w:styleId="RetraitcorpsdetexteCar" w:type="character">
    <w:name w:val="Retrait corps de texte Car"/>
    <w:basedOn w:val="Policepardfaut"/>
    <w:link w:val="Retraitcorpsdetexte"/>
    <w:rsid w:val="00735B06"/>
    <w:rPr>
      <w:rFonts w:ascii="Times New Roman" w:cs="Times New Roman" w:eastAsia="Times New Roman" w:hAnsi="Times New Roman"/>
      <w:sz w:val="24"/>
      <w:szCs w:val="24"/>
      <w:lang w:eastAsia="fr-FR"/>
    </w:rPr>
  </w:style>
  <w:style w:customStyle="1" w:styleId="Paragraphe" w:type="paragraph">
    <w:name w:val="Paragraphe"/>
    <w:basedOn w:val="Normal"/>
    <w:link w:val="ParagrapheCar"/>
    <w:rsid w:val="00735B06"/>
    <w:pPr>
      <w:keepLines/>
      <w:spacing w:after="120"/>
      <w:jc w:val="both"/>
    </w:pPr>
  </w:style>
  <w:style w:customStyle="1" w:styleId="ParagrapheCar" w:type="character">
    <w:name w:val="Paragraphe Car"/>
    <w:link w:val="Paragraphe"/>
    <w:rsid w:val="00735B06"/>
    <w:rPr>
      <w:rFonts w:ascii="Arial" w:cs="Times New Roman" w:eastAsia="Times New Roman" w:hAnsi="Arial"/>
      <w:lang w:eastAsia="fr-FR"/>
    </w:rPr>
  </w:style>
  <w:style w:styleId="En-tte" w:type="paragraph">
    <w:name w:val="header"/>
    <w:basedOn w:val="Normal"/>
    <w:link w:val="En-tteCar"/>
    <w:uiPriority w:val="99"/>
    <w:unhideWhenUsed/>
    <w:rsid w:val="009077A9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9077A9"/>
  </w:style>
  <w:style w:styleId="Pieddepage" w:type="paragraph">
    <w:name w:val="footer"/>
    <w:basedOn w:val="Normal"/>
    <w:link w:val="PieddepageCar"/>
    <w:unhideWhenUsed/>
    <w:rsid w:val="009077A9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rsid w:val="009077A9"/>
  </w:style>
  <w:style w:styleId="NormalWeb" w:type="paragraph">
    <w:name w:val="Normal (Web)"/>
    <w:basedOn w:val="Normal"/>
    <w:uiPriority w:val="99"/>
    <w:unhideWhenUsed/>
    <w:rsid w:val="009278FA"/>
    <w:pPr>
      <w:spacing w:after="100" w:afterAutospacing="1" w:before="100" w:beforeAutospacing="1"/>
    </w:pPr>
    <w:rPr>
      <w:rFonts w:ascii="Times New Roman" w:hAnsi="Times New Roman"/>
      <w:sz w:val="24"/>
      <w:szCs w:val="24"/>
    </w:rPr>
  </w:style>
  <w:style w:styleId="Paragraphedeliste" w:type="paragraph">
    <w:name w:val="List Paragraph"/>
    <w:basedOn w:val="Normal"/>
    <w:uiPriority w:val="34"/>
    <w:qFormat/>
    <w:rsid w:val="009278FA"/>
    <w:pPr>
      <w:spacing w:after="160" w:line="259" w:lineRule="auto"/>
      <w:ind w:left="720"/>
      <w:contextualSpacing/>
    </w:pPr>
    <w:rPr>
      <w:rFonts w:ascii="Calibri" w:eastAsia="Calibri" w:hAnsi="Calibri"/>
      <w:lang w:eastAsia="en-US"/>
    </w:rPr>
  </w:style>
  <w:style w:styleId="Corpsdetexte" w:type="paragraph">
    <w:name w:val="Body Text"/>
    <w:basedOn w:val="Normal"/>
    <w:link w:val="CorpsdetexteCar"/>
    <w:uiPriority w:val="99"/>
    <w:semiHidden/>
    <w:unhideWhenUsed/>
    <w:rsid w:val="00CA7592"/>
    <w:pPr>
      <w:spacing w:after="120"/>
    </w:pPr>
  </w:style>
  <w:style w:customStyle="1" w:styleId="CorpsdetexteCar" w:type="character">
    <w:name w:val="Corps de texte Car"/>
    <w:basedOn w:val="Policepardfaut"/>
    <w:link w:val="Corpsdetexte"/>
    <w:uiPriority w:val="99"/>
    <w:semiHidden/>
    <w:rsid w:val="00CA7592"/>
    <w:rPr>
      <w:rFonts w:ascii="Arial" w:cs="Times New Roman" w:eastAsia="Times New Roman" w:hAnsi="Arial"/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95389E"/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95389E"/>
    <w:rPr>
      <w:rFonts w:ascii="Segoe UI" w:cs="Segoe UI" w:eastAsia="Times New Roman" w:hAnsi="Segoe UI"/>
      <w:sz w:val="18"/>
      <w:szCs w:val="18"/>
      <w:lang w:eastAsia="fr-FR"/>
    </w:rPr>
  </w:style>
  <w:style w:styleId="Lienhypertexte" w:type="character">
    <w:name w:val="Hyperlink"/>
    <w:basedOn w:val="Policepardfaut"/>
    <w:uiPriority w:val="99"/>
    <w:unhideWhenUsed/>
    <w:rsid w:val="007213E5"/>
    <w:rPr>
      <w:color w:themeColor="hyperlink" w:val="0563C1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7213E5"/>
    <w:rPr>
      <w:color w:themeColor="followedHyperlink" w:val="954F72"/>
      <w:u w:val="single"/>
    </w:rPr>
  </w:style>
  <w:style w:styleId="lev" w:type="character">
    <w:name w:val="Strong"/>
    <w:basedOn w:val="Policepardfaut"/>
    <w:uiPriority w:val="22"/>
    <w:qFormat/>
    <w:rsid w:val="0013575F"/>
    <w:rPr>
      <w:b/>
      <w:bCs/>
    </w:rPr>
  </w:style>
  <w:style w:styleId="Accentuation" w:type="character">
    <w:name w:val="Emphasis"/>
    <w:basedOn w:val="Policepardfaut"/>
    <w:uiPriority w:val="20"/>
    <w:qFormat/>
    <w:rsid w:val="0013575F"/>
    <w:rPr>
      <w:i/>
      <w:iCs/>
    </w:rPr>
  </w:style>
  <w:style w:customStyle="1" w:styleId="font5" w:type="paragraph">
    <w:name w:val="font5"/>
    <w:basedOn w:val="Normal"/>
    <w:rsid w:val="007E6D77"/>
    <w:pPr>
      <w:spacing w:after="100" w:afterAutospacing="1" w:before="100" w:beforeAutospacing="1"/>
    </w:pPr>
    <w:rPr>
      <w:rFonts w:cs="Arial"/>
      <w:color w:val="203764"/>
      <w:sz w:val="20"/>
      <w:szCs w:val="20"/>
      <w:u w:val="single"/>
    </w:rPr>
  </w:style>
  <w:style w:customStyle="1" w:styleId="font6" w:type="paragraph">
    <w:name w:val="font6"/>
    <w:basedOn w:val="Normal"/>
    <w:rsid w:val="007E6D77"/>
    <w:pPr>
      <w:spacing w:after="100" w:afterAutospacing="1" w:before="100" w:beforeAutospacing="1"/>
    </w:pPr>
    <w:rPr>
      <w:rFonts w:ascii="Calibri" w:hAnsi="Calibri"/>
      <w:color w:val="203764"/>
      <w:u w:val="single"/>
    </w:rPr>
  </w:style>
  <w:style w:customStyle="1" w:styleId="xl66" w:type="paragraph">
    <w:name w:val="xl66"/>
    <w:basedOn w:val="Normal"/>
    <w:rsid w:val="007E6D77"/>
    <w:pPr>
      <w:pBdr>
        <w:left w:color="auto" w:space="0" w:sz="4" w:val="single"/>
      </w:pBdr>
      <w:spacing w:after="100" w:afterAutospacing="1" w:before="100" w:beforeAutospacing="1"/>
    </w:pPr>
    <w:rPr>
      <w:rFonts w:ascii="Times New Roman" w:hAnsi="Times New Roman"/>
      <w:sz w:val="24"/>
      <w:szCs w:val="24"/>
    </w:rPr>
  </w:style>
  <w:style w:customStyle="1" w:styleId="xl67" w:type="paragraph">
    <w:name w:val="xl67"/>
    <w:basedOn w:val="Normal"/>
    <w:rsid w:val="007E6D77"/>
    <w:pPr>
      <w:pBdr>
        <w:left w:color="auto" w:space="0" w:sz="4" w:val="single"/>
        <w:right w:color="auto" w:space="0" w:sz="4" w:val="single"/>
      </w:pBdr>
      <w:spacing w:after="100" w:afterAutospacing="1" w:before="100" w:beforeAutospacing="1"/>
    </w:pPr>
    <w:rPr>
      <w:rFonts w:ascii="Times New Roman" w:hAnsi="Times New Roman"/>
      <w:sz w:val="24"/>
      <w:szCs w:val="24"/>
    </w:rPr>
  </w:style>
  <w:style w:customStyle="1" w:styleId="xl68" w:type="paragraph">
    <w:name w:val="xl68"/>
    <w:basedOn w:val="Normal"/>
    <w:rsid w:val="007E6D77"/>
    <w:pPr>
      <w:pBdr>
        <w:left w:color="auto" w:space="0" w:sz="4" w:val="single"/>
      </w:pBdr>
      <w:shd w:color="000000" w:fill="D9E1F2" w:val="clear"/>
      <w:spacing w:after="100" w:afterAutospacing="1" w:before="100" w:beforeAutospacing="1"/>
    </w:pPr>
    <w:rPr>
      <w:rFonts w:ascii="Times New Roman" w:hAnsi="Times New Roman"/>
      <w:sz w:val="24"/>
      <w:szCs w:val="24"/>
    </w:rPr>
  </w:style>
  <w:style w:customStyle="1" w:styleId="xl69" w:type="paragraph">
    <w:name w:val="xl69"/>
    <w:basedOn w:val="Normal"/>
    <w:rsid w:val="007E6D77"/>
    <w:pPr>
      <w:pBdr>
        <w:left w:color="auto" w:space="0" w:sz="4" w:val="single"/>
        <w:right w:color="auto" w:space="0" w:sz="4" w:val="single"/>
      </w:pBdr>
      <w:shd w:color="000000" w:fill="D9E1F2" w:val="clear"/>
      <w:spacing w:after="100" w:afterAutospacing="1" w:before="100" w:beforeAutospacing="1"/>
    </w:pPr>
    <w:rPr>
      <w:rFonts w:ascii="Times New Roman" w:hAnsi="Times New Roman"/>
      <w:sz w:val="24"/>
      <w:szCs w:val="24"/>
    </w:rPr>
  </w:style>
  <w:style w:customStyle="1" w:styleId="xl70" w:type="paragraph">
    <w:name w:val="xl70"/>
    <w:basedOn w:val="Normal"/>
    <w:rsid w:val="007E6D77"/>
    <w:pPr>
      <w:pBdr>
        <w:left w:color="auto" w:space="0" w:sz="4" w:val="single"/>
        <w:right w:color="auto" w:space="0" w:sz="4" w:val="single"/>
      </w:pBdr>
      <w:spacing w:after="100" w:afterAutospacing="1" w:before="100" w:beforeAutospacing="1"/>
    </w:pPr>
    <w:rPr>
      <w:rFonts w:ascii="Times New Roman" w:hAnsi="Times New Roman"/>
      <w:sz w:val="24"/>
      <w:szCs w:val="24"/>
    </w:rPr>
  </w:style>
  <w:style w:customStyle="1" w:styleId="xl71" w:type="paragraph">
    <w:name w:val="xl71"/>
    <w:basedOn w:val="Normal"/>
    <w:rsid w:val="007E6D77"/>
    <w:pPr>
      <w:pBdr>
        <w:left w:color="auto" w:space="0" w:sz="4" w:val="single"/>
        <w:right w:color="auto" w:space="0" w:sz="4" w:val="single"/>
      </w:pBdr>
      <w:shd w:color="000000" w:fill="D9E1F2" w:val="clear"/>
      <w:spacing w:after="100" w:afterAutospacing="1" w:before="100" w:beforeAutospacing="1"/>
    </w:pPr>
    <w:rPr>
      <w:rFonts w:ascii="Times New Roman" w:hAnsi="Times New Roman"/>
      <w:sz w:val="24"/>
      <w:szCs w:val="24"/>
    </w:rPr>
  </w:style>
  <w:style w:customStyle="1" w:styleId="xl72" w:type="paragraph">
    <w:name w:val="xl72"/>
    <w:basedOn w:val="Normal"/>
    <w:rsid w:val="007E6D77"/>
    <w:pPr>
      <w:pBdr>
        <w:left w:color="auto" w:space="0" w:sz="4" w:val="single"/>
      </w:pBdr>
      <w:spacing w:after="100" w:afterAutospacing="1" w:before="100" w:beforeAutospacing="1"/>
    </w:pPr>
    <w:rPr>
      <w:rFonts w:ascii="Times New Roman" w:hAnsi="Times New Roman"/>
      <w:color w:val="203764"/>
      <w:sz w:val="24"/>
      <w:szCs w:val="24"/>
    </w:rPr>
  </w:style>
  <w:style w:customStyle="1" w:styleId="xl73" w:type="paragraph">
    <w:name w:val="xl73"/>
    <w:basedOn w:val="Normal"/>
    <w:rsid w:val="007E6D77"/>
    <w:pPr>
      <w:pBdr>
        <w:top w:color="auto" w:space="0" w:sz="8" w:val="single"/>
        <w:left w:color="auto" w:space="0" w:sz="8" w:val="single"/>
      </w:pBdr>
      <w:shd w:color="000000" w:fill="D9E1F2" w:val="clear"/>
      <w:spacing w:after="100" w:afterAutospacing="1" w:before="100" w:beforeAutospacing="1"/>
    </w:pPr>
    <w:rPr>
      <w:rFonts w:ascii="Times New Roman" w:hAnsi="Times New Roman"/>
      <w:sz w:val="24"/>
      <w:szCs w:val="24"/>
    </w:rPr>
  </w:style>
  <w:style w:customStyle="1" w:styleId="xl74" w:type="paragraph">
    <w:name w:val="xl74"/>
    <w:basedOn w:val="Normal"/>
    <w:rsid w:val="007E6D77"/>
    <w:pPr>
      <w:pBdr>
        <w:left w:color="auto" w:space="0" w:sz="8" w:val="single"/>
      </w:pBdr>
      <w:shd w:color="000000" w:fill="D9E1F2" w:val="clear"/>
      <w:spacing w:after="100" w:afterAutospacing="1" w:before="100" w:beforeAutospacing="1"/>
    </w:pPr>
    <w:rPr>
      <w:rFonts w:ascii="Times New Roman" w:hAnsi="Times New Roman"/>
      <w:sz w:val="24"/>
      <w:szCs w:val="24"/>
    </w:rPr>
  </w:style>
  <w:style w:customStyle="1" w:styleId="xl75" w:type="paragraph">
    <w:name w:val="xl75"/>
    <w:basedOn w:val="Normal"/>
    <w:rsid w:val="007E6D77"/>
    <w:pPr>
      <w:shd w:color="000000" w:fill="D9E1F2" w:val="clear"/>
      <w:spacing w:after="100" w:afterAutospacing="1" w:before="100" w:beforeAutospacing="1"/>
    </w:pPr>
    <w:rPr>
      <w:rFonts w:ascii="Times New Roman" w:hAnsi="Times New Roman"/>
      <w:sz w:val="24"/>
      <w:szCs w:val="24"/>
    </w:rPr>
  </w:style>
  <w:style w:customStyle="1" w:styleId="xl76" w:type="paragraph">
    <w:name w:val="xl76"/>
    <w:basedOn w:val="Normal"/>
    <w:rsid w:val="007E6D77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000000" w:fill="D9E1F2" w:val="clear"/>
      <w:spacing w:after="100" w:afterAutospacing="1" w:before="100" w:beforeAutospacing="1"/>
      <w:textAlignment w:val="center"/>
    </w:pPr>
    <w:rPr>
      <w:rFonts w:ascii="Times New Roman" w:hAnsi="Times New Roman"/>
      <w:sz w:val="24"/>
      <w:szCs w:val="24"/>
    </w:rPr>
  </w:style>
  <w:style w:customStyle="1" w:styleId="xl77" w:type="paragraph">
    <w:name w:val="xl77"/>
    <w:basedOn w:val="Normal"/>
    <w:rsid w:val="007E6D77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000000" w:fill="D9E1F2" w:val="clear"/>
      <w:spacing w:after="100" w:afterAutospacing="1" w:before="100" w:beforeAutospacing="1"/>
      <w:textAlignment w:val="center"/>
    </w:pPr>
    <w:rPr>
      <w:rFonts w:ascii="Times New Roman" w:hAnsi="Times New Roman"/>
      <w:sz w:val="24"/>
      <w:szCs w:val="24"/>
    </w:rPr>
  </w:style>
  <w:style w:customStyle="1" w:styleId="xl78" w:type="paragraph">
    <w:name w:val="xl78"/>
    <w:basedOn w:val="Normal"/>
    <w:rsid w:val="007E6D77"/>
    <w:pPr>
      <w:shd w:color="000000" w:fill="D9E1F2" w:val="clear"/>
      <w:spacing w:after="100" w:afterAutospacing="1" w:before="100" w:beforeAutospacing="1"/>
    </w:pPr>
    <w:rPr>
      <w:rFonts w:ascii="Times New Roman" w:hAnsi="Times New Roman"/>
      <w:sz w:val="24"/>
      <w:szCs w:val="24"/>
    </w:rPr>
  </w:style>
  <w:style w:customStyle="1" w:styleId="xl79" w:type="paragraph">
    <w:name w:val="xl79"/>
    <w:basedOn w:val="Normal"/>
    <w:rsid w:val="007E6D77"/>
    <w:pPr>
      <w:pBdr>
        <w:top w:color="auto" w:space="0" w:sz="4" w:val="single"/>
        <w:left w:color="auto" w:space="0" w:sz="4" w:val="single"/>
        <w:bottom w:color="auto" w:space="0" w:sz="8" w:val="single"/>
      </w:pBdr>
      <w:spacing w:after="100" w:afterAutospacing="1" w:before="100" w:beforeAutospacing="1"/>
    </w:pPr>
    <w:rPr>
      <w:rFonts w:cs="Arial"/>
      <w:color w:val="203764"/>
      <w:sz w:val="20"/>
      <w:szCs w:val="20"/>
    </w:rPr>
  </w:style>
  <w:style w:customStyle="1" w:styleId="xl80" w:type="paragraph">
    <w:name w:val="xl80"/>
    <w:basedOn w:val="Normal"/>
    <w:rsid w:val="007E6D77"/>
    <w:pPr>
      <w:pBdr>
        <w:top w:color="auto" w:space="0" w:sz="4" w:val="single"/>
        <w:left w:color="auto" w:space="0" w:sz="4" w:val="single"/>
        <w:bottom w:color="auto" w:space="0" w:sz="8" w:val="single"/>
      </w:pBdr>
      <w:spacing w:after="100" w:afterAutospacing="1" w:before="100" w:beforeAutospacing="1"/>
    </w:pPr>
    <w:rPr>
      <w:rFonts w:ascii="Times New Roman" w:hAnsi="Times New Roman"/>
      <w:color w:val="203764"/>
      <w:sz w:val="24"/>
      <w:szCs w:val="24"/>
    </w:rPr>
  </w:style>
  <w:style w:customStyle="1" w:styleId="xl81" w:type="paragraph">
    <w:name w:val="xl81"/>
    <w:basedOn w:val="Normal"/>
    <w:rsid w:val="007E6D77"/>
    <w:pPr>
      <w:pBdr>
        <w:top w:color="auto" w:space="0" w:sz="4" w:val="single"/>
        <w:bottom w:color="auto" w:space="0" w:sz="8" w:val="single"/>
      </w:pBdr>
      <w:spacing w:after="100" w:afterAutospacing="1" w:before="100" w:beforeAutospacing="1"/>
    </w:pPr>
    <w:rPr>
      <w:rFonts w:ascii="Times New Roman" w:hAnsi="Times New Roman"/>
      <w:sz w:val="24"/>
      <w:szCs w:val="24"/>
    </w:rPr>
  </w:style>
  <w:style w:customStyle="1" w:styleId="xl82" w:type="paragraph">
    <w:name w:val="xl82"/>
    <w:basedOn w:val="Normal"/>
    <w:rsid w:val="007E6D77"/>
    <w:pPr>
      <w:pBdr>
        <w:top w:color="auto" w:space="0" w:sz="4" w:val="single"/>
        <w:left w:color="auto" w:space="0" w:sz="4" w:val="single"/>
        <w:bottom w:color="auto" w:space="0" w:sz="8" w:val="single"/>
        <w:right w:color="auto" w:space="0" w:sz="4" w:val="single"/>
      </w:pBdr>
      <w:spacing w:after="100" w:afterAutospacing="1" w:before="100" w:beforeAutospacing="1"/>
    </w:pPr>
    <w:rPr>
      <w:rFonts w:ascii="Times New Roman" w:hAnsi="Times New Roman"/>
      <w:color w:val="203764"/>
      <w:sz w:val="24"/>
      <w:szCs w:val="24"/>
    </w:rPr>
  </w:style>
  <w:style w:customStyle="1" w:styleId="xl85" w:type="paragraph">
    <w:name w:val="xl85"/>
    <w:basedOn w:val="Normal"/>
    <w:rsid w:val="007E6D77"/>
    <w:pPr>
      <w:pBdr>
        <w:bottom w:color="auto" w:space="0" w:sz="4" w:val="single"/>
      </w:pBdr>
      <w:shd w:color="000000" w:fill="FCE4D6" w:val="clear"/>
      <w:spacing w:after="100" w:afterAutospacing="1" w:before="100" w:beforeAutospacing="1"/>
      <w:jc w:val="center"/>
      <w:textAlignment w:val="center"/>
    </w:pPr>
    <w:rPr>
      <w:rFonts w:ascii="Times New Roman" w:hAnsi="Times New Roman"/>
      <w:b/>
      <w:bCs/>
      <w:color w:val="FF0000"/>
      <w:sz w:val="24"/>
      <w:szCs w:val="24"/>
    </w:rPr>
  </w:style>
  <w:style w:customStyle="1" w:styleId="xl86" w:type="paragraph">
    <w:name w:val="xl86"/>
    <w:basedOn w:val="Normal"/>
    <w:rsid w:val="007E6D77"/>
    <w:pPr>
      <w:pBdr>
        <w:left w:color="auto" w:space="0" w:sz="4" w:val="single"/>
      </w:pBdr>
      <w:shd w:color="000000" w:fill="D9E1F2" w:val="clear"/>
      <w:spacing w:after="100" w:afterAutospacing="1" w:before="100" w:beforeAutospacing="1"/>
    </w:pPr>
    <w:rPr>
      <w:rFonts w:ascii="Times New Roman" w:hAnsi="Times New Roman"/>
      <w:sz w:val="24"/>
      <w:szCs w:val="24"/>
    </w:rPr>
  </w:style>
  <w:style w:customStyle="1" w:styleId="xl87" w:type="paragraph">
    <w:name w:val="xl87"/>
    <w:basedOn w:val="Normal"/>
    <w:rsid w:val="007E6D77"/>
    <w:pPr>
      <w:spacing w:after="100" w:afterAutospacing="1" w:before="100" w:beforeAutospacing="1"/>
      <w:jc w:val="right"/>
    </w:pPr>
    <w:rPr>
      <w:rFonts w:ascii="Times New Roman" w:hAnsi="Times New Roman"/>
      <w:i/>
      <w:iCs/>
      <w:sz w:val="24"/>
      <w:szCs w:val="24"/>
    </w:rPr>
  </w:style>
  <w:style w:customStyle="1" w:styleId="xl88" w:type="paragraph">
    <w:name w:val="xl88"/>
    <w:basedOn w:val="Normal"/>
    <w:rsid w:val="007E6D77"/>
    <w:pPr>
      <w:spacing w:after="100" w:afterAutospacing="1" w:before="100" w:beforeAutospacing="1"/>
    </w:pPr>
    <w:rPr>
      <w:rFonts w:ascii="Times New Roman" w:hAnsi="Times New Roman"/>
      <w:i/>
      <w:iCs/>
      <w:sz w:val="24"/>
      <w:szCs w:val="24"/>
    </w:rPr>
  </w:style>
  <w:style w:customStyle="1" w:styleId="xl89" w:type="paragraph">
    <w:name w:val="xl89"/>
    <w:basedOn w:val="Normal"/>
    <w:rsid w:val="007E6D77"/>
    <w:pPr>
      <w:spacing w:after="100" w:afterAutospacing="1" w:before="100" w:beforeAutospacing="1"/>
    </w:pPr>
    <w:rPr>
      <w:rFonts w:ascii="Times New Roman" w:hAnsi="Times New Roman"/>
      <w:b/>
      <w:bCs/>
      <w:sz w:val="24"/>
      <w:szCs w:val="24"/>
      <w:u w:val="single"/>
    </w:rPr>
  </w:style>
  <w:style w:styleId="Mentionnonrsolue" w:type="character">
    <w:name w:val="Unresolved Mention"/>
    <w:basedOn w:val="Policepardfaut"/>
    <w:uiPriority w:val="99"/>
    <w:semiHidden/>
    <w:unhideWhenUsed/>
    <w:rsid w:val="00774FD7"/>
    <w:rPr>
      <w:color w:val="605E5C"/>
      <w:shd w:color="auto" w:fill="E1DFDD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2.xml" Type="http://schemas.openxmlformats.org/officeDocument/2006/relationships/header"/><Relationship Id="rId11" Target="footer1.xml" Type="http://schemas.openxmlformats.org/officeDocument/2006/relationships/footer"/><Relationship Id="rId12" Target="footer2.xml" Type="http://schemas.openxmlformats.org/officeDocument/2006/relationships/footer"/><Relationship Id="rId13" Target="header3.xml" Type="http://schemas.openxmlformats.org/officeDocument/2006/relationships/header"/><Relationship Id="rId14" Target="footer3.xml" Type="http://schemas.openxmlformats.org/officeDocument/2006/relationships/footer"/><Relationship Id="rId15" Target="fontTable.xml" Type="http://schemas.openxmlformats.org/officeDocument/2006/relationships/fontTable"/><Relationship Id="rId16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ttps://www.teleaccords.travail-emploi.gouv.fr/PortailTeleprocedures/" TargetMode="External" Type="http://schemas.openxmlformats.org/officeDocument/2006/relationships/hyperlink"/><Relationship Id="rId9" Target="header1.xml" Type="http://schemas.openxmlformats.org/officeDocument/2006/relationships/header"/></Relationships>
</file>

<file path=word/_rels/header2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29162-F613-4836-841E-657AE8018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2892</Words>
  <Characters>15911</Characters>
  <Application>Microsoft Office Word</Application>
  <DocSecurity>0</DocSecurity>
  <Lines>132</Lines>
  <Paragraphs>37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2022-10-20T06:27:00Z</dcterms:created>
  <cp:lastPrinted>2020-10-28T14:41:00Z</cp:lastPrinted>
  <dcterms:modified xsi:type="dcterms:W3CDTF">2022-10-20T06:28:00Z</dcterms:modified>
  <cp:revision>4</cp:revision>
</cp:coreProperties>
</file>