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8C36DD" w:rsidRDefault="008C36DD" w:rsidRPr="00E4576C">
      <w:pPr>
        <w:pStyle w:val="Titre1"/>
        <w:jc w:val="center"/>
        <w:rPr>
          <w:rFonts w:asciiTheme="minorHAnsi" w:cstheme="minorHAnsi" w:hAnsiTheme="minorHAnsi"/>
          <w:szCs w:val="24"/>
        </w:rPr>
      </w:pPr>
    </w:p>
    <w:p w:rsidP="00E7343C" w:rsidR="00741BFB" w:rsidRDefault="00741BFB" w:rsidRPr="00E4576C">
      <w:pPr>
        <w:rPr>
          <w:rFonts w:asciiTheme="minorHAnsi" w:cstheme="minorHAnsi" w:hAnsiTheme="minorHAnsi"/>
          <w:szCs w:val="24"/>
        </w:rPr>
      </w:pPr>
    </w:p>
    <w:p w:rsidP="00E7343C" w:rsidR="00741BFB" w:rsidRDefault="00741BFB" w:rsidRPr="00E4576C">
      <w:pPr>
        <w:rPr>
          <w:rFonts w:asciiTheme="minorHAnsi" w:cstheme="minorHAnsi" w:hAnsiTheme="minorHAnsi"/>
          <w:szCs w:val="24"/>
        </w:rPr>
      </w:pPr>
    </w:p>
    <w:p w:rsidP="00E7343C" w:rsidR="000775B3" w:rsidRDefault="000775B3" w:rsidRPr="00E4576C">
      <w:pPr>
        <w:rPr>
          <w:rFonts w:asciiTheme="minorHAnsi" w:cstheme="minorHAnsi" w:hAnsiTheme="minorHAnsi"/>
          <w:szCs w:val="24"/>
        </w:rPr>
      </w:pPr>
    </w:p>
    <w:p w:rsidP="00E7343C" w:rsidR="000775B3" w:rsidRDefault="000775B3" w:rsidRPr="00E4576C">
      <w:pPr>
        <w:rPr>
          <w:rFonts w:asciiTheme="minorHAnsi" w:cstheme="minorHAnsi" w:hAnsiTheme="minorHAnsi"/>
          <w:szCs w:val="24"/>
        </w:rPr>
      </w:pPr>
    </w:p>
    <w:p w:rsidP="004F36B0" w:rsidR="008C36DD" w:rsidRDefault="008C36DD">
      <w:pPr>
        <w:pStyle w:val="Titre1"/>
        <w:jc w:val="center"/>
        <w:rPr>
          <w:rFonts w:asciiTheme="minorHAnsi" w:cstheme="minorHAnsi" w:hAnsiTheme="minorHAnsi"/>
          <w:sz w:val="32"/>
          <w:szCs w:val="32"/>
        </w:rPr>
      </w:pPr>
      <w:r w:rsidRPr="00E4576C">
        <w:rPr>
          <w:rFonts w:asciiTheme="minorHAnsi" w:cstheme="minorHAnsi" w:hAnsiTheme="minorHAnsi"/>
          <w:sz w:val="32"/>
          <w:szCs w:val="32"/>
        </w:rPr>
        <w:t xml:space="preserve">ACCORD </w:t>
      </w:r>
      <w:r w:rsidR="004E6955" w:rsidRPr="00E4576C">
        <w:rPr>
          <w:rFonts w:asciiTheme="minorHAnsi" w:cstheme="minorHAnsi" w:hAnsiTheme="minorHAnsi"/>
          <w:sz w:val="32"/>
          <w:szCs w:val="32"/>
        </w:rPr>
        <w:t>SUR</w:t>
      </w:r>
      <w:r w:rsidRPr="00E4576C">
        <w:rPr>
          <w:rFonts w:asciiTheme="minorHAnsi" w:cstheme="minorHAnsi" w:hAnsiTheme="minorHAnsi"/>
          <w:sz w:val="32"/>
          <w:szCs w:val="32"/>
        </w:rPr>
        <w:t xml:space="preserve"> LES SALAIRES</w:t>
      </w:r>
      <w:r w:rsidR="00720427" w:rsidRPr="00E4576C">
        <w:rPr>
          <w:rFonts w:asciiTheme="minorHAnsi" w:cstheme="minorHAnsi" w:hAnsiTheme="minorHAnsi"/>
          <w:sz w:val="32"/>
          <w:szCs w:val="32"/>
        </w:rPr>
        <w:t xml:space="preserve"> 20</w:t>
      </w:r>
      <w:r w:rsidR="00852DD5">
        <w:rPr>
          <w:rFonts w:asciiTheme="minorHAnsi" w:cstheme="minorHAnsi" w:hAnsiTheme="minorHAnsi"/>
          <w:sz w:val="32"/>
          <w:szCs w:val="32"/>
        </w:rPr>
        <w:t>22</w:t>
      </w:r>
    </w:p>
    <w:p w:rsidP="00000867" w:rsidR="00000867" w:rsidRDefault="00000867" w:rsidRPr="00000867">
      <w:pPr>
        <w:jc w:val="center"/>
        <w:rPr>
          <w:b/>
        </w:rPr>
      </w:pPr>
      <w:r>
        <w:rPr>
          <w:b/>
        </w:rPr>
        <w:t>En application de la clause de revoyure</w:t>
      </w:r>
    </w:p>
    <w:p w:rsidR="008C36DD" w:rsidRDefault="008C36DD" w:rsidRPr="00E4576C">
      <w:pPr>
        <w:pStyle w:val="Titre1"/>
        <w:jc w:val="center"/>
        <w:rPr>
          <w:rFonts w:asciiTheme="minorHAnsi" w:cstheme="minorHAnsi" w:hAnsiTheme="minorHAnsi"/>
          <w:szCs w:val="24"/>
        </w:rPr>
      </w:pPr>
    </w:p>
    <w:p w:rsidR="00801962" w:rsidRDefault="00801962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0775B3" w:rsidRDefault="000775B3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  <w:r w:rsidRPr="00110CC7">
        <w:rPr>
          <w:rFonts w:asciiTheme="minorHAnsi" w:cstheme="minorHAnsi" w:hAnsiTheme="minorHAnsi"/>
          <w:szCs w:val="24"/>
        </w:rPr>
        <w:t xml:space="preserve">La Société </w:t>
      </w:r>
      <w:r w:rsidR="00542F11">
        <w:rPr>
          <w:rFonts w:asciiTheme="minorHAnsi" w:cstheme="minorHAnsi" w:hAnsiTheme="minorHAnsi"/>
          <w:szCs w:val="24"/>
        </w:rPr>
        <w:t>&lt;&gt;</w:t>
      </w:r>
      <w:r w:rsidRPr="00110CC7">
        <w:rPr>
          <w:rFonts w:asciiTheme="minorHAnsi" w:cstheme="minorHAnsi" w:hAnsiTheme="minorHAnsi"/>
          <w:szCs w:val="24"/>
        </w:rPr>
        <w:t xml:space="preserve"> et les </w:t>
      </w:r>
      <w:r>
        <w:rPr>
          <w:rFonts w:asciiTheme="minorHAnsi" w:cstheme="minorHAnsi" w:hAnsiTheme="minorHAnsi"/>
          <w:szCs w:val="24"/>
        </w:rPr>
        <w:t>organisations syndicales représentatives</w:t>
      </w:r>
      <w:r w:rsidRPr="00110CC7">
        <w:rPr>
          <w:rFonts w:asciiTheme="minorHAnsi" w:cstheme="minorHAnsi" w:hAnsiTheme="minorHAnsi"/>
          <w:szCs w:val="24"/>
        </w:rPr>
        <w:t xml:space="preserve"> ont engagé le </w:t>
      </w:r>
      <w:r w:rsidR="00730AD3">
        <w:rPr>
          <w:rFonts w:asciiTheme="minorHAnsi" w:cstheme="minorHAnsi" w:hAnsiTheme="minorHAnsi"/>
          <w:szCs w:val="24"/>
        </w:rPr>
        <w:t>22 février 202</w:t>
      </w:r>
      <w:r>
        <w:rPr>
          <w:rFonts w:asciiTheme="minorHAnsi" w:cstheme="minorHAnsi" w:hAnsiTheme="minorHAnsi"/>
          <w:szCs w:val="24"/>
        </w:rPr>
        <w:t>2</w:t>
      </w:r>
      <w:r w:rsidRPr="00110CC7">
        <w:rPr>
          <w:rFonts w:asciiTheme="minorHAnsi" w:cstheme="minorHAnsi" w:hAnsiTheme="minorHAnsi"/>
          <w:szCs w:val="24"/>
        </w:rPr>
        <w:t xml:space="preserve"> la négociation annuelle obligatoire au titre de l’exercice 2022. </w:t>
      </w: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  <w:r w:rsidRPr="00110CC7">
        <w:rPr>
          <w:rFonts w:asciiTheme="minorHAnsi" w:cstheme="minorHAnsi" w:hAnsiTheme="minorHAnsi"/>
          <w:szCs w:val="24"/>
        </w:rPr>
        <w:t xml:space="preserve">Une clause de revoyure avait été actée si l’inflation était supérieure à 3,5% en cumul annuel à date. </w:t>
      </w:r>
      <w:r>
        <w:rPr>
          <w:rFonts w:asciiTheme="minorHAnsi" w:cstheme="minorHAnsi" w:hAnsiTheme="minorHAnsi"/>
          <w:szCs w:val="24"/>
        </w:rPr>
        <w:t>Les parties devaient alors se revoir au mois de septembre ou octobre 2022</w:t>
      </w:r>
      <w:r w:rsidR="000C6CA4">
        <w:rPr>
          <w:rFonts w:asciiTheme="minorHAnsi" w:cstheme="minorHAnsi" w:hAnsiTheme="minorHAnsi"/>
          <w:szCs w:val="24"/>
        </w:rPr>
        <w:t>.</w:t>
      </w: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  <w:r w:rsidRPr="00110CC7">
        <w:rPr>
          <w:rFonts w:asciiTheme="minorHAnsi" w:cstheme="minorHAnsi" w:hAnsiTheme="minorHAnsi"/>
          <w:szCs w:val="24"/>
        </w:rPr>
        <w:t xml:space="preserve">Compte tenu du contexte économique </w:t>
      </w:r>
      <w:r>
        <w:rPr>
          <w:rFonts w:asciiTheme="minorHAnsi" w:cstheme="minorHAnsi" w:hAnsiTheme="minorHAnsi"/>
          <w:szCs w:val="24"/>
        </w:rPr>
        <w:t xml:space="preserve">et de l’inflation </w:t>
      </w:r>
      <w:r w:rsidRPr="00110CC7">
        <w:rPr>
          <w:rFonts w:asciiTheme="minorHAnsi" w:cstheme="minorHAnsi" w:hAnsiTheme="minorHAnsi"/>
          <w:szCs w:val="24"/>
        </w:rPr>
        <w:t>à date, les parties ont convenu d’en</w:t>
      </w:r>
      <w:r>
        <w:rPr>
          <w:rFonts w:asciiTheme="minorHAnsi" w:cstheme="minorHAnsi" w:hAnsiTheme="minorHAnsi"/>
          <w:szCs w:val="24"/>
        </w:rPr>
        <w:t>cle</w:t>
      </w:r>
      <w:r w:rsidR="000C6CA4">
        <w:rPr>
          <w:rFonts w:asciiTheme="minorHAnsi" w:cstheme="minorHAnsi" w:hAnsiTheme="minorHAnsi"/>
          <w:szCs w:val="24"/>
        </w:rPr>
        <w:t>ncher la clause de revoyure et s</w:t>
      </w:r>
      <w:r>
        <w:rPr>
          <w:rFonts w:asciiTheme="minorHAnsi" w:cstheme="minorHAnsi" w:hAnsiTheme="minorHAnsi"/>
          <w:szCs w:val="24"/>
        </w:rPr>
        <w:t xml:space="preserve">e sont </w:t>
      </w:r>
      <w:r w:rsidR="000C6CA4">
        <w:rPr>
          <w:rFonts w:asciiTheme="minorHAnsi" w:cstheme="minorHAnsi" w:hAnsiTheme="minorHAnsi"/>
          <w:szCs w:val="24"/>
        </w:rPr>
        <w:t>rencontrées</w:t>
      </w:r>
      <w:r>
        <w:rPr>
          <w:rFonts w:asciiTheme="minorHAnsi" w:cstheme="minorHAnsi" w:hAnsiTheme="minorHAnsi"/>
          <w:szCs w:val="24"/>
        </w:rPr>
        <w:t xml:space="preserve"> le 5 octobre 2022.</w:t>
      </w: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  <w:u w:val="single"/>
        </w:rPr>
      </w:pPr>
      <w:r>
        <w:rPr>
          <w:rFonts w:asciiTheme="minorHAnsi" w:cstheme="minorHAnsi" w:hAnsiTheme="minorHAnsi"/>
          <w:szCs w:val="24"/>
        </w:rPr>
        <w:t xml:space="preserve">Au terme de cette nouvelle rencontre, </w:t>
      </w:r>
      <w:r w:rsidRPr="00110CC7">
        <w:rPr>
          <w:rFonts w:asciiTheme="minorHAnsi" w:cstheme="minorHAnsi" w:hAnsiTheme="minorHAnsi"/>
          <w:szCs w:val="24"/>
          <w:u w:val="single"/>
        </w:rPr>
        <w:t xml:space="preserve">Il a été convenu ce qui suit : </w:t>
      </w:r>
    </w:p>
    <w:p w:rsidP="00110CC7" w:rsidR="00110CC7" w:rsidRDefault="00110CC7" w:rsidRPr="00110CC7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0775B3" w:rsidRDefault="000775B3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8C36DD" w:rsidRDefault="000C6CA4" w:rsidRPr="00E4576C">
      <w:pPr>
        <w:pStyle w:val="Titre1"/>
        <w:rPr>
          <w:rFonts w:asciiTheme="minorHAnsi" w:cstheme="minorHAnsi" w:hAnsiTheme="minorHAnsi"/>
          <w:szCs w:val="24"/>
          <w:u w:val="single"/>
        </w:rPr>
      </w:pPr>
      <w:r>
        <w:rPr>
          <w:rFonts w:asciiTheme="minorHAnsi" w:cstheme="minorHAnsi" w:hAnsiTheme="minorHAnsi"/>
          <w:szCs w:val="24"/>
          <w:u w:val="single"/>
        </w:rPr>
        <w:t>ARTICLE 1</w:t>
      </w:r>
      <w:r w:rsidR="00720427" w:rsidRPr="00E4576C">
        <w:rPr>
          <w:rFonts w:asciiTheme="minorHAnsi" w:cstheme="minorHAnsi" w:hAnsiTheme="minorHAnsi"/>
          <w:szCs w:val="24"/>
          <w:u w:val="single"/>
        </w:rPr>
        <w:t xml:space="preserve"> –</w:t>
      </w:r>
      <w:r w:rsidR="00110CC7">
        <w:rPr>
          <w:rFonts w:asciiTheme="minorHAnsi" w:cstheme="minorHAnsi" w:hAnsiTheme="minorHAnsi"/>
          <w:szCs w:val="24"/>
          <w:u w:val="single"/>
        </w:rPr>
        <w:t xml:space="preserve"> AUGMENTATION COLLECTIVE</w:t>
      </w:r>
    </w:p>
    <w:p w:rsidR="001E323D" w:rsidRDefault="001E323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110CC7" w:rsidR="00852DD5" w:rsidRDefault="000C6CA4" w:rsidRPr="00852DD5">
      <w:pPr>
        <w:autoSpaceDE w:val="0"/>
        <w:autoSpaceDN w:val="0"/>
        <w:adjustRightInd w:val="0"/>
        <w:jc w:val="both"/>
        <w:rPr>
          <w:rFonts w:cs="Tahoma"/>
          <w:sz w:val="20"/>
        </w:rPr>
      </w:pPr>
      <w:r>
        <w:rPr>
          <w:rFonts w:cs="Tahoma"/>
          <w:sz w:val="20"/>
        </w:rPr>
        <w:t>Une nouvelle augmentation des salaires</w:t>
      </w:r>
      <w:r w:rsidR="00110CC7">
        <w:rPr>
          <w:rFonts w:cs="Tahoma"/>
          <w:sz w:val="20"/>
        </w:rPr>
        <w:t xml:space="preserve">, </w:t>
      </w:r>
      <w:r w:rsidR="00852DD5" w:rsidRPr="00852DD5">
        <w:rPr>
          <w:rFonts w:cs="Tahoma"/>
          <w:sz w:val="20"/>
        </w:rPr>
        <w:t xml:space="preserve">pour </w:t>
      </w:r>
      <w:r w:rsidR="00852DD5">
        <w:rPr>
          <w:rFonts w:cs="Tahoma"/>
          <w:sz w:val="20"/>
        </w:rPr>
        <w:t>l’ensemble des</w:t>
      </w:r>
      <w:r w:rsidR="00852DD5" w:rsidRPr="00852DD5">
        <w:rPr>
          <w:rFonts w:cs="Tahoma"/>
          <w:sz w:val="20"/>
        </w:rPr>
        <w:t xml:space="preserve"> salariés</w:t>
      </w:r>
      <w:r w:rsidR="00110CC7">
        <w:rPr>
          <w:rFonts w:cs="Tahoma"/>
          <w:sz w:val="20"/>
        </w:rPr>
        <w:t xml:space="preserve">, de </w:t>
      </w:r>
      <w:r w:rsidR="00852DD5" w:rsidRPr="00852DD5">
        <w:rPr>
          <w:rFonts w:cs="Tahoma"/>
          <w:sz w:val="20"/>
        </w:rPr>
        <w:t xml:space="preserve">1% sur le salaire </w:t>
      </w:r>
      <w:r>
        <w:rPr>
          <w:rFonts w:cs="Tahoma"/>
          <w:sz w:val="20"/>
        </w:rPr>
        <w:t xml:space="preserve">de </w:t>
      </w:r>
      <w:r w:rsidR="00852DD5" w:rsidRPr="00852DD5">
        <w:rPr>
          <w:rFonts w:cs="Tahoma"/>
          <w:sz w:val="20"/>
        </w:rPr>
        <w:t xml:space="preserve">base </w:t>
      </w:r>
      <w:r w:rsidR="00110CC7">
        <w:rPr>
          <w:rFonts w:cs="Tahoma"/>
          <w:sz w:val="20"/>
        </w:rPr>
        <w:t xml:space="preserve">brut </w:t>
      </w:r>
      <w:r w:rsidR="00852DD5" w:rsidRPr="00852DD5">
        <w:rPr>
          <w:rFonts w:cs="Tahoma"/>
          <w:sz w:val="20"/>
        </w:rPr>
        <w:t>au 1</w:t>
      </w:r>
      <w:r w:rsidR="00852DD5" w:rsidRPr="00852DD5">
        <w:rPr>
          <w:rFonts w:cs="Tahoma"/>
          <w:sz w:val="20"/>
          <w:vertAlign w:val="superscript"/>
        </w:rPr>
        <w:t>er</w:t>
      </w:r>
      <w:r w:rsidR="00852DD5" w:rsidRPr="00852DD5">
        <w:rPr>
          <w:rFonts w:cs="Tahoma"/>
          <w:sz w:val="20"/>
        </w:rPr>
        <w:t xml:space="preserve"> </w:t>
      </w:r>
      <w:r w:rsidR="00110CC7">
        <w:rPr>
          <w:rFonts w:cs="Tahoma"/>
          <w:sz w:val="20"/>
        </w:rPr>
        <w:t>octobre</w:t>
      </w:r>
      <w:r w:rsidR="00852DD5">
        <w:rPr>
          <w:rFonts w:cs="Tahoma"/>
          <w:sz w:val="20"/>
        </w:rPr>
        <w:t xml:space="preserve"> 202</w:t>
      </w:r>
      <w:r w:rsidR="00852DD5" w:rsidRPr="00852DD5">
        <w:rPr>
          <w:rFonts w:cs="Tahoma"/>
          <w:sz w:val="20"/>
        </w:rPr>
        <w:t>2.</w:t>
      </w:r>
    </w:p>
    <w:p w:rsidP="00852DD5" w:rsidR="00852DD5" w:rsidRDefault="00852DD5" w:rsidRPr="00852DD5">
      <w:pPr>
        <w:autoSpaceDE w:val="0"/>
        <w:autoSpaceDN w:val="0"/>
        <w:adjustRightInd w:val="0"/>
        <w:jc w:val="both"/>
        <w:rPr>
          <w:rFonts w:cs="Tahoma"/>
          <w:iCs/>
          <w:sz w:val="20"/>
        </w:rPr>
      </w:pPr>
    </w:p>
    <w:p w:rsidP="001E323D" w:rsidR="000775B3" w:rsidRDefault="000775B3">
      <w:pPr>
        <w:rPr>
          <w:rFonts w:cs="Tahoma"/>
          <w:iCs/>
          <w:sz w:val="20"/>
        </w:rPr>
      </w:pPr>
    </w:p>
    <w:p w:rsidP="00110CC7" w:rsidR="00110CC7" w:rsidRDefault="000C6CA4" w:rsidRPr="00110CC7">
      <w:pPr>
        <w:rPr>
          <w:rFonts w:asciiTheme="minorHAnsi" w:cstheme="minorHAnsi" w:hAnsiTheme="minorHAnsi"/>
          <w:b/>
          <w:bCs/>
          <w:iCs/>
          <w:szCs w:val="24"/>
          <w:u w:val="single"/>
        </w:rPr>
      </w:pPr>
      <w:r>
        <w:rPr>
          <w:rFonts w:asciiTheme="minorHAnsi" w:cstheme="minorHAnsi" w:hAnsiTheme="minorHAnsi"/>
          <w:b/>
          <w:bCs/>
          <w:iCs/>
          <w:szCs w:val="24"/>
          <w:u w:val="single"/>
        </w:rPr>
        <w:t>ARTICLE 2</w:t>
      </w:r>
      <w:r w:rsidR="00110CC7" w:rsidRPr="00110CC7">
        <w:rPr>
          <w:rFonts w:asciiTheme="minorHAnsi" w:cstheme="minorHAnsi" w:hAnsiTheme="minorHAnsi"/>
          <w:b/>
          <w:bCs/>
          <w:iCs/>
          <w:szCs w:val="24"/>
          <w:u w:val="single"/>
        </w:rPr>
        <w:t xml:space="preserve"> – </w:t>
      </w:r>
      <w:r w:rsidR="00110CC7">
        <w:rPr>
          <w:rFonts w:asciiTheme="minorHAnsi" w:cstheme="minorHAnsi" w:hAnsiTheme="minorHAnsi"/>
          <w:b/>
          <w:bCs/>
          <w:iCs/>
          <w:szCs w:val="24"/>
          <w:u w:val="single"/>
        </w:rPr>
        <w:t>AUTRE MESURE SALARIALE</w:t>
      </w:r>
      <w:r w:rsidR="00110CC7" w:rsidRPr="00110CC7">
        <w:rPr>
          <w:rFonts w:asciiTheme="minorHAnsi" w:cstheme="minorHAnsi" w:hAnsiTheme="minorHAnsi"/>
          <w:b/>
          <w:bCs/>
          <w:iCs/>
          <w:szCs w:val="24"/>
          <w:u w:val="single"/>
        </w:rPr>
        <w:t xml:space="preserve">, </w:t>
      </w:r>
      <w:r w:rsidR="00110CC7">
        <w:rPr>
          <w:rFonts w:asciiTheme="minorHAnsi" w:cstheme="minorHAnsi" w:hAnsiTheme="minorHAnsi"/>
          <w:b/>
          <w:bCs/>
          <w:iCs/>
          <w:szCs w:val="24"/>
          <w:u w:val="single"/>
        </w:rPr>
        <w:t>FRAIS DE SANTE (MUTUELLE) DE BRANCHE</w:t>
      </w:r>
    </w:p>
    <w:p w:rsidP="001E323D" w:rsidR="00110CC7" w:rsidRDefault="00110CC7">
      <w:pPr>
        <w:rPr>
          <w:rFonts w:cs="Tahoma"/>
          <w:iCs/>
          <w:sz w:val="20"/>
        </w:rPr>
      </w:pPr>
    </w:p>
    <w:p w:rsidP="00730AD3" w:rsidR="00110CC7" w:rsidRDefault="006702BA">
      <w:pPr>
        <w:jc w:val="both"/>
        <w:rPr>
          <w:rFonts w:cs="Tahoma"/>
          <w:iCs/>
          <w:sz w:val="20"/>
        </w:rPr>
      </w:pPr>
      <w:r>
        <w:rPr>
          <w:rFonts w:cs="Tahoma"/>
          <w:iCs/>
          <w:sz w:val="20"/>
        </w:rPr>
        <w:t>P</w:t>
      </w:r>
      <w:r w:rsidRPr="006702BA">
        <w:rPr>
          <w:rFonts w:cs="Tahoma"/>
          <w:iCs/>
          <w:sz w:val="20"/>
        </w:rPr>
        <w:t xml:space="preserve">rise en charge </w:t>
      </w:r>
      <w:r>
        <w:rPr>
          <w:rFonts w:cs="Tahoma"/>
          <w:iCs/>
          <w:sz w:val="20"/>
        </w:rPr>
        <w:t xml:space="preserve">à 100% par l’entreprise du régime </w:t>
      </w:r>
      <w:r w:rsidR="00730AD3">
        <w:rPr>
          <w:rFonts w:cs="Tahoma"/>
          <w:iCs/>
          <w:sz w:val="20"/>
        </w:rPr>
        <w:t>mutuelle</w:t>
      </w:r>
      <w:r w:rsidRPr="006702BA">
        <w:rPr>
          <w:rFonts w:cs="Tahoma"/>
          <w:iCs/>
          <w:sz w:val="20"/>
        </w:rPr>
        <w:t xml:space="preserve"> de branche </w:t>
      </w:r>
      <w:r>
        <w:rPr>
          <w:rFonts w:cs="Tahoma"/>
          <w:iCs/>
          <w:sz w:val="20"/>
        </w:rPr>
        <w:t>(</w:t>
      </w:r>
      <w:r w:rsidR="00730AD3">
        <w:rPr>
          <w:rFonts w:cs="Tahoma"/>
          <w:iCs/>
          <w:sz w:val="20"/>
        </w:rPr>
        <w:t>aussi appelé RPO</w:t>
      </w:r>
      <w:r>
        <w:rPr>
          <w:rFonts w:cs="Tahoma"/>
          <w:iCs/>
          <w:sz w:val="20"/>
        </w:rPr>
        <w:t xml:space="preserve">) </w:t>
      </w:r>
      <w:r w:rsidR="00000867">
        <w:rPr>
          <w:rFonts w:cs="Tahoma"/>
          <w:iCs/>
          <w:sz w:val="20"/>
        </w:rPr>
        <w:t>pour les salariés non-cadre</w:t>
      </w:r>
      <w:r w:rsidR="000C6CA4">
        <w:rPr>
          <w:rFonts w:cs="Tahoma"/>
          <w:iCs/>
          <w:sz w:val="20"/>
        </w:rPr>
        <w:t>s</w:t>
      </w:r>
      <w:r w:rsidR="00000867">
        <w:rPr>
          <w:rFonts w:cs="Tahoma"/>
          <w:iCs/>
          <w:sz w:val="20"/>
        </w:rPr>
        <w:t xml:space="preserve"> au 1</w:t>
      </w:r>
      <w:r w:rsidR="00000867" w:rsidRPr="00000867">
        <w:rPr>
          <w:rFonts w:cs="Tahoma"/>
          <w:iCs/>
          <w:sz w:val="20"/>
          <w:vertAlign w:val="superscript"/>
        </w:rPr>
        <w:t>er</w:t>
      </w:r>
      <w:r w:rsidR="00000867">
        <w:rPr>
          <w:rFonts w:cs="Tahoma"/>
          <w:iCs/>
          <w:sz w:val="20"/>
        </w:rPr>
        <w:t xml:space="preserve"> octobre 2022.</w:t>
      </w:r>
    </w:p>
    <w:p w:rsidP="001E323D" w:rsidR="00110CC7" w:rsidRDefault="00110CC7">
      <w:pPr>
        <w:rPr>
          <w:rFonts w:cs="Tahoma"/>
          <w:iCs/>
          <w:sz w:val="20"/>
        </w:rPr>
      </w:pPr>
    </w:p>
    <w:p w:rsidP="001E323D" w:rsidR="00110CC7" w:rsidRDefault="00110CC7" w:rsidRPr="00E4576C">
      <w:pPr>
        <w:rPr>
          <w:rFonts w:asciiTheme="minorHAnsi" w:cstheme="minorHAnsi" w:hAnsiTheme="minorHAnsi"/>
          <w:szCs w:val="24"/>
        </w:rPr>
      </w:pPr>
    </w:p>
    <w:p w:rsidR="008C36DD" w:rsidRDefault="000C6CA4" w:rsidRPr="00E4576C">
      <w:pPr>
        <w:pStyle w:val="Titre1"/>
        <w:rPr>
          <w:rFonts w:asciiTheme="minorHAnsi" w:cstheme="minorHAnsi" w:hAnsiTheme="minorHAnsi"/>
          <w:szCs w:val="24"/>
          <w:u w:val="single"/>
        </w:rPr>
      </w:pPr>
      <w:r>
        <w:rPr>
          <w:rFonts w:asciiTheme="minorHAnsi" w:cstheme="minorHAnsi" w:hAnsiTheme="minorHAnsi"/>
          <w:szCs w:val="24"/>
          <w:u w:val="single"/>
        </w:rPr>
        <w:t xml:space="preserve">ARTICLE 3 </w:t>
      </w:r>
      <w:r w:rsidR="00720427" w:rsidRPr="00E4576C">
        <w:rPr>
          <w:rFonts w:asciiTheme="minorHAnsi" w:cstheme="minorHAnsi" w:hAnsiTheme="minorHAnsi"/>
          <w:szCs w:val="24"/>
          <w:u w:val="single"/>
        </w:rPr>
        <w:t>– DUREE ET APPLICATION DE L'ACCORD</w:t>
      </w:r>
    </w:p>
    <w:p w:rsidR="001E323D" w:rsidRDefault="001E323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8C36DD" w:rsidRDefault="008C36D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Le présent accord est conclu pour une durée </w:t>
      </w:r>
      <w:r w:rsidR="00000867">
        <w:rPr>
          <w:rFonts w:asciiTheme="minorHAnsi" w:cstheme="minorHAnsi" w:hAnsiTheme="minorHAnsi"/>
          <w:szCs w:val="24"/>
        </w:rPr>
        <w:t>in</w:t>
      </w:r>
      <w:r w:rsidRPr="00E4576C">
        <w:rPr>
          <w:rFonts w:asciiTheme="minorHAnsi" w:cstheme="minorHAnsi" w:hAnsiTheme="minorHAnsi"/>
          <w:szCs w:val="24"/>
        </w:rPr>
        <w:t xml:space="preserve">déterminée </w:t>
      </w:r>
      <w:r w:rsidR="00000867">
        <w:rPr>
          <w:rFonts w:asciiTheme="minorHAnsi" w:cstheme="minorHAnsi" w:hAnsiTheme="minorHAnsi"/>
          <w:szCs w:val="24"/>
        </w:rPr>
        <w:t>à compter du 1</w:t>
      </w:r>
      <w:r w:rsidR="00000867" w:rsidRPr="00000867">
        <w:rPr>
          <w:rFonts w:asciiTheme="minorHAnsi" w:cstheme="minorHAnsi" w:hAnsiTheme="minorHAnsi"/>
          <w:szCs w:val="24"/>
          <w:vertAlign w:val="superscript"/>
        </w:rPr>
        <w:t>er</w:t>
      </w:r>
      <w:r w:rsidR="00000867">
        <w:rPr>
          <w:rFonts w:asciiTheme="minorHAnsi" w:cstheme="minorHAnsi" w:hAnsiTheme="minorHAnsi"/>
          <w:szCs w:val="24"/>
        </w:rPr>
        <w:t xml:space="preserve"> octobre 2022.</w:t>
      </w:r>
    </w:p>
    <w:p w:rsidR="008C36DD" w:rsidRDefault="008C36D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D51372" w:rsidRDefault="00D51372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0775B3" w:rsidRDefault="000775B3" w:rsidRPr="00E4576C">
      <w:pPr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br w:type="page"/>
      </w:r>
    </w:p>
    <w:p w:rsidR="000775B3" w:rsidRDefault="000775B3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8C36DD" w:rsidRDefault="000C6CA4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  <w:szCs w:val="24"/>
          <w:u w:val="single"/>
        </w:rPr>
      </w:pPr>
      <w:r>
        <w:rPr>
          <w:rFonts w:asciiTheme="minorHAnsi" w:cstheme="minorHAnsi" w:hAnsiTheme="minorHAnsi"/>
          <w:b/>
          <w:bCs/>
          <w:szCs w:val="24"/>
          <w:u w:val="single"/>
        </w:rPr>
        <w:t>ARTICLE 4</w:t>
      </w:r>
      <w:r w:rsidR="00720427" w:rsidRPr="00E4576C">
        <w:rPr>
          <w:rFonts w:asciiTheme="minorHAnsi" w:cstheme="minorHAnsi" w:hAnsiTheme="minorHAnsi"/>
          <w:b/>
          <w:bCs/>
          <w:szCs w:val="24"/>
          <w:u w:val="single"/>
        </w:rPr>
        <w:t xml:space="preserve"> – PUBLICITE DE L'ACCORD</w:t>
      </w:r>
    </w:p>
    <w:p w:rsidR="001E323D" w:rsidRDefault="001E323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021A1A" w:rsidR="00021A1A" w:rsidRDefault="00021A1A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>Le présent accord sera déposé sur la plateforme « </w:t>
      </w:r>
      <w:proofErr w:type="spellStart"/>
      <w:r w:rsidRPr="00E4576C">
        <w:rPr>
          <w:rFonts w:asciiTheme="minorHAnsi" w:cstheme="minorHAnsi" w:hAnsiTheme="minorHAnsi"/>
          <w:szCs w:val="24"/>
        </w:rPr>
        <w:t>TéléAccords</w:t>
      </w:r>
      <w:proofErr w:type="spellEnd"/>
      <w:r w:rsidRPr="00E4576C">
        <w:rPr>
          <w:rFonts w:asciiTheme="minorHAnsi" w:cstheme="minorHAnsi" w:hAnsiTheme="minorHAnsi"/>
          <w:szCs w:val="24"/>
        </w:rPr>
        <w:t> » accessible depuis le site internet dédié.</w:t>
      </w:r>
    </w:p>
    <w:p w:rsidP="00021A1A" w:rsidR="00021A1A" w:rsidRDefault="00021A1A" w:rsidRPr="00E4576C">
      <w:pPr>
        <w:jc w:val="both"/>
        <w:rPr>
          <w:rFonts w:asciiTheme="minorHAnsi" w:cstheme="minorHAnsi" w:hAnsiTheme="minorHAnsi"/>
          <w:szCs w:val="24"/>
        </w:rPr>
      </w:pPr>
    </w:p>
    <w:p w:rsidP="00021A1A" w:rsidR="00021A1A" w:rsidRDefault="00021A1A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>Conformément à l'article D. 2231-2, un exemplaire de l'accord est également remis au greffe du conseil de prud'hommes de Rouen.</w:t>
      </w:r>
    </w:p>
    <w:p w:rsidR="008C36DD" w:rsidRDefault="008C36D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1E323D" w:rsidRDefault="001E323D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R="004E6955" w:rsidRDefault="004E6955" w:rsidRPr="00E4576C">
      <w:pPr>
        <w:autoSpaceDE w:val="0"/>
        <w:autoSpaceDN w:val="0"/>
        <w:adjustRightInd w:val="0"/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Fait à Rouen, le </w:t>
      </w:r>
      <w:r w:rsidR="00000867">
        <w:rPr>
          <w:rFonts w:asciiTheme="minorHAnsi" w:cstheme="minorHAnsi" w:hAnsiTheme="minorHAnsi"/>
          <w:szCs w:val="24"/>
        </w:rPr>
        <w:t>5 octobre</w:t>
      </w:r>
      <w:r w:rsidR="00641996">
        <w:rPr>
          <w:rFonts w:asciiTheme="minorHAnsi" w:cstheme="minorHAnsi" w:hAnsiTheme="minorHAnsi"/>
          <w:szCs w:val="24"/>
        </w:rPr>
        <w:t xml:space="preserve"> 2022</w:t>
      </w:r>
      <w:r w:rsidRPr="00E4576C">
        <w:rPr>
          <w:rFonts w:asciiTheme="minorHAnsi" w:cstheme="minorHAnsi" w:hAnsiTheme="minorHAnsi"/>
          <w:szCs w:val="24"/>
        </w:rPr>
        <w:t>.</w:t>
      </w: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1E323D" w:rsidRDefault="001E323D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20427" w:rsidRPr="00E4576C">
      <w:pPr>
        <w:ind w:left="5103"/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Pour </w:t>
      </w:r>
      <w:r w:rsidR="00542F11">
        <w:rPr>
          <w:rFonts w:asciiTheme="minorHAnsi" w:cstheme="minorHAnsi" w:hAnsiTheme="minorHAnsi"/>
          <w:szCs w:val="24"/>
        </w:rPr>
        <w:t>&lt;&gt;</w:t>
      </w:r>
      <w:r w:rsidR="007361D6" w:rsidRPr="00E4576C">
        <w:rPr>
          <w:rFonts w:asciiTheme="minorHAnsi" w:cstheme="minorHAnsi" w:hAnsiTheme="minorHAnsi"/>
          <w:szCs w:val="24"/>
        </w:rPr>
        <w:t>,</w:t>
      </w:r>
    </w:p>
    <w:p w:rsidP="007361D6" w:rsidR="007361D6" w:rsidRDefault="00542F11" w:rsidRPr="00E4576C">
      <w:pPr>
        <w:ind w:left="5103"/>
        <w:jc w:val="both"/>
        <w:rPr>
          <w:rFonts w:asciiTheme="minorHAnsi" w:cstheme="minorHAnsi" w:hAnsiTheme="minorHAnsi"/>
          <w:szCs w:val="24"/>
        </w:rPr>
      </w:pPr>
      <w:r>
        <w:rPr>
          <w:rFonts w:asciiTheme="minorHAnsi" w:cstheme="minorHAnsi" w:hAnsiTheme="minorHAnsi"/>
          <w:szCs w:val="24"/>
        </w:rPr>
        <w:t>&lt;&gt;</w:t>
      </w:r>
    </w:p>
    <w:p w:rsidP="007361D6" w:rsidR="007361D6" w:rsidRDefault="007361D6" w:rsidRPr="00E4576C">
      <w:pPr>
        <w:ind w:left="5103"/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Directeur des </w:t>
      </w:r>
      <w:r w:rsidR="00720427" w:rsidRPr="00E4576C">
        <w:rPr>
          <w:rFonts w:asciiTheme="minorHAnsi" w:cstheme="minorHAnsi" w:hAnsiTheme="minorHAnsi"/>
          <w:szCs w:val="24"/>
        </w:rPr>
        <w:t>Relations</w:t>
      </w:r>
      <w:r w:rsidRPr="00E4576C">
        <w:rPr>
          <w:rFonts w:asciiTheme="minorHAnsi" w:cstheme="minorHAnsi" w:hAnsiTheme="minorHAnsi"/>
          <w:szCs w:val="24"/>
        </w:rPr>
        <w:t xml:space="preserve"> Humaines</w:t>
      </w: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Pour </w:t>
      </w:r>
      <w:smartTag w:element="PersonName" w:uri="urn:schemas-microsoft-com:office:smarttags">
        <w:smartTagPr>
          <w:attr w:name="ProductID" w:val="la CFDT"/>
        </w:smartTagPr>
        <w:r w:rsidRPr="00E4576C">
          <w:rPr>
            <w:rFonts w:asciiTheme="minorHAnsi" w:cstheme="minorHAnsi" w:hAnsiTheme="minorHAnsi"/>
            <w:szCs w:val="24"/>
          </w:rPr>
          <w:t>la CFDT</w:t>
        </w:r>
      </w:smartTag>
      <w:r w:rsidRPr="00E4576C">
        <w:rPr>
          <w:rFonts w:asciiTheme="minorHAnsi" w:cstheme="minorHAnsi" w:hAnsiTheme="minorHAnsi"/>
          <w:szCs w:val="24"/>
        </w:rPr>
        <w:t>,</w:t>
      </w:r>
    </w:p>
    <w:p w:rsidP="007361D6" w:rsidR="007361D6" w:rsidRDefault="00542F11" w:rsidRPr="00E4576C">
      <w:pPr>
        <w:jc w:val="both"/>
        <w:rPr>
          <w:rFonts w:asciiTheme="minorHAnsi" w:cstheme="minorHAnsi" w:hAnsiTheme="minorHAnsi"/>
          <w:szCs w:val="24"/>
        </w:rPr>
      </w:pPr>
      <w:r>
        <w:rPr>
          <w:rFonts w:asciiTheme="minorHAnsi" w:cstheme="minorHAnsi" w:hAnsiTheme="minorHAnsi"/>
          <w:szCs w:val="24"/>
        </w:rPr>
        <w:t>&lt;&gt;</w:t>
      </w: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0775B3" w:rsidRDefault="000775B3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 xml:space="preserve">Pour </w:t>
      </w:r>
      <w:smartTag w:element="PersonName" w:uri="urn:schemas-microsoft-com:office:smarttags">
        <w:smartTagPr>
          <w:attr w:name="ProductID" w:val="la CGT"/>
        </w:smartTagPr>
        <w:r w:rsidRPr="00E4576C">
          <w:rPr>
            <w:rFonts w:asciiTheme="minorHAnsi" w:cstheme="minorHAnsi" w:hAnsiTheme="minorHAnsi"/>
            <w:szCs w:val="24"/>
          </w:rPr>
          <w:t>la CGT</w:t>
        </w:r>
      </w:smartTag>
      <w:r w:rsidRPr="00E4576C">
        <w:rPr>
          <w:rFonts w:asciiTheme="minorHAnsi" w:cstheme="minorHAnsi" w:hAnsiTheme="minorHAnsi"/>
          <w:szCs w:val="24"/>
        </w:rPr>
        <w:t>,</w:t>
      </w:r>
    </w:p>
    <w:p w:rsidP="007361D6" w:rsidR="007361D6" w:rsidRDefault="00542F11" w:rsidRPr="00E4576C">
      <w:pPr>
        <w:jc w:val="both"/>
        <w:rPr>
          <w:rFonts w:asciiTheme="minorHAnsi" w:cstheme="minorHAnsi" w:hAnsiTheme="minorHAnsi"/>
          <w:szCs w:val="24"/>
        </w:rPr>
      </w:pPr>
      <w:r>
        <w:rPr>
          <w:rFonts w:asciiTheme="minorHAnsi" w:cstheme="minorHAnsi" w:hAnsiTheme="minorHAnsi"/>
          <w:szCs w:val="24"/>
        </w:rPr>
        <w:t>&lt;&gt;</w:t>
      </w: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0775B3" w:rsidRDefault="000775B3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>Pour FO,</w:t>
      </w:r>
    </w:p>
    <w:p w:rsidP="007361D6" w:rsidR="007361D6" w:rsidRDefault="00542F11" w:rsidRPr="00E4576C">
      <w:pPr>
        <w:jc w:val="both"/>
        <w:rPr>
          <w:rFonts w:asciiTheme="minorHAnsi" w:cstheme="minorHAnsi" w:hAnsiTheme="minorHAnsi"/>
          <w:szCs w:val="24"/>
        </w:rPr>
      </w:pPr>
      <w:r>
        <w:rPr>
          <w:rFonts w:asciiTheme="minorHAnsi" w:cstheme="minorHAnsi" w:hAnsiTheme="minorHAnsi"/>
          <w:szCs w:val="24"/>
        </w:rPr>
        <w:t>&lt;&gt;</w:t>
      </w: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7361D6" w:rsidRDefault="007361D6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D51372" w:rsidRDefault="00D51372" w:rsidRPr="00E4576C">
      <w:pPr>
        <w:jc w:val="both"/>
        <w:rPr>
          <w:rFonts w:asciiTheme="minorHAnsi" w:cstheme="minorHAnsi" w:hAnsiTheme="minorHAnsi"/>
          <w:szCs w:val="24"/>
        </w:rPr>
      </w:pPr>
    </w:p>
    <w:p w:rsidP="007361D6" w:rsidR="000775B3" w:rsidRDefault="000775B3" w:rsidRPr="00E4576C">
      <w:pPr>
        <w:jc w:val="both"/>
        <w:rPr>
          <w:rFonts w:asciiTheme="minorHAnsi" w:cstheme="minorHAnsi" w:hAnsiTheme="minorHAnsi"/>
          <w:szCs w:val="24"/>
        </w:rPr>
      </w:pPr>
    </w:p>
    <w:p w:rsidR="008C36DD" w:rsidRDefault="00741BFB" w:rsidRPr="00E4576C">
      <w:pPr>
        <w:jc w:val="both"/>
        <w:rPr>
          <w:rFonts w:asciiTheme="minorHAnsi" w:cstheme="minorHAnsi" w:hAnsiTheme="minorHAnsi"/>
          <w:szCs w:val="24"/>
        </w:rPr>
      </w:pPr>
      <w:r w:rsidRPr="00E4576C">
        <w:rPr>
          <w:rFonts w:asciiTheme="minorHAnsi" w:cstheme="minorHAnsi" w:hAnsiTheme="minorHAnsi"/>
          <w:szCs w:val="24"/>
        </w:rPr>
        <w:t>Pour la CFE-CGC</w:t>
      </w:r>
    </w:p>
    <w:p w:rsidR="00741BFB" w:rsidRDefault="00542F11" w:rsidRPr="00E4576C">
      <w:pPr>
        <w:jc w:val="both"/>
        <w:rPr>
          <w:rFonts w:asciiTheme="minorHAnsi" w:cstheme="minorHAnsi" w:hAnsiTheme="minorHAnsi"/>
          <w:szCs w:val="24"/>
        </w:rPr>
      </w:pPr>
      <w:r>
        <w:rPr>
          <w:rFonts w:asciiTheme="minorHAnsi" w:cstheme="minorHAnsi" w:hAnsiTheme="minorHAnsi"/>
          <w:szCs w:val="24"/>
        </w:rPr>
        <w:t>&lt;&gt;</w:t>
      </w:r>
      <w:bookmarkStart w:id="0" w:name="_GoBack"/>
      <w:bookmarkEnd w:id="0"/>
    </w:p>
    <w:sectPr w:rsidR="00741BFB" w:rsidRPr="00E4576C" w:rsidSect="008262C9">
      <w:footerReference r:id="rId9" w:type="even"/>
      <w:footerReference r:id="rId10" w:type="default"/>
      <w:pgSz w:h="15840" w:w="12240"/>
      <w:pgMar w:bottom="1418" w:footer="720" w:gutter="0" w:header="720" w:left="1418" w:right="1418" w:top="73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60B" w:rsidRDefault="00F8160B">
      <w:r>
        <w:separator/>
      </w:r>
    </w:p>
  </w:endnote>
  <w:endnote w:type="continuationSeparator" w:id="0">
    <w:p w:rsidR="00F8160B" w:rsidRDefault="00F8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A87D0A" w:rsidR="00E71A46" w:rsidRDefault="00E71A46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B24C75" w:rsidR="00E71A46" w:rsidRDefault="00E71A46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720427" w:rsidRDefault="00720427" w:rsidRPr="00720427">
    <w:pPr>
      <w:pStyle w:val="Pieddepage"/>
      <w:jc w:val="right"/>
      <w:rPr>
        <w:sz w:val="16"/>
        <w:szCs w:val="16"/>
      </w:rPr>
    </w:pPr>
    <w:r w:rsidRPr="00720427">
      <w:rPr>
        <w:sz w:val="16"/>
        <w:szCs w:val="16"/>
      </w:rPr>
      <w:t xml:space="preserve">Page </w:t>
    </w:r>
    <w:r w:rsidRPr="00720427">
      <w:rPr>
        <w:b/>
        <w:bCs/>
        <w:sz w:val="16"/>
        <w:szCs w:val="16"/>
      </w:rPr>
      <w:fldChar w:fldCharType="begin"/>
    </w:r>
    <w:r w:rsidRPr="00720427">
      <w:rPr>
        <w:b/>
        <w:bCs/>
        <w:sz w:val="16"/>
        <w:szCs w:val="16"/>
      </w:rPr>
      <w:instrText>PAGE</w:instrText>
    </w:r>
    <w:r w:rsidRPr="00720427">
      <w:rPr>
        <w:b/>
        <w:bCs/>
        <w:sz w:val="16"/>
        <w:szCs w:val="16"/>
      </w:rPr>
      <w:fldChar w:fldCharType="separate"/>
    </w:r>
    <w:r w:rsidR="00542F11">
      <w:rPr>
        <w:b/>
        <w:bCs/>
        <w:noProof/>
        <w:sz w:val="16"/>
        <w:szCs w:val="16"/>
      </w:rPr>
      <w:t>1</w:t>
    </w:r>
    <w:r w:rsidRPr="00720427">
      <w:rPr>
        <w:b/>
        <w:bCs/>
        <w:sz w:val="16"/>
        <w:szCs w:val="16"/>
      </w:rPr>
      <w:fldChar w:fldCharType="end"/>
    </w:r>
    <w:r w:rsidRPr="00720427">
      <w:rPr>
        <w:sz w:val="16"/>
        <w:szCs w:val="16"/>
      </w:rPr>
      <w:t xml:space="preserve"> sur </w:t>
    </w:r>
    <w:r w:rsidRPr="00720427">
      <w:rPr>
        <w:b/>
        <w:bCs/>
        <w:sz w:val="16"/>
        <w:szCs w:val="16"/>
      </w:rPr>
      <w:fldChar w:fldCharType="begin"/>
    </w:r>
    <w:r w:rsidRPr="00720427">
      <w:rPr>
        <w:b/>
        <w:bCs/>
        <w:sz w:val="16"/>
        <w:szCs w:val="16"/>
      </w:rPr>
      <w:instrText>NUMPAGES</w:instrText>
    </w:r>
    <w:r w:rsidRPr="00720427">
      <w:rPr>
        <w:b/>
        <w:bCs/>
        <w:sz w:val="16"/>
        <w:szCs w:val="16"/>
      </w:rPr>
      <w:fldChar w:fldCharType="separate"/>
    </w:r>
    <w:r w:rsidR="00542F11">
      <w:rPr>
        <w:b/>
        <w:bCs/>
        <w:noProof/>
        <w:sz w:val="16"/>
        <w:szCs w:val="16"/>
      </w:rPr>
      <w:t>2</w:t>
    </w:r>
    <w:r w:rsidRPr="00720427">
      <w:rPr>
        <w:b/>
        <w:bCs/>
        <w:sz w:val="16"/>
        <w:szCs w:val="16"/>
      </w:rPr>
      <w:fldChar w:fldCharType="end"/>
    </w:r>
  </w:p>
  <w:p w:rsidP="00B24C75" w:rsidR="00E71A46" w:rsidRDefault="00E71A46">
    <w:pPr>
      <w:pStyle w:val="Pieddepage"/>
      <w:ind w:right="360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F8160B" w:rsidRDefault="00F8160B">
      <w:r>
        <w:separator/>
      </w:r>
    </w:p>
  </w:footnote>
  <w:footnote w:id="0" w:type="continuationSeparator">
    <w:p w:rsidR="00F8160B" w:rsidRDefault="00F8160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556C70"/>
    <w:multiLevelType w:val="hybridMultilevel"/>
    <w:tmpl w:val="96B061F6"/>
    <w:lvl w:ilvl="0" w:tplc="3B64C5A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Tahoma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79E776D3"/>
    <w:multiLevelType w:val="hybridMultilevel"/>
    <w:tmpl w:val="A5A64D9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D087F81"/>
    <w:multiLevelType w:val="hybridMultilevel"/>
    <w:tmpl w:val="471A0AD2"/>
    <w:lvl w:ilvl="0" w:tplc="43B6EF4E">
      <w:numFmt w:val="bullet"/>
      <w:lvlText w:val="-"/>
      <w:lvlJc w:val="left"/>
      <w:pPr>
        <w:ind w:hanging="360" w:left="720"/>
      </w:pPr>
      <w:rPr>
        <w:rFonts w:ascii="Tahoma" w:cs="Tahoma" w:eastAsia="Calibri" w:hAnsi="Tahom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EB"/>
    <w:rsid w:val="00000867"/>
    <w:rsid w:val="00021A1A"/>
    <w:rsid w:val="0005787C"/>
    <w:rsid w:val="000775B3"/>
    <w:rsid w:val="000C6CA4"/>
    <w:rsid w:val="000F5BA3"/>
    <w:rsid w:val="00110CC7"/>
    <w:rsid w:val="001168A4"/>
    <w:rsid w:val="00117C25"/>
    <w:rsid w:val="001374D5"/>
    <w:rsid w:val="00146504"/>
    <w:rsid w:val="001520DD"/>
    <w:rsid w:val="00152883"/>
    <w:rsid w:val="00160E3B"/>
    <w:rsid w:val="001938EC"/>
    <w:rsid w:val="001A59F3"/>
    <w:rsid w:val="001D6269"/>
    <w:rsid w:val="001E323D"/>
    <w:rsid w:val="001F49C1"/>
    <w:rsid w:val="0023324F"/>
    <w:rsid w:val="0024186C"/>
    <w:rsid w:val="002463D1"/>
    <w:rsid w:val="003903B9"/>
    <w:rsid w:val="00485D20"/>
    <w:rsid w:val="0048706C"/>
    <w:rsid w:val="00492BF3"/>
    <w:rsid w:val="004E6955"/>
    <w:rsid w:val="004F36B0"/>
    <w:rsid w:val="00506CAB"/>
    <w:rsid w:val="00530F4B"/>
    <w:rsid w:val="00542F11"/>
    <w:rsid w:val="00572A10"/>
    <w:rsid w:val="00585411"/>
    <w:rsid w:val="005D05C9"/>
    <w:rsid w:val="0063031C"/>
    <w:rsid w:val="00641996"/>
    <w:rsid w:val="006506C9"/>
    <w:rsid w:val="006702BA"/>
    <w:rsid w:val="006F581F"/>
    <w:rsid w:val="00720427"/>
    <w:rsid w:val="00730AD3"/>
    <w:rsid w:val="007361D6"/>
    <w:rsid w:val="00741BFB"/>
    <w:rsid w:val="0077036E"/>
    <w:rsid w:val="00772F14"/>
    <w:rsid w:val="007B7EAA"/>
    <w:rsid w:val="007C2D2D"/>
    <w:rsid w:val="00801962"/>
    <w:rsid w:val="00802C74"/>
    <w:rsid w:val="008262C9"/>
    <w:rsid w:val="00852DD5"/>
    <w:rsid w:val="008C36DD"/>
    <w:rsid w:val="008C5BB9"/>
    <w:rsid w:val="008D341C"/>
    <w:rsid w:val="00952F52"/>
    <w:rsid w:val="0095355D"/>
    <w:rsid w:val="009661E2"/>
    <w:rsid w:val="00970A17"/>
    <w:rsid w:val="00A750EB"/>
    <w:rsid w:val="00A87D0A"/>
    <w:rsid w:val="00AB5410"/>
    <w:rsid w:val="00AB7913"/>
    <w:rsid w:val="00B24C75"/>
    <w:rsid w:val="00BD2390"/>
    <w:rsid w:val="00C1626A"/>
    <w:rsid w:val="00C20F4C"/>
    <w:rsid w:val="00C41AD9"/>
    <w:rsid w:val="00C95158"/>
    <w:rsid w:val="00CB715F"/>
    <w:rsid w:val="00D14118"/>
    <w:rsid w:val="00D51372"/>
    <w:rsid w:val="00D85377"/>
    <w:rsid w:val="00D96005"/>
    <w:rsid w:val="00DB23EB"/>
    <w:rsid w:val="00DE383C"/>
    <w:rsid w:val="00E148C0"/>
    <w:rsid w:val="00E32D47"/>
    <w:rsid w:val="00E4576C"/>
    <w:rsid w:val="00E71A46"/>
    <w:rsid w:val="00E7343C"/>
    <w:rsid w:val="00EA3D9A"/>
    <w:rsid w:val="00F74075"/>
    <w:rsid w:val="00F8160B"/>
    <w:rsid w:val="00F82480"/>
    <w:rsid w:val="00F91417"/>
    <w:rsid w:val="00FC02E3"/>
    <w:rsid w:val="00FD4F78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1026" v:ext="edit"/>
    <o:shapelayout v:ext="edit">
      <o:idmap data="1" v:ext="edit"/>
    </o:shapelayout>
  </w:shapeDefaults>
  <w:decimalSymbol w:val=","/>
  <w:listSeparator w:val=";"/>
  <w14:docId w14:val="4BD40609"/>
  <w15:docId w15:val="{5E3B9934-531B-4025-9E3A-8AC0D384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rFonts w:ascii="Tahoma" w:hAnsi="Tahoma"/>
      <w:sz w:val="24"/>
    </w:rPr>
  </w:style>
  <w:style w:styleId="Titre1" w:type="paragraph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cs="Tahoma"/>
      <w:b/>
      <w:bCs/>
      <w:szCs w:val="18"/>
    </w:rPr>
  </w:style>
  <w:style w:styleId="Titre2" w:type="paragraph">
    <w:name w:val="heading 2"/>
    <w:basedOn w:val="Normal"/>
    <w:next w:val="Normal"/>
    <w:qFormat/>
    <w:pPr>
      <w:keepNext/>
      <w:autoSpaceDE w:val="0"/>
      <w:autoSpaceDN w:val="0"/>
      <w:adjustRightInd w:val="0"/>
      <w:ind w:firstLine="708"/>
      <w:jc w:val="both"/>
      <w:outlineLvl w:val="1"/>
    </w:pPr>
    <w:rPr>
      <w:rFonts w:cs="Tahoma"/>
      <w:b/>
      <w:bCs/>
      <w:szCs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Web" w:type="paragraph">
    <w:name w:val="Normal (Web)"/>
    <w:basedOn w:val="Normal"/>
    <w:rsid w:val="0077036E"/>
    <w:pPr>
      <w:spacing w:after="100" w:afterAutospacing="1" w:before="100" w:beforeAutospacing="1"/>
    </w:pPr>
    <w:rPr>
      <w:rFonts w:ascii="Times New Roman" w:hAnsi="Times New Roman"/>
      <w:szCs w:val="24"/>
    </w:rPr>
  </w:style>
  <w:style w:customStyle="1" w:styleId="cmt1" w:type="character">
    <w:name w:val="cmt1"/>
    <w:basedOn w:val="Policepardfaut"/>
    <w:rsid w:val="0077036E"/>
  </w:style>
  <w:style w:styleId="Corpsdetexte2" w:type="paragraph">
    <w:name w:val="Body Text 2"/>
    <w:basedOn w:val="Normal"/>
    <w:rsid w:val="00146504"/>
    <w:pPr>
      <w:jc w:val="both"/>
    </w:pPr>
    <w:rPr>
      <w:rFonts w:ascii="Arial" w:cs="Arial" w:hAnsi="Arial"/>
      <w:szCs w:val="24"/>
    </w:rPr>
  </w:style>
  <w:style w:styleId="Pieddepage" w:type="paragraph">
    <w:name w:val="footer"/>
    <w:basedOn w:val="Normal"/>
    <w:link w:val="PieddepageCar"/>
    <w:uiPriority w:val="99"/>
    <w:rsid w:val="00B24C75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B24C75"/>
  </w:style>
  <w:style w:styleId="En-tte" w:type="paragraph">
    <w:name w:val="header"/>
    <w:basedOn w:val="Normal"/>
    <w:link w:val="En-tteCar"/>
    <w:rsid w:val="00720427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rsid w:val="00720427"/>
    <w:rPr>
      <w:rFonts w:ascii="Tahoma" w:hAnsi="Tahoma"/>
      <w:sz w:val="24"/>
    </w:rPr>
  </w:style>
  <w:style w:customStyle="1" w:styleId="PieddepageCar" w:type="character">
    <w:name w:val="Pied de page Car"/>
    <w:link w:val="Pieddepage"/>
    <w:uiPriority w:val="99"/>
    <w:rsid w:val="00720427"/>
    <w:rPr>
      <w:rFonts w:ascii="Tahoma" w:hAnsi="Tahoma"/>
      <w:sz w:val="24"/>
    </w:rPr>
  </w:style>
  <w:style w:styleId="Textedebulles" w:type="paragraph">
    <w:name w:val="Balloon Text"/>
    <w:basedOn w:val="Normal"/>
    <w:link w:val="TextedebullesCar"/>
    <w:rsid w:val="00DE383C"/>
    <w:rPr>
      <w:rFonts w:cs="Tahoma"/>
      <w:sz w:val="16"/>
      <w:szCs w:val="16"/>
    </w:rPr>
  </w:style>
  <w:style w:customStyle="1" w:styleId="TextedebullesCar" w:type="character">
    <w:name w:val="Texte de bulles Car"/>
    <w:link w:val="Textedebulles"/>
    <w:rsid w:val="00DE383C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EA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A9CF2E82795449E36906860EC7B96" ma:contentTypeVersion="14" ma:contentTypeDescription="Crée un document." ma:contentTypeScope="" ma:versionID="7d8835bf7661152d6892e4027b3f311e">
  <xsd:schema xmlns:xsd="http://www.w3.org/2001/XMLSchema" xmlns:xs="http://www.w3.org/2001/XMLSchema" xmlns:p="http://schemas.microsoft.com/office/2006/metadata/properties" xmlns:ns2="eb1ac83f-70ae-4570-87b9-54be37072f25" xmlns:ns3="f1db2888-e5ec-42d7-a972-f6f8cf44ebab" targetNamespace="http://schemas.microsoft.com/office/2006/metadata/properties" ma:root="true" ma:fieldsID="112dc7130771d6f11ddb558c71b975b4" ns2:_="" ns3:_="">
    <xsd:import namespace="eb1ac83f-70ae-4570-87b9-54be37072f25"/>
    <xsd:import namespace="f1db2888-e5ec-42d7-a972-f6f8cf44eb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ac83f-70ae-4570-87b9-54be37072f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d1e2351-9b8b-4270-9b1b-cebb51d29e34}" ma:internalName="TaxCatchAll" ma:showField="CatchAllData" ma:web="eb1ac83f-70ae-4570-87b9-54be37072f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b2888-e5ec-42d7-a972-f6f8cf44e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1f8f456-efad-40e5-9b93-27e2fe6541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76C89-EAE5-4103-89CB-FC95D5084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9BFB8-0E83-451B-8C58-AB5B99F48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ac83f-70ae-4570-87b9-54be37072f25"/>
    <ds:schemaRef ds:uri="f1db2888-e5ec-42d7-a972-f6f8cf44e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MODELE D’ACCORD ANNUEL SUR LES SALAIRES ET LA DUREE DU TRAVAIL</vt:lpstr>
    </vt:vector>
  </TitlesOfParts>
  <Company>CERP Rouen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2022-12-27T15:20:00Z</dcterms:created>
  <cp:lastPrinted>2018-02-21T09:00:00Z</cp:lastPrinted>
  <dcterms:modified xsi:type="dcterms:W3CDTF">2022-12-27T15:20:00Z</dcterms:modified>
  <cp:revision>2</cp:revision>
  <dc:title>MODELE D’ACCORD ANNUEL SUR LES SALAIRES ET LA DUREE DU TRAVAIL</dc:title>
</cp:coreProperties>
</file>