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4CED62D" w14:textId="4992D9A7" w:rsidP="001461CF" w:rsidR="001461CF" w:rsidRDefault="0064389B">
      <w:pPr>
        <w:rPr>
          <w:rFonts w:ascii="Helvetica" w:cs="Helvetica" w:hAnsi="Helvetica"/>
        </w:rPr>
      </w:pPr>
      <w:r w:rsidRPr="0064389B">
        <w:rPr>
          <w:rFonts w:ascii="Helvetica" w:cs="Helvetica" w:hAnsi="Helvetica"/>
          <w:noProof/>
          <w:lang w:eastAsia="fr-FR"/>
        </w:rPr>
        <w:drawing>
          <wp:inline distB="0" distL="0" distR="0" distT="0" wp14:anchorId="21B4ADCB" wp14:editId="2B68D62C">
            <wp:extent cx="1109295" cy="647700"/>
            <wp:effectExtent b="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006" cy="6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186" w14:textId="391431BD" w:rsidP="001461CF" w:rsidR="006247E2" w:rsidRDefault="006247E2">
      <w:pPr>
        <w:rPr>
          <w:rFonts w:ascii="Helvetica" w:cs="Helvetica" w:hAnsi="Helvetica"/>
        </w:rPr>
      </w:pPr>
    </w:p>
    <w:p w14:paraId="5A45ABCC" w14:textId="5824C5E1" w:rsidP="006247E2" w:rsidR="009B4130" w:rsidRDefault="006247E2" w:rsidRPr="006247E2">
      <w:pPr>
        <w:jc w:val="center"/>
        <w:rPr>
          <w:rFonts w:ascii="Helvetica" w:cs="Helvetica" w:hAnsi="Helvetica"/>
          <w:b/>
          <w:bCs/>
          <w:sz w:val="28"/>
          <w:szCs w:val="28"/>
        </w:rPr>
      </w:pPr>
      <w:r w:rsidRPr="006247E2">
        <w:rPr>
          <w:rFonts w:ascii="Helvetica" w:cs="Helvetica" w:hAnsi="Helvetica"/>
          <w:b/>
          <w:bCs/>
          <w:sz w:val="28"/>
          <w:szCs w:val="28"/>
        </w:rPr>
        <w:t>NEGOCIATION ANNUELLE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 w:rsidRPr="006247E2">
        <w:rPr>
          <w:rFonts w:ascii="Helvetica" w:cs="Helvetica" w:hAnsi="Helvetica"/>
          <w:b/>
          <w:bCs/>
          <w:sz w:val="28"/>
          <w:szCs w:val="28"/>
        </w:rPr>
        <w:t>OBLIGATOIRE DE L'ANNEE 202</w:t>
      </w:r>
      <w:r w:rsidR="001205BE">
        <w:rPr>
          <w:rFonts w:ascii="Helvetica" w:cs="Helvetica" w:hAnsi="Helvetica"/>
          <w:b/>
          <w:bCs/>
          <w:sz w:val="28"/>
          <w:szCs w:val="28"/>
        </w:rPr>
        <w:t>3</w:t>
      </w:r>
      <w:r w:rsidRPr="006247E2">
        <w:rPr>
          <w:rFonts w:ascii="Helvetica" w:cs="Helvetica" w:hAnsi="Helvetica"/>
          <w:b/>
          <w:bCs/>
          <w:sz w:val="28"/>
          <w:szCs w:val="28"/>
        </w:rPr>
        <w:t xml:space="preserve"> CONVIVIO</w:t>
      </w:r>
      <w:r w:rsidR="001205BE">
        <w:rPr>
          <w:rFonts w:ascii="Helvetica" w:cs="Helvetica" w:hAnsi="Helvetica"/>
          <w:b/>
          <w:bCs/>
          <w:sz w:val="28"/>
          <w:szCs w:val="28"/>
        </w:rPr>
        <w:t>-</w:t>
      </w:r>
      <w:r w:rsidRPr="006247E2">
        <w:rPr>
          <w:rFonts w:ascii="Helvetica" w:cs="Helvetica" w:hAnsi="Helvetica"/>
          <w:b/>
          <w:bCs/>
          <w:sz w:val="28"/>
          <w:szCs w:val="28"/>
        </w:rPr>
        <w:t>HR</w:t>
      </w:r>
    </w:p>
    <w:p w14:paraId="54A1114E" w14:textId="795DBA7F" w:rsidP="001461CF" w:rsidR="001461CF" w:rsidRDefault="001461CF">
      <w:pPr>
        <w:rPr>
          <w:rFonts w:ascii="Helvetica" w:cs="Helvetica" w:hAnsi="Helvetica"/>
        </w:rPr>
      </w:pPr>
    </w:p>
    <w:p w14:paraId="1BC8967C" w14:textId="1CDD37FA" w:rsidP="00267063" w:rsidR="00267063" w:rsidRDefault="00267063" w:rsidRPr="00267063">
      <w:pPr>
        <w:jc w:val="center"/>
        <w:rPr>
          <w:rFonts w:ascii="Helvetica" w:cs="Helvetica" w:hAnsi="Helvetica"/>
          <w:b/>
          <w:bCs/>
          <w:sz w:val="32"/>
          <w:szCs w:val="32"/>
          <w:u w:val="single"/>
        </w:rPr>
      </w:pPr>
      <w:r w:rsidRPr="00267063">
        <w:rPr>
          <w:rFonts w:ascii="Helvetica" w:cs="Helvetica" w:hAnsi="Helvetica"/>
          <w:b/>
          <w:bCs/>
          <w:sz w:val="32"/>
          <w:szCs w:val="32"/>
          <w:u w:val="single"/>
        </w:rPr>
        <w:t>P</w:t>
      </w:r>
      <w:r w:rsidR="008F2426">
        <w:rPr>
          <w:rFonts w:ascii="Helvetica" w:cs="Helvetica" w:hAnsi="Helvetica"/>
          <w:b/>
          <w:bCs/>
          <w:sz w:val="32"/>
          <w:szCs w:val="32"/>
          <w:u w:val="single"/>
        </w:rPr>
        <w:t xml:space="preserve">V </w:t>
      </w:r>
      <w:r w:rsidR="001205BE" w:rsidRPr="001D4326">
        <w:rPr>
          <w:rFonts w:ascii="Helvetica" w:cs="Helvetica" w:hAnsi="Helvetica"/>
          <w:b/>
          <w:bCs/>
          <w:sz w:val="32"/>
          <w:szCs w:val="32"/>
          <w:u w:val="single"/>
        </w:rPr>
        <w:t>d’accord</w:t>
      </w:r>
    </w:p>
    <w:p w14:paraId="3A75D12E" w14:textId="17BEB374" w:rsidP="001461CF" w:rsidR="006247E2" w:rsidRDefault="006247E2">
      <w:pPr>
        <w:rPr>
          <w:rFonts w:ascii="Helvetica" w:cs="Helvetica" w:hAnsi="Helvetica"/>
        </w:rPr>
      </w:pPr>
    </w:p>
    <w:p w14:paraId="09F72503" w14:textId="77777777" w:rsidP="001461CF" w:rsidR="006247E2" w:rsidRDefault="006247E2" w:rsidRPr="006247E2">
      <w:pPr>
        <w:rPr>
          <w:rFonts w:ascii="Helvetica" w:cs="Helvetica" w:hAnsi="Helvetica"/>
        </w:rPr>
      </w:pPr>
    </w:p>
    <w:p w14:paraId="566167EA" w14:textId="0BF19329" w:rsidP="006247E2" w:rsidR="006247E2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>ENTRE</w:t>
      </w:r>
    </w:p>
    <w:p w14:paraId="4DA731BC" w14:textId="77777777" w:rsidP="006247E2" w:rsidR="006247E2" w:rsidRDefault="006247E2" w:rsidRPr="006247E2">
      <w:pPr>
        <w:jc w:val="both"/>
        <w:rPr>
          <w:rFonts w:ascii="Helvetica" w:cs="Helvetica" w:hAnsi="Helvetica"/>
        </w:rPr>
      </w:pPr>
    </w:p>
    <w:p w14:paraId="71DC5AA4" w14:textId="77777777" w:rsidP="006247E2" w:rsidR="006247E2" w:rsidRDefault="006247E2" w:rsidRPr="006247E2">
      <w:pPr>
        <w:jc w:val="both"/>
        <w:rPr>
          <w:rFonts w:ascii="Helvetica" w:cs="Helvetica" w:hAnsi="Helvetica"/>
        </w:rPr>
      </w:pPr>
      <w:proofErr w:type="gramStart"/>
      <w:r w:rsidRPr="006247E2">
        <w:rPr>
          <w:rFonts w:ascii="Helvetica" w:cs="Helvetica" w:hAnsi="Helvetica"/>
        </w:rPr>
        <w:t>la</w:t>
      </w:r>
      <w:proofErr w:type="gramEnd"/>
      <w:r w:rsidRPr="006247E2">
        <w:rPr>
          <w:rFonts w:ascii="Helvetica" w:cs="Helvetica" w:hAnsi="Helvetica"/>
        </w:rPr>
        <w:t xml:space="preserve"> société </w:t>
      </w:r>
      <w:r w:rsidRPr="006247E2">
        <w:rPr>
          <w:rFonts w:ascii="Helvetica" w:cs="Helvetica" w:hAnsi="Helvetica"/>
          <w:b/>
        </w:rPr>
        <w:t>CONVIVIO HR</w:t>
      </w:r>
      <w:r w:rsidRPr="006247E2">
        <w:rPr>
          <w:rFonts w:ascii="Helvetica" w:cs="Helvetica" w:hAnsi="Helvetica"/>
        </w:rPr>
        <w:t xml:space="preserve"> dont le siège social est situé 13 rue Théodore Monod </w:t>
      </w:r>
      <w:proofErr w:type="spellStart"/>
      <w:r w:rsidRPr="006247E2">
        <w:rPr>
          <w:rFonts w:ascii="Helvetica" w:cs="Helvetica" w:hAnsi="Helvetica"/>
        </w:rPr>
        <w:t>Zac</w:t>
      </w:r>
      <w:proofErr w:type="spellEnd"/>
      <w:r w:rsidRPr="006247E2">
        <w:rPr>
          <w:rFonts w:ascii="Helvetica" w:cs="Helvetica" w:hAnsi="Helvetica"/>
        </w:rPr>
        <w:t xml:space="preserve"> de la Plaine de Ronce 76160 SAINT MARTIN DU VIVIER</w:t>
      </w:r>
    </w:p>
    <w:p w14:paraId="2D8E2F3A" w14:textId="63EBD093" w:rsidP="006247E2" w:rsidR="006247E2" w:rsidRDefault="006247E2" w:rsidRPr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 xml:space="preserve">Représentée à la présente par </w:t>
      </w:r>
      <w:r w:rsidR="009C0B4E">
        <w:rPr>
          <w:rFonts w:ascii="Helvetica" w:cs="Helvetica" w:hAnsi="Helvetica"/>
        </w:rPr>
        <w:t>XXXX</w:t>
      </w:r>
      <w:r w:rsidRPr="006247E2">
        <w:rPr>
          <w:rFonts w:ascii="Helvetica" w:cs="Helvetica" w:hAnsi="Helvetica"/>
        </w:rPr>
        <w:t>, Directeur des Re</w:t>
      </w:r>
      <w:r w:rsidR="00BD0597">
        <w:rPr>
          <w:rFonts w:ascii="Helvetica" w:cs="Helvetica" w:hAnsi="Helvetica"/>
        </w:rPr>
        <w:t>ssources</w:t>
      </w:r>
      <w:r w:rsidRPr="006247E2">
        <w:rPr>
          <w:rFonts w:ascii="Helvetica" w:cs="Helvetica" w:hAnsi="Helvetica"/>
        </w:rPr>
        <w:t xml:space="preserve"> Humaines, D'une part</w:t>
      </w:r>
    </w:p>
    <w:p w14:paraId="42B6A268" w14:textId="419D9AB2" w:rsidP="006247E2" w:rsidR="006247E2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>ET</w:t>
      </w:r>
    </w:p>
    <w:p w14:paraId="56447FB2" w14:textId="77777777" w:rsidP="006247E2" w:rsidR="006247E2" w:rsidRDefault="006247E2" w:rsidRPr="006247E2">
      <w:pPr>
        <w:jc w:val="both"/>
        <w:rPr>
          <w:rFonts w:ascii="Helvetica" w:cs="Helvetica" w:hAnsi="Helvetica"/>
        </w:rPr>
      </w:pPr>
    </w:p>
    <w:p w14:paraId="73813D8E" w14:textId="38E40CBC" w:rsidP="006247E2" w:rsidR="006247E2" w:rsidRDefault="006247E2" w:rsidRPr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 xml:space="preserve">L'organisation </w:t>
      </w:r>
      <w:r w:rsidRPr="006247E2">
        <w:rPr>
          <w:rFonts w:ascii="Helvetica" w:cs="Helvetica" w:hAnsi="Helvetica"/>
          <w:b/>
        </w:rPr>
        <w:t xml:space="preserve">syndicale </w:t>
      </w:r>
      <w:r w:rsidR="009C0B4E">
        <w:rPr>
          <w:rFonts w:ascii="Helvetica" w:cs="Helvetica" w:hAnsi="Helvetica"/>
          <w:b/>
        </w:rPr>
        <w:t>XXX</w:t>
      </w:r>
      <w:r w:rsidRPr="006247E2">
        <w:rPr>
          <w:rFonts w:ascii="Helvetica" w:cs="Helvetica" w:hAnsi="Helvetica"/>
        </w:rPr>
        <w:t>, Confédération Générale du Travail,</w:t>
      </w:r>
    </w:p>
    <w:p w14:paraId="40235F41" w14:textId="71C53618" w:rsidP="006247E2" w:rsidR="006247E2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 xml:space="preserve">Représentée par Monsieur </w:t>
      </w:r>
      <w:r w:rsidR="009C0B4E">
        <w:rPr>
          <w:rFonts w:ascii="Helvetica" w:cs="Helvetica" w:hAnsi="Helvetica"/>
        </w:rPr>
        <w:t>XXXX</w:t>
      </w:r>
      <w:r w:rsidR="00BF10BC">
        <w:rPr>
          <w:rFonts w:ascii="Helvetica" w:cs="Helvetica" w:hAnsi="Helvetica"/>
        </w:rPr>
        <w:t xml:space="preserve">, délégué syndical </w:t>
      </w:r>
      <w:r w:rsidR="009C0B4E">
        <w:rPr>
          <w:rFonts w:ascii="Helvetica" w:cs="Helvetica" w:hAnsi="Helvetica"/>
        </w:rPr>
        <w:t>XXX</w:t>
      </w:r>
    </w:p>
    <w:p w14:paraId="3B2D05FC" w14:textId="494B5685" w:rsidP="006247E2" w:rsidR="00151E14" w:rsidRDefault="00151E14">
      <w:pPr>
        <w:jc w:val="both"/>
        <w:rPr>
          <w:rFonts w:ascii="Helvetica" w:cs="Helvetica" w:hAnsi="Helvetica"/>
        </w:rPr>
      </w:pPr>
    </w:p>
    <w:p w14:paraId="6A4316DD" w14:textId="409FBA32" w:rsidP="00151E14" w:rsidR="00151E14" w:rsidRDefault="00151E14" w:rsidRPr="00151E14">
      <w:pPr>
        <w:pStyle w:val="Paragraphedeliste"/>
        <w:numPr>
          <w:ilvl w:val="0"/>
          <w:numId w:val="8"/>
        </w:numPr>
        <w:jc w:val="both"/>
        <w:rPr>
          <w:rFonts w:ascii="Helvetica" w:cs="Helvetica" w:hAnsi="Helvetica"/>
          <w:b/>
          <w:bCs/>
          <w:sz w:val="24"/>
          <w:szCs w:val="24"/>
        </w:rPr>
      </w:pPr>
      <w:r w:rsidRPr="00151E14">
        <w:rPr>
          <w:rFonts w:ascii="Helvetica" w:cs="Helvetica" w:hAnsi="Helvetica"/>
          <w:b/>
          <w:bCs/>
          <w:sz w:val="24"/>
          <w:szCs w:val="24"/>
          <w:u w:val="single"/>
        </w:rPr>
        <w:t>Préambule</w:t>
      </w:r>
      <w:r w:rsidRPr="00151E14">
        <w:rPr>
          <w:rFonts w:ascii="Helvetica" w:cs="Helvetica" w:hAnsi="Helvetica"/>
          <w:b/>
          <w:bCs/>
          <w:sz w:val="24"/>
          <w:szCs w:val="24"/>
        </w:rPr>
        <w:t> :</w:t>
      </w:r>
    </w:p>
    <w:p w14:paraId="280A2565" w14:textId="1E9DE95A" w:rsidP="006247E2" w:rsidR="006247E2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  <w:noProof/>
          <w:lang w:eastAsia="fr-FR"/>
        </w:rPr>
        <mc:AlternateContent>
          <mc:Choice Requires="wpg">
            <w:drawing>
              <wp:anchor allowOverlap="1" behindDoc="0" distB="0" distL="114300" distR="114300" distT="0" layoutInCell="1" locked="0" relativeHeight="251659264" simplePos="0" wp14:anchorId="222C1D79" wp14:editId="11736747">
                <wp:simplePos x="0" y="0"/>
                <wp:positionH relativeFrom="page">
                  <wp:posOffset>926592</wp:posOffset>
                </wp:positionH>
                <wp:positionV relativeFrom="page">
                  <wp:posOffset>10061270</wp:posOffset>
                </wp:positionV>
                <wp:extent cx="1725168" cy="12195"/>
                <wp:effectExtent b="0" l="0" r="0" t="0"/>
                <wp:wrapTopAndBottom/>
                <wp:docPr id="58918" name="Group 58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12195"/>
                          <a:chOff x="0" y="0"/>
                          <a:chExt cx="1725168" cy="12195"/>
                        </a:xfrm>
                      </wpg:grpSpPr>
                      <wps:wsp>
                        <wps:cNvPr id="58917" name="Shape 58917"/>
                        <wps:cNvSpPr/>
                        <wps:spPr>
                          <a:xfrm>
                            <a:off x="0" y="0"/>
                            <a:ext cx="1725168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5" w="1725168">
                                <a:moveTo>
                                  <a:pt x="0" y="6097"/>
                                </a:moveTo>
                                <a:lnTo>
                                  <a:pt x="1725168" y="6097"/>
                                </a:lnTo>
                              </a:path>
                            </a:pathLst>
                          </a:custGeom>
                          <a:ln cap="flat" w="12195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  <w:pict>
              <v:group coordsize="17251,121" id="Group 589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LfU3VgIAANIFAAAOAAAAZHJzL2Uyb0RvYy54bWykVMlu2zAQvRfoPxC615IM2E4Eyzk0rS9F GzTpB9AUKQngBpK27L/vcLRYdYAUSHSQRuQs770hZ/twVpKcuPOt0WWSL7KEcM1M1eq6TP68fP9y lxAfqK6oNJqXyYX75GH3+dO2swVfmsbIijsCSbQvOlsmTQi2SFPPGq6oXxjLNWwK4xQN8OvqtHK0 g+xKpsssW6edcZV1hnHvYfWx30x2mF8IzsIvITwPRJYJYAv4dvg+xHe629KidtQ2LRtg0HegULTV UHRK9UgDJUfXvkqlWuaMNyIsmFGpEaJlHDkAmzy7YbN35miRS110tZ1kAmlvdHp3Wvbz9ORIW5XJ 6u4+h2ZpqqBNWJn0SyBRZ+sCPPfOPtsnNyzU/V9kfRZOxS/wIWcU9zKJy8+BMFjMN8tVvoYKDPby ZX6/6sVnDXToVRRrvr0Zl45F04htgtJZOEb+qpT/mFLPDbUcG+Aj/5lSm1EpdEGlNpFPBACek0y+ 8KDYxzSauNKCHX3Yc4Ni09MPH/rzW40WbUaLnfVoOrgFb55/S0OMiyijSbpZt5qxWXFXmRN/MegX ri1bZ/fIHXBeHaSeO07Nh97P3HsniItld9vBQChgz8lKjajw2BBGYVIISQNeOdUGGCGyVYA0i0/s A4RLDZ/Yj74DaIWL5BG+1L+5gGMfzyUm8a4+fJWOnGgcFP+mAdcYI1opp6jsP1GDc4zjOIZuI9lQ sJ9FcKNhOo0TCcBPQVjZ6DDFa5ijyHBGKJoHU13wbiJnuATIHgcHyjEMuTiZ5v/odR3Fu78AAAD/ /wMAUEsDBBQABgAIAAAAIQBDQ7Ap4gAAAA0BAAAPAAAAZHJzL2Rvd25yZXYueG1sTI9BT4NAEIXv Jv6HzZh4swsKWJGlaRr11DSxNWl6m8IUSNldwm6B/ntHL3qbN/Py5nvZYtKtGKh3jTUKwlkAgkxh y8ZUCr527w9zEM6jKbG1hhRcycEiv73JMC3taD5p2PpKcIhxKSqove9SKV1Rk0Y3sx0Zvp1sr9Gz 7CtZ9jhyuG7lYxAkUmNj+EONHa1qKs7bi1bwMeK4fArfhvX5tLoedvFmvw5Jqfu7afkKwtPk/8zw g8/okDPT0V5M6UTLOopf2MpDPI9iEGyJwucExPF3lUQg80z+b5F/AwAA//8DAFBLAQItABQABgAI AAAAIQC2gziS/gAAAOEBAAATAAAAAAAAAAAAAAAAAAAAAABbQ29udGVudF9UeXBlc10ueG1sUEsB Ai0AFAAGAAgAAAAhADj9If/WAAAAlAEAAAsAAAAAAAAAAAAAAAAALwEAAF9yZWxzLy5yZWxzUEsB Ai0AFAAGAAgAAAAhAOst9TdWAgAA0gUAAA4AAAAAAAAAAAAAAAAALgIAAGRycy9lMm9Eb2MueG1s UEsBAi0AFAAGAAgAAAAhAENDsCniAAAADQEAAA8AAAAAAAAAAAAAAAAAsAQAAGRycy9kb3ducmV2 LnhtbFBLBQYAAAAABAAEAPMAAAC/BQAAAAA= " o:spid="_x0000_s1026" style="position:absolute;margin-left:72.95pt;margin-top:792.25pt;width:135.85pt;height:.95pt;z-index:251659264;mso-position-horizontal-relative:page;mso-position-vertical-relative:page" w14:anchorId="57E22C51">
                <v:shape coordsize="1725168,12195" filled="f" id="Shape 5891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n1INxgAAAN4AAAAPAAAAZHJzL2Rvd25yZXYueG1sRI9Ba8JA FITvBf/D8oTe6saCGqOrqFAUejL14u2ZfWaD2bcxu9X477uC0OMwM98w82Vna3Gj1leOFQwHCQji wumKSwWHn6+PFIQPyBprx6TgQR6Wi97bHDPt7rynWx5KESHsM1RgQmgyKX1hyKIfuIY4emfXWgxR tqXULd4j3NbyM0nG0mLFccFgQxtDxSX/tQp26+3pezNKH/kWzXUaqCnH56NS7/1uNQMRqAv/4Vd7 pxWM0ulwAs878QrIxR8AAAD//wMAUEsBAi0AFAAGAAgAAAAhANvh9svuAAAAhQEAABMAAAAAAAAA AAAAAAAAAAAAAFtDb250ZW50X1R5cGVzXS54bWxQSwECLQAUAAYACAAAACEAWvQsW78AAAAVAQAA CwAAAAAAAAAAAAAAAAAfAQAAX3JlbHMvLnJlbHNQSwECLQAUAAYACAAAACEAo59SDcYAAADeAAAA DwAAAAAAAAAAAAAAAAAHAgAAZHJzL2Rvd25yZXYueG1sUEsFBgAAAAADAAMAtwAAAPoCAAAAAA== " o:spid="_x0000_s1027" path="m,6097r1725168,e" strokeweight=".33875mm" style="position:absolute;width:17251;height:121;visibility:visible;mso-wrap-style:square;v-text-anchor:top">
                  <v:stroke joinstyle="miter" miterlimit="1"/>
                  <v:path arrowok="t" textboxrect="0,0,1725168,12195"/>
                </v:shape>
                <w10:wrap anchorx="page" anchory="page" type="topAndBottom"/>
              </v:group>
            </w:pict>
          </mc:Fallback>
        </mc:AlternateContent>
      </w:r>
      <w:r w:rsidRPr="006247E2">
        <w:rPr>
          <w:rFonts w:ascii="Helvetica" w:cs="Helvetica" w:hAnsi="Helvetica"/>
        </w:rPr>
        <w:t xml:space="preserve">La direction des relations humaines et la délégation syndicale se sont réunies à plusieurs reprises </w:t>
      </w:r>
      <w:r w:rsidR="007E2AEC" w:rsidRPr="0064389B">
        <w:rPr>
          <w:rFonts w:ascii="Helvetica" w:cs="Helvetica" w:hAnsi="Helvetica"/>
        </w:rPr>
        <w:t>le 1</w:t>
      </w:r>
      <w:r w:rsidR="009F683E">
        <w:rPr>
          <w:rFonts w:ascii="Helvetica" w:cs="Helvetica" w:hAnsi="Helvetica"/>
        </w:rPr>
        <w:t>3</w:t>
      </w:r>
      <w:r w:rsidR="007E2AEC" w:rsidRPr="0064389B">
        <w:rPr>
          <w:rFonts w:ascii="Helvetica" w:cs="Helvetica" w:hAnsi="Helvetica"/>
        </w:rPr>
        <w:t xml:space="preserve"> </w:t>
      </w:r>
      <w:r w:rsidR="009F683E">
        <w:rPr>
          <w:rFonts w:ascii="Helvetica" w:cs="Helvetica" w:hAnsi="Helvetica"/>
        </w:rPr>
        <w:t>février</w:t>
      </w:r>
      <w:r w:rsidR="007E2AEC" w:rsidRPr="0064389B">
        <w:rPr>
          <w:rFonts w:ascii="Helvetica" w:cs="Helvetica" w:hAnsi="Helvetica"/>
        </w:rPr>
        <w:t xml:space="preserve"> 202</w:t>
      </w:r>
      <w:r w:rsidR="009F683E">
        <w:rPr>
          <w:rFonts w:ascii="Helvetica" w:cs="Helvetica" w:hAnsi="Helvetica"/>
        </w:rPr>
        <w:t>3</w:t>
      </w:r>
      <w:r w:rsidR="007E2AEC" w:rsidRPr="0064389B">
        <w:rPr>
          <w:rFonts w:ascii="Helvetica" w:cs="Helvetica" w:hAnsi="Helvetica"/>
        </w:rPr>
        <w:t>, le</w:t>
      </w:r>
      <w:r w:rsidRPr="0064389B">
        <w:rPr>
          <w:rFonts w:ascii="Helvetica" w:cs="Helvetica" w:hAnsi="Helvetica"/>
        </w:rPr>
        <w:t xml:space="preserve"> </w:t>
      </w:r>
      <w:r w:rsidR="00092FC6" w:rsidRPr="0064389B">
        <w:rPr>
          <w:rFonts w:ascii="Helvetica" w:cs="Helvetica" w:hAnsi="Helvetica"/>
        </w:rPr>
        <w:t>2</w:t>
      </w:r>
      <w:r w:rsidR="009F683E">
        <w:rPr>
          <w:rFonts w:ascii="Helvetica" w:cs="Helvetica" w:hAnsi="Helvetica"/>
        </w:rPr>
        <w:t>7</w:t>
      </w:r>
      <w:r w:rsidR="00092FC6" w:rsidRPr="0064389B">
        <w:rPr>
          <w:rFonts w:ascii="Helvetica" w:cs="Helvetica" w:hAnsi="Helvetica"/>
        </w:rPr>
        <w:t xml:space="preserve"> </w:t>
      </w:r>
      <w:r w:rsidRPr="0064389B">
        <w:rPr>
          <w:rFonts w:ascii="Helvetica" w:cs="Helvetica" w:hAnsi="Helvetica"/>
        </w:rPr>
        <w:t>février 202</w:t>
      </w:r>
      <w:r w:rsidR="009F683E">
        <w:rPr>
          <w:rFonts w:ascii="Helvetica" w:cs="Helvetica" w:hAnsi="Helvetica"/>
        </w:rPr>
        <w:t>3</w:t>
      </w:r>
      <w:r w:rsidRPr="006247E2">
        <w:rPr>
          <w:rFonts w:ascii="Helvetica" w:cs="Helvetica" w:hAnsi="Helvetica"/>
        </w:rPr>
        <w:t xml:space="preserve">, </w:t>
      </w:r>
      <w:r w:rsidR="009F683E">
        <w:rPr>
          <w:rFonts w:ascii="Helvetica" w:cs="Helvetica" w:hAnsi="Helvetica"/>
        </w:rPr>
        <w:t xml:space="preserve">ainsi que le 10 mars 2023 </w:t>
      </w:r>
      <w:r w:rsidRPr="006247E2">
        <w:rPr>
          <w:rFonts w:ascii="Helvetica" w:cs="Helvetica" w:hAnsi="Helvetica"/>
        </w:rPr>
        <w:t>afin d'aborder les thèmes de la négociation annuelle obligatoire prévue par les articles L. 2242-15</w:t>
      </w:r>
      <w:r w:rsidR="009F683E">
        <w:rPr>
          <w:rFonts w:ascii="Helvetica" w:cs="Helvetica" w:hAnsi="Helvetica"/>
        </w:rPr>
        <w:t xml:space="preserve"> et suivants concernant</w:t>
      </w:r>
      <w:r w:rsidRPr="006247E2">
        <w:rPr>
          <w:rFonts w:ascii="Helvetica" w:cs="Helvetica" w:hAnsi="Helvetica"/>
        </w:rPr>
        <w:t xml:space="preserve"> la rémunération, le temps de travail et le partage de la valeur ajoutée dans l'entreprise.</w:t>
      </w:r>
    </w:p>
    <w:p w14:paraId="267C7ADC" w14:textId="77777777" w:rsidP="006247E2" w:rsidR="006247E2" w:rsidRDefault="006247E2" w:rsidRPr="006247E2">
      <w:pPr>
        <w:jc w:val="both"/>
        <w:rPr>
          <w:rFonts w:ascii="Helvetica" w:cs="Helvetica" w:hAnsi="Helvetica"/>
        </w:rPr>
      </w:pPr>
    </w:p>
    <w:p w14:paraId="284952EF" w14:textId="24016095" w:rsidP="006247E2" w:rsidR="006247E2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 xml:space="preserve">La direction a communiqué et commenté des informations sur </w:t>
      </w:r>
      <w:r w:rsidR="009F683E">
        <w:rPr>
          <w:rFonts w:ascii="Helvetica" w:cs="Helvetica" w:hAnsi="Helvetica"/>
        </w:rPr>
        <w:t xml:space="preserve">les effectifs, les rémunérations, et </w:t>
      </w:r>
      <w:r w:rsidRPr="006247E2">
        <w:rPr>
          <w:rFonts w:ascii="Helvetica" w:cs="Helvetica" w:hAnsi="Helvetica"/>
        </w:rPr>
        <w:t>la situation sociale de la société</w:t>
      </w:r>
      <w:r w:rsidR="009F683E">
        <w:rPr>
          <w:rFonts w:ascii="Helvetica" w:cs="Helvetica" w:hAnsi="Helvetica"/>
        </w:rPr>
        <w:t xml:space="preserve">. L’organisation syndicale </w:t>
      </w:r>
      <w:r w:rsidR="009C0B4E">
        <w:rPr>
          <w:rFonts w:ascii="Helvetica" w:cs="Helvetica" w:hAnsi="Helvetica"/>
        </w:rPr>
        <w:t>XXX</w:t>
      </w:r>
      <w:r w:rsidRPr="006247E2">
        <w:rPr>
          <w:rFonts w:ascii="Helvetica" w:cs="Helvetica" w:hAnsi="Helvetica"/>
        </w:rPr>
        <w:t xml:space="preserve"> a</w:t>
      </w:r>
      <w:r w:rsidR="009F683E">
        <w:rPr>
          <w:rFonts w:ascii="Helvetica" w:cs="Helvetica" w:hAnsi="Helvetica"/>
        </w:rPr>
        <w:t xml:space="preserve">, pour sa part, </w:t>
      </w:r>
      <w:r w:rsidRPr="006247E2">
        <w:rPr>
          <w:rFonts w:ascii="Helvetica" w:cs="Helvetica" w:hAnsi="Helvetica"/>
        </w:rPr>
        <w:t>exposé ses revendications dont la direction a pris bonne note</w:t>
      </w:r>
      <w:r>
        <w:rPr>
          <w:rFonts w:ascii="Helvetica" w:cs="Helvetica" w:hAnsi="Helvetica"/>
        </w:rPr>
        <w:t>.</w:t>
      </w:r>
    </w:p>
    <w:p w14:paraId="5555E1ED" w14:textId="77777777" w:rsidP="006247E2" w:rsidR="006247E2" w:rsidRDefault="006247E2" w:rsidRPr="006247E2">
      <w:pPr>
        <w:jc w:val="both"/>
        <w:rPr>
          <w:rFonts w:ascii="Helvetica" w:cs="Helvetica" w:hAnsi="Helvetica"/>
        </w:rPr>
      </w:pPr>
    </w:p>
    <w:p w14:paraId="73D606E1" w14:textId="22F40375" w:rsidP="006247E2" w:rsidR="00EC7E90" w:rsidRDefault="006247E2">
      <w:pPr>
        <w:jc w:val="both"/>
        <w:rPr>
          <w:rFonts w:ascii="Helvetica" w:cs="Helvetica" w:hAnsi="Helvetica"/>
        </w:rPr>
      </w:pPr>
      <w:r w:rsidRPr="006247E2">
        <w:rPr>
          <w:rFonts w:ascii="Helvetica" w:cs="Helvetica" w:hAnsi="Helvetica"/>
        </w:rPr>
        <w:t>Lors de</w:t>
      </w:r>
      <w:r w:rsidR="00EC7E90">
        <w:rPr>
          <w:rFonts w:ascii="Helvetica" w:cs="Helvetica" w:hAnsi="Helvetica"/>
        </w:rPr>
        <w:t>s</w:t>
      </w:r>
      <w:r w:rsidRPr="006247E2">
        <w:rPr>
          <w:rFonts w:ascii="Helvetica" w:cs="Helvetica" w:hAnsi="Helvetica"/>
        </w:rPr>
        <w:t xml:space="preserve"> réunion</w:t>
      </w:r>
      <w:r w:rsidR="00EC7E90">
        <w:rPr>
          <w:rFonts w:ascii="Helvetica" w:cs="Helvetica" w:hAnsi="Helvetica"/>
        </w:rPr>
        <w:t>s du 27 février et</w:t>
      </w:r>
      <w:r w:rsidRPr="006247E2">
        <w:rPr>
          <w:rFonts w:ascii="Helvetica" w:cs="Helvetica" w:hAnsi="Helvetica"/>
        </w:rPr>
        <w:t xml:space="preserve"> du </w:t>
      </w:r>
      <w:r w:rsidR="009F683E">
        <w:rPr>
          <w:rFonts w:ascii="Helvetica" w:cs="Helvetica" w:hAnsi="Helvetica"/>
        </w:rPr>
        <w:t>10 mars,</w:t>
      </w:r>
      <w:r w:rsidRPr="006247E2">
        <w:rPr>
          <w:rFonts w:ascii="Helvetica" w:cs="Helvetica" w:hAnsi="Helvetica"/>
        </w:rPr>
        <w:t xml:space="preserve"> la direction a fait état dans ses réponses de plusieurs évolutions favorables sur les rémunérations et la masse salariale qui ont concerné l'année 202</w:t>
      </w:r>
      <w:r w:rsidR="009F683E">
        <w:rPr>
          <w:rFonts w:ascii="Helvetica" w:cs="Helvetica" w:hAnsi="Helvetica"/>
        </w:rPr>
        <w:t xml:space="preserve">2, notamment dû au fait de la renégociation </w:t>
      </w:r>
      <w:r w:rsidR="00EC7E90">
        <w:rPr>
          <w:rFonts w:ascii="Helvetica" w:cs="Helvetica" w:hAnsi="Helvetica"/>
        </w:rPr>
        <w:t>par</w:t>
      </w:r>
      <w:r w:rsidR="009F683E">
        <w:rPr>
          <w:rFonts w:ascii="Helvetica" w:cs="Helvetica" w:hAnsi="Helvetica"/>
        </w:rPr>
        <w:t xml:space="preserve"> deux fois des salaires minima de </w:t>
      </w:r>
      <w:r w:rsidR="009F683E">
        <w:rPr>
          <w:rFonts w:ascii="Helvetica" w:cs="Helvetica" w:hAnsi="Helvetica"/>
        </w:rPr>
        <w:lastRenderedPageBreak/>
        <w:t>la grille de classification interne du Groupe CONVIVIO</w:t>
      </w:r>
      <w:r w:rsidR="00EC7E90">
        <w:rPr>
          <w:rFonts w:ascii="Helvetica" w:cs="Helvetica" w:hAnsi="Helvetica"/>
        </w:rPr>
        <w:t xml:space="preserve"> ainsi que de quatre hausse</w:t>
      </w:r>
      <w:r w:rsidR="00773923">
        <w:rPr>
          <w:rFonts w:ascii="Helvetica" w:cs="Helvetica" w:hAnsi="Helvetica"/>
        </w:rPr>
        <w:t>s</w:t>
      </w:r>
      <w:r w:rsidR="00EC7E90">
        <w:rPr>
          <w:rFonts w:ascii="Helvetica" w:cs="Helvetica" w:hAnsi="Helvetica"/>
        </w:rPr>
        <w:t xml:space="preserve"> du Smic sur cette même période (janvier 2022 / janvier 2023)</w:t>
      </w:r>
      <w:r w:rsidR="009F683E">
        <w:rPr>
          <w:rFonts w:ascii="Helvetica" w:cs="Helvetica" w:hAnsi="Helvetica"/>
        </w:rPr>
        <w:t>.</w:t>
      </w:r>
    </w:p>
    <w:p w14:paraId="45EEA8B6" w14:textId="77777777" w:rsidP="006247E2" w:rsidR="0028763B" w:rsidRDefault="0028763B">
      <w:pPr>
        <w:jc w:val="both"/>
        <w:rPr>
          <w:rFonts w:ascii="Helvetica" w:cs="Helvetica" w:hAnsi="Helvetica"/>
        </w:rPr>
      </w:pPr>
    </w:p>
    <w:p w14:paraId="64699F2B" w14:textId="3932A6B6" w:rsidP="006247E2" w:rsidR="0028763B" w:rsidRDefault="00EC7E90">
      <w:pPr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La </w:t>
      </w:r>
      <w:r w:rsidR="0028763B">
        <w:rPr>
          <w:rFonts w:ascii="Helvetica" w:cs="Helvetica" w:hAnsi="Helvetica"/>
        </w:rPr>
        <w:t>direction</w:t>
      </w:r>
      <w:r>
        <w:rPr>
          <w:rFonts w:ascii="Helvetica" w:cs="Helvetica" w:hAnsi="Helvetica"/>
        </w:rPr>
        <w:t xml:space="preserve"> a également </w:t>
      </w:r>
      <w:r w:rsidR="0028763B">
        <w:rPr>
          <w:rFonts w:ascii="Helvetica" w:cs="Helvetica" w:hAnsi="Helvetica"/>
        </w:rPr>
        <w:t>insisté sur</w:t>
      </w:r>
      <w:r w:rsidR="006247E2" w:rsidRPr="006247E2">
        <w:rPr>
          <w:rFonts w:ascii="Helvetica" w:cs="Helvetica" w:hAnsi="Helvetica"/>
        </w:rPr>
        <w:t xml:space="preserve"> le contexte économique </w:t>
      </w:r>
      <w:r w:rsidR="0028763B">
        <w:rPr>
          <w:rFonts w:ascii="Helvetica" w:cs="Helvetica" w:hAnsi="Helvetica"/>
        </w:rPr>
        <w:t xml:space="preserve">particulièrement défavorable </w:t>
      </w:r>
      <w:r w:rsidR="006247E2" w:rsidRPr="006247E2">
        <w:rPr>
          <w:rFonts w:ascii="Helvetica" w:cs="Helvetica" w:hAnsi="Helvetica"/>
        </w:rPr>
        <w:t>de</w:t>
      </w:r>
      <w:r w:rsidR="0028763B">
        <w:rPr>
          <w:rFonts w:ascii="Helvetica" w:cs="Helvetica" w:hAnsi="Helvetica"/>
        </w:rPr>
        <w:t>s années 2022 et 2023</w:t>
      </w:r>
      <w:r w:rsidR="006247E2" w:rsidRPr="006247E2">
        <w:rPr>
          <w:rFonts w:ascii="Helvetica" w:cs="Helvetica" w:hAnsi="Helvetica"/>
        </w:rPr>
        <w:t xml:space="preserve">, marqué par </w:t>
      </w:r>
      <w:r w:rsidR="006C1D29">
        <w:rPr>
          <w:rFonts w:ascii="Helvetica" w:cs="Helvetica" w:hAnsi="Helvetica"/>
        </w:rPr>
        <w:t>une</w:t>
      </w:r>
      <w:r w:rsidR="006247E2" w:rsidRPr="006247E2">
        <w:rPr>
          <w:rFonts w:ascii="Helvetica" w:cs="Helvetica" w:hAnsi="Helvetica"/>
        </w:rPr>
        <w:t xml:space="preserve"> crise </w:t>
      </w:r>
      <w:r w:rsidR="0028763B">
        <w:rPr>
          <w:rFonts w:ascii="Helvetica" w:cs="Helvetica" w:hAnsi="Helvetica"/>
        </w:rPr>
        <w:t xml:space="preserve">économique de grande ampleur dans notre secteur d’activité due à une inflation sans précédent depuis 25 ans sur les prix alimentaires et </w:t>
      </w:r>
      <w:r w:rsidR="00BD0597">
        <w:rPr>
          <w:rFonts w:ascii="Helvetica" w:cs="Helvetica" w:hAnsi="Helvetica"/>
        </w:rPr>
        <w:t>sur</w:t>
      </w:r>
      <w:r w:rsidR="0028763B">
        <w:rPr>
          <w:rFonts w:ascii="Helvetica" w:cs="Helvetica" w:hAnsi="Helvetica"/>
        </w:rPr>
        <w:t xml:space="preserve"> la denrée</w:t>
      </w:r>
      <w:r w:rsidR="006C1D29">
        <w:rPr>
          <w:rFonts w:ascii="Helvetica" w:cs="Helvetica" w:hAnsi="Helvetica"/>
        </w:rPr>
        <w:t> :</w:t>
      </w:r>
    </w:p>
    <w:p w14:paraId="2B8D183E" w14:textId="65D9CB9A" w:rsidP="006C1D29" w:rsidR="006C1D29" w:rsidRDefault="006C1D29">
      <w:pPr>
        <w:pStyle w:val="Paragraphedeliste"/>
        <w:numPr>
          <w:ilvl w:val="0"/>
          <w:numId w:val="7"/>
        </w:numPr>
        <w:jc w:val="both"/>
        <w:rPr>
          <w:rFonts w:ascii="Helvetica" w:cs="Helvetica" w:hAnsi="Helvetica"/>
        </w:rPr>
      </w:pPr>
      <w:r w:rsidRPr="006C1D29">
        <w:rPr>
          <w:rFonts w:ascii="Helvetica" w:cs="Helvetica" w:hAnsi="Helvetica"/>
        </w:rPr>
        <w:t>Denrée alimentaires : + 17% d’augmentation</w:t>
      </w:r>
    </w:p>
    <w:p w14:paraId="6F64CD00" w14:textId="2EB70560" w:rsidP="006C1D29" w:rsidR="006C1D29" w:rsidRDefault="006C1D29">
      <w:pPr>
        <w:pStyle w:val="Paragraphedeliste"/>
        <w:numPr>
          <w:ilvl w:val="0"/>
          <w:numId w:val="7"/>
        </w:numPr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Frais de personnel : + 8%</w:t>
      </w:r>
    </w:p>
    <w:p w14:paraId="3E5600FA" w14:textId="62D7D5D0" w:rsidP="006C1D29" w:rsidR="006C1D29" w:rsidRDefault="006C1D29">
      <w:pPr>
        <w:pStyle w:val="Paragraphedeliste"/>
        <w:numPr>
          <w:ilvl w:val="0"/>
          <w:numId w:val="7"/>
        </w:numPr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Produits d’entretien et d’hygiène : + 10%</w:t>
      </w:r>
    </w:p>
    <w:p w14:paraId="0D327AA3" w14:textId="61EBD7C2" w:rsidP="006C1D29" w:rsidR="006C1D29" w:rsidRDefault="006C1D29" w:rsidRPr="006C1D29">
      <w:pPr>
        <w:pStyle w:val="Paragraphedeliste"/>
        <w:numPr>
          <w:ilvl w:val="0"/>
          <w:numId w:val="7"/>
        </w:numPr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Energie : + 450% sur l’électricité</w:t>
      </w:r>
    </w:p>
    <w:p w14:paraId="0EA8DD1B" w14:textId="77777777" w:rsidP="006247E2" w:rsidR="0028763B" w:rsidRDefault="0028763B">
      <w:pPr>
        <w:jc w:val="both"/>
        <w:rPr>
          <w:rFonts w:ascii="Helvetica" w:cs="Helvetica" w:hAnsi="Helvetica"/>
        </w:rPr>
      </w:pPr>
    </w:p>
    <w:p w14:paraId="33179DF7" w14:textId="75F94D9A" w:rsidP="006247E2" w:rsidR="008C1675" w:rsidRDefault="006C1D29">
      <w:pPr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Cette situation </w:t>
      </w:r>
      <w:r w:rsidR="006247E2" w:rsidRPr="006247E2">
        <w:rPr>
          <w:rFonts w:ascii="Helvetica" w:cs="Helvetica" w:hAnsi="Helvetica"/>
        </w:rPr>
        <w:t xml:space="preserve">ne peut </w:t>
      </w:r>
      <w:r>
        <w:rPr>
          <w:rFonts w:ascii="Helvetica" w:cs="Helvetica" w:hAnsi="Helvetica"/>
        </w:rPr>
        <w:t xml:space="preserve">donc effectivement pas </w:t>
      </w:r>
      <w:r w:rsidR="006247E2" w:rsidRPr="006247E2">
        <w:rPr>
          <w:rFonts w:ascii="Helvetica" w:cs="Helvetica" w:hAnsi="Helvetica"/>
        </w:rPr>
        <w:t>permett</w:t>
      </w:r>
      <w:r w:rsidR="002569B4">
        <w:rPr>
          <w:rFonts w:ascii="Helvetica" w:cs="Helvetica" w:hAnsi="Helvetica"/>
        </w:rPr>
        <w:t>r</w:t>
      </w:r>
      <w:r w:rsidR="006247E2" w:rsidRPr="006247E2">
        <w:rPr>
          <w:rFonts w:ascii="Helvetica" w:cs="Helvetica" w:hAnsi="Helvetica"/>
        </w:rPr>
        <w:t>e d'</w:t>
      </w:r>
      <w:r w:rsidR="00150EDF">
        <w:rPr>
          <w:rFonts w:ascii="Helvetica" w:cs="Helvetica" w:hAnsi="Helvetica"/>
        </w:rPr>
        <w:t>importantes</w:t>
      </w:r>
      <w:r w:rsidR="006247E2" w:rsidRPr="006247E2">
        <w:rPr>
          <w:rFonts w:ascii="Helvetica" w:cs="Helvetica" w:hAnsi="Helvetica"/>
        </w:rPr>
        <w:t xml:space="preserve"> évolution</w:t>
      </w:r>
      <w:r w:rsidR="006247E2">
        <w:rPr>
          <w:rFonts w:ascii="Helvetica" w:cs="Helvetica" w:hAnsi="Helvetica"/>
        </w:rPr>
        <w:t>s</w:t>
      </w:r>
      <w:r w:rsidR="006247E2" w:rsidRPr="006247E2">
        <w:rPr>
          <w:rFonts w:ascii="Helvetica" w:cs="Helvetica" w:hAnsi="Helvetica"/>
        </w:rPr>
        <w:t xml:space="preserve"> de la masse salariale</w:t>
      </w:r>
      <w:r>
        <w:rPr>
          <w:rFonts w:ascii="Helvetica" w:cs="Helvetica" w:hAnsi="Helvetica"/>
        </w:rPr>
        <w:t xml:space="preserve"> si l’on veut sécuriser le Groupe et ses emplois</w:t>
      </w:r>
      <w:r w:rsidR="006247E2" w:rsidRPr="006247E2">
        <w:rPr>
          <w:rFonts w:ascii="Helvetica" w:cs="Helvetica" w:hAnsi="Helvetica"/>
        </w:rPr>
        <w:t>.</w:t>
      </w:r>
    </w:p>
    <w:p w14:paraId="4A8BCCA4" w14:textId="34218421" w:rsidP="006247E2" w:rsidR="001D1F0F" w:rsidRDefault="001D1F0F">
      <w:pPr>
        <w:jc w:val="both"/>
        <w:rPr>
          <w:rFonts w:ascii="Helvetica" w:cs="Helvetica" w:hAnsi="Helvetica"/>
        </w:rPr>
      </w:pPr>
    </w:p>
    <w:p w14:paraId="04D6B770" w14:textId="77777777" w:rsidP="006247E2" w:rsidR="00151E14" w:rsidRDefault="00151E14">
      <w:pPr>
        <w:jc w:val="both"/>
        <w:rPr>
          <w:rFonts w:ascii="Helvetica" w:cs="Helvetica" w:hAnsi="Helvetica"/>
        </w:rPr>
      </w:pPr>
    </w:p>
    <w:p w14:paraId="65982168" w14:textId="44FB996C" w:rsidP="00151E14" w:rsidR="00151E14" w:rsidRDefault="00151E14" w:rsidRPr="00151E14">
      <w:pPr>
        <w:pStyle w:val="Paragraphedeliste"/>
        <w:numPr>
          <w:ilvl w:val="0"/>
          <w:numId w:val="8"/>
        </w:numPr>
        <w:jc w:val="both"/>
        <w:rPr>
          <w:rFonts w:ascii="Helvetica" w:cs="Helvetica" w:hAnsi="Helvetica"/>
          <w:b/>
          <w:bCs/>
          <w:sz w:val="24"/>
          <w:szCs w:val="24"/>
          <w:u w:val="single"/>
        </w:rPr>
      </w:pPr>
      <w:r w:rsidRPr="00151E14">
        <w:rPr>
          <w:rFonts w:ascii="Helvetica" w:cs="Helvetica" w:hAnsi="Helvetica"/>
          <w:b/>
          <w:bCs/>
          <w:sz w:val="24"/>
          <w:szCs w:val="24"/>
          <w:u w:val="single"/>
        </w:rPr>
        <w:t xml:space="preserve">Revendications de l’organisation syndicale représentative </w:t>
      </w:r>
      <w:r w:rsidR="009C0B4E">
        <w:rPr>
          <w:rFonts w:ascii="Helvetica" w:cs="Helvetica" w:hAnsi="Helvetica"/>
          <w:b/>
          <w:bCs/>
          <w:sz w:val="24"/>
          <w:szCs w:val="24"/>
          <w:u w:val="single"/>
        </w:rPr>
        <w:t>XXX</w:t>
      </w:r>
      <w:r w:rsidRPr="00151E14">
        <w:rPr>
          <w:rFonts w:ascii="Helvetica" w:cs="Helvetica" w:hAnsi="Helvetica"/>
          <w:b/>
          <w:bCs/>
          <w:sz w:val="24"/>
          <w:szCs w:val="24"/>
          <w:u w:val="single"/>
        </w:rPr>
        <w:t> :</w:t>
      </w:r>
    </w:p>
    <w:p w14:paraId="483827B6" w14:textId="14F332DE" w:rsidP="006247E2" w:rsidR="00402269" w:rsidRDefault="001D1F0F">
      <w:pPr>
        <w:jc w:val="both"/>
        <w:rPr>
          <w:noProof/>
        </w:rPr>
      </w:pPr>
      <w:r>
        <w:rPr>
          <w:rFonts w:ascii="Helvetica" w:cs="Helvetica" w:hAnsi="Helvetica"/>
        </w:rPr>
        <w:t xml:space="preserve">De son côté, l’organisation syndicale représentative </w:t>
      </w:r>
      <w:r w:rsidR="009C0B4E">
        <w:rPr>
          <w:rFonts w:ascii="Helvetica" w:cs="Helvetica" w:hAnsi="Helvetica"/>
        </w:rPr>
        <w:t>XXX</w:t>
      </w:r>
      <w:r>
        <w:rPr>
          <w:rFonts w:ascii="Helvetica" w:cs="Helvetica" w:hAnsi="Helvetica"/>
        </w:rPr>
        <w:t xml:space="preserve"> a formulé les revendications suivantes </w:t>
      </w:r>
      <w:r w:rsidR="00151E14">
        <w:rPr>
          <w:rFonts w:ascii="Helvetica" w:cs="Helvetica" w:hAnsi="Helvetica"/>
        </w:rPr>
        <w:t xml:space="preserve">lors de ces NAO </w:t>
      </w:r>
      <w:r>
        <w:rPr>
          <w:rFonts w:ascii="Helvetica" w:cs="Helvetica" w:hAnsi="Helvetica"/>
        </w:rPr>
        <w:t>:</w:t>
      </w:r>
      <w:r w:rsidR="00402269" w:rsidRPr="00402269">
        <w:rPr>
          <w:noProof/>
        </w:rPr>
        <w:t xml:space="preserve"> </w:t>
      </w:r>
    </w:p>
    <w:p w14:paraId="326E5A93" w14:textId="77777777" w:rsidP="006247E2" w:rsidR="00151E14" w:rsidRDefault="00151E14">
      <w:pPr>
        <w:jc w:val="both"/>
        <w:rPr>
          <w:noProof/>
        </w:rPr>
      </w:pPr>
    </w:p>
    <w:p w14:paraId="79DAA1AA" w14:textId="739C24AE" w:rsidP="006247E2" w:rsidR="001D1F0F" w:rsidRDefault="00402269">
      <w:pPr>
        <w:jc w:val="both"/>
        <w:rPr>
          <w:rFonts w:ascii="Helvetica" w:cs="Helvetica" w:hAnsi="Helvetica"/>
        </w:rPr>
      </w:pPr>
      <w:r>
        <w:rPr>
          <w:noProof/>
          <w:lang w:eastAsia="fr-FR"/>
        </w:rPr>
        <w:drawing>
          <wp:inline distB="0" distL="0" distR="0" distT="0" wp14:anchorId="3FA85A01" wp14:editId="4A1A7235">
            <wp:extent cx="5760720" cy="3225800"/>
            <wp:effectExtent b="0" l="0" r="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DFA3" w14:textId="4BCAA985" w:rsidP="006247E2" w:rsidR="001D1F0F" w:rsidRDefault="00402269">
      <w:pPr>
        <w:jc w:val="both"/>
        <w:rPr>
          <w:rFonts w:ascii="Helvetica" w:cs="Helvetica" w:hAnsi="Helvetica"/>
        </w:rPr>
      </w:pPr>
      <w:r>
        <w:rPr>
          <w:noProof/>
          <w:lang w:eastAsia="fr-FR"/>
        </w:rPr>
        <w:lastRenderedPageBreak/>
        <w:drawing>
          <wp:inline distB="0" distL="0" distR="0" distT="0" wp14:anchorId="38D62B0F" wp14:editId="63449EDA">
            <wp:extent cx="5760720" cy="2240915"/>
            <wp:effectExtent b="6985" l="0" r="0" t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440" w14:textId="0186BD48" w:rsidP="006247E2" w:rsidR="001D1F0F" w:rsidRDefault="001D1F0F">
      <w:pPr>
        <w:jc w:val="both"/>
        <w:rPr>
          <w:rFonts w:ascii="Helvetica" w:cs="Helvetica" w:hAnsi="Helvetica"/>
        </w:rPr>
      </w:pPr>
    </w:p>
    <w:p w14:paraId="50E326C5" w14:textId="55B6E888" w:rsidP="00B22889" w:rsidR="001D1F0F" w:rsidRDefault="001D1F0F">
      <w:pPr>
        <w:jc w:val="both"/>
        <w:rPr>
          <w:rFonts w:ascii="Helvetica" w:cs="Helvetica" w:hAnsi="Helvetica"/>
        </w:rPr>
      </w:pPr>
    </w:p>
    <w:p w14:paraId="65038E2F" w14:textId="2046AA87" w:rsidP="00151E14" w:rsidR="00151E14" w:rsidRDefault="00151E14" w:rsidRPr="00151E14">
      <w:pPr>
        <w:pStyle w:val="Paragraphedeliste"/>
        <w:numPr>
          <w:ilvl w:val="0"/>
          <w:numId w:val="8"/>
        </w:numPr>
        <w:jc w:val="both"/>
        <w:rPr>
          <w:rFonts w:ascii="Helvetica" w:cs="Helvetica" w:hAnsi="Helvetica"/>
          <w:b/>
          <w:bCs/>
          <w:sz w:val="24"/>
          <w:szCs w:val="24"/>
          <w:u w:val="single"/>
        </w:rPr>
      </w:pPr>
      <w:r w:rsidRPr="00151E14">
        <w:rPr>
          <w:rFonts w:ascii="Helvetica" w:cs="Helvetica" w:hAnsi="Helvetica"/>
          <w:b/>
          <w:bCs/>
          <w:sz w:val="24"/>
          <w:szCs w:val="24"/>
          <w:u w:val="single"/>
        </w:rPr>
        <w:t xml:space="preserve">Proposition de la Direction : </w:t>
      </w:r>
    </w:p>
    <w:p w14:paraId="52C26388" w14:textId="77777777" w:rsidP="00B22889" w:rsidR="00151E14" w:rsidRDefault="00B22889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</w:rPr>
        <w:t>La Direction maintient que</w:t>
      </w:r>
      <w:r w:rsidRPr="00B22889">
        <w:rPr>
          <w:rFonts w:ascii="Helvetica" w:cs="Helvetica" w:hAnsi="Helvetica"/>
          <w:bCs/>
        </w:rPr>
        <w:t xml:space="preserve"> le contexte économique reste difficile pour l'ensemble du </w:t>
      </w:r>
      <w:r>
        <w:rPr>
          <w:rFonts w:ascii="Helvetica" w:cs="Helvetica" w:hAnsi="Helvetica"/>
          <w:bCs/>
        </w:rPr>
        <w:t>G</w:t>
      </w:r>
      <w:r w:rsidRPr="00B22889">
        <w:rPr>
          <w:rFonts w:ascii="Helvetica" w:cs="Helvetica" w:hAnsi="Helvetica"/>
          <w:bCs/>
        </w:rPr>
        <w:t>roupe</w:t>
      </w:r>
      <w:r>
        <w:rPr>
          <w:rFonts w:ascii="Helvetica" w:cs="Helvetica" w:hAnsi="Helvetica"/>
          <w:bCs/>
        </w:rPr>
        <w:t xml:space="preserve"> CONVIVIO</w:t>
      </w:r>
      <w:r w:rsidRPr="00B22889">
        <w:rPr>
          <w:rFonts w:ascii="Helvetica" w:cs="Helvetica" w:hAnsi="Helvetica"/>
          <w:bCs/>
        </w:rPr>
        <w:t xml:space="preserve"> avec des </w:t>
      </w:r>
      <w:r>
        <w:rPr>
          <w:rFonts w:ascii="Helvetica" w:cs="Helvetica" w:hAnsi="Helvetica"/>
          <w:bCs/>
        </w:rPr>
        <w:t>sociétés</w:t>
      </w:r>
      <w:r w:rsidRPr="00B22889">
        <w:rPr>
          <w:rFonts w:ascii="Helvetica" w:cs="Helvetica" w:hAnsi="Helvetica"/>
          <w:bCs/>
        </w:rPr>
        <w:t xml:space="preserve"> et des activités </w:t>
      </w:r>
      <w:r>
        <w:rPr>
          <w:rFonts w:ascii="Helvetica" w:cs="Helvetica" w:hAnsi="Helvetica"/>
          <w:bCs/>
        </w:rPr>
        <w:t>toutes aussi</w:t>
      </w:r>
      <w:r w:rsidRPr="00B22889">
        <w:rPr>
          <w:rFonts w:ascii="Helvetica" w:cs="Helvetica" w:hAnsi="Helvetica"/>
          <w:bCs/>
        </w:rPr>
        <w:t xml:space="preserve"> impactées </w:t>
      </w:r>
      <w:r>
        <w:rPr>
          <w:rFonts w:ascii="Helvetica" w:cs="Helvetica" w:hAnsi="Helvetica"/>
          <w:bCs/>
        </w:rPr>
        <w:t xml:space="preserve">les unes </w:t>
      </w:r>
      <w:r w:rsidRPr="00B22889">
        <w:rPr>
          <w:rFonts w:ascii="Helvetica" w:cs="Helvetica" w:hAnsi="Helvetica"/>
          <w:bCs/>
        </w:rPr>
        <w:t xml:space="preserve">que </w:t>
      </w:r>
      <w:r>
        <w:rPr>
          <w:rFonts w:ascii="Helvetica" w:cs="Helvetica" w:hAnsi="Helvetica"/>
          <w:bCs/>
        </w:rPr>
        <w:t xml:space="preserve">les </w:t>
      </w:r>
      <w:r w:rsidRPr="00B22889">
        <w:rPr>
          <w:rFonts w:ascii="Helvetica" w:cs="Helvetica" w:hAnsi="Helvetica"/>
          <w:bCs/>
        </w:rPr>
        <w:t>autres</w:t>
      </w:r>
      <w:r w:rsidR="00151E14">
        <w:rPr>
          <w:rFonts w:ascii="Helvetica" w:cs="Helvetica" w:hAnsi="Helvetica"/>
          <w:bCs/>
        </w:rPr>
        <w:t> ; et qu’il est prématuré de prévoir une stabilisation de l’inflation sur les prix alimentaires au cours de l’année 2023</w:t>
      </w:r>
      <w:r w:rsidRPr="00B22889">
        <w:rPr>
          <w:rFonts w:ascii="Helvetica" w:cs="Helvetica" w:hAnsi="Helvetica"/>
          <w:bCs/>
        </w:rPr>
        <w:t>.</w:t>
      </w:r>
    </w:p>
    <w:p w14:paraId="60221970" w14:textId="2C8DB0BF" w:rsidP="00B22889" w:rsidR="00B22889" w:rsidRDefault="00B22889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Conformément à ses valeurs, l</w:t>
      </w:r>
      <w:r w:rsidRPr="00B22889">
        <w:rPr>
          <w:rFonts w:ascii="Helvetica" w:cs="Helvetica" w:hAnsi="Helvetica"/>
          <w:bCs/>
        </w:rPr>
        <w:t xml:space="preserve">e </w:t>
      </w:r>
      <w:r>
        <w:rPr>
          <w:rFonts w:ascii="Helvetica" w:cs="Helvetica" w:hAnsi="Helvetica"/>
          <w:bCs/>
        </w:rPr>
        <w:t>G</w:t>
      </w:r>
      <w:r w:rsidRPr="00B22889">
        <w:rPr>
          <w:rFonts w:ascii="Helvetica" w:cs="Helvetica" w:hAnsi="Helvetica"/>
          <w:bCs/>
        </w:rPr>
        <w:t>roupe assure</w:t>
      </w:r>
      <w:r>
        <w:rPr>
          <w:rFonts w:ascii="Helvetica" w:cs="Helvetica" w:hAnsi="Helvetica"/>
          <w:bCs/>
        </w:rPr>
        <w:t>ra</w:t>
      </w:r>
      <w:r w:rsidRPr="00B22889">
        <w:rPr>
          <w:rFonts w:ascii="Helvetica" w:cs="Helvetica" w:hAnsi="Helvetica"/>
          <w:bCs/>
        </w:rPr>
        <w:t xml:space="preserve"> la solidarité entre ses diverses situations, avec un objectif prioritaire, celui de la préservation de l'emploi.</w:t>
      </w:r>
    </w:p>
    <w:p w14:paraId="3F878DB9" w14:textId="77777777" w:rsidP="00B22889" w:rsidR="00151E14" w:rsidRDefault="00151E14">
      <w:pPr>
        <w:jc w:val="both"/>
        <w:rPr>
          <w:rFonts w:ascii="Helvetica" w:cs="Helvetica" w:hAnsi="Helvetica"/>
          <w:bCs/>
        </w:rPr>
      </w:pPr>
    </w:p>
    <w:p w14:paraId="31A0C509" w14:textId="1BB6C32B" w:rsidP="00B22889" w:rsidR="00C35D18" w:rsidRDefault="00B22889">
      <w:pPr>
        <w:jc w:val="both"/>
        <w:rPr>
          <w:rFonts w:ascii="Helvetica" w:cs="Helvetica" w:hAnsi="Helvetica"/>
          <w:bCs/>
        </w:rPr>
      </w:pPr>
      <w:r w:rsidRPr="00B22889">
        <w:rPr>
          <w:rFonts w:ascii="Helvetica" w:cs="Helvetica" w:hAnsi="Helvetica"/>
          <w:bCs/>
        </w:rPr>
        <w:t xml:space="preserve">La gestion de </w:t>
      </w:r>
      <w:r>
        <w:rPr>
          <w:rFonts w:ascii="Helvetica" w:cs="Helvetica" w:hAnsi="Helvetica"/>
          <w:bCs/>
        </w:rPr>
        <w:t>la</w:t>
      </w:r>
      <w:r w:rsidRPr="00B22889">
        <w:rPr>
          <w:rFonts w:ascii="Helvetica" w:cs="Helvetica" w:hAnsi="Helvetica"/>
          <w:bCs/>
        </w:rPr>
        <w:t xml:space="preserve"> masse salariale </w:t>
      </w:r>
      <w:r>
        <w:rPr>
          <w:rFonts w:ascii="Helvetica" w:cs="Helvetica" w:hAnsi="Helvetica"/>
          <w:bCs/>
        </w:rPr>
        <w:t xml:space="preserve">de CONVIVIO HR </w:t>
      </w:r>
      <w:r w:rsidRPr="00B22889">
        <w:rPr>
          <w:rFonts w:ascii="Helvetica" w:cs="Helvetica" w:hAnsi="Helvetica"/>
          <w:bCs/>
        </w:rPr>
        <w:t xml:space="preserve">doit </w:t>
      </w:r>
      <w:r w:rsidR="00C35D18">
        <w:rPr>
          <w:rFonts w:ascii="Helvetica" w:cs="Helvetica" w:hAnsi="Helvetica"/>
          <w:bCs/>
        </w:rPr>
        <w:t xml:space="preserve">donc </w:t>
      </w:r>
      <w:r w:rsidRPr="00B22889">
        <w:rPr>
          <w:rFonts w:ascii="Helvetica" w:cs="Helvetica" w:hAnsi="Helvetica"/>
          <w:bCs/>
        </w:rPr>
        <w:t xml:space="preserve">rester prudente, comme l'ensemble des dépenses, d'autant que l'entreprise </w:t>
      </w:r>
      <w:r w:rsidR="00BD0597">
        <w:rPr>
          <w:rFonts w:ascii="Helvetica" w:cs="Helvetica" w:hAnsi="Helvetica"/>
          <w:bCs/>
        </w:rPr>
        <w:t xml:space="preserve">doit </w:t>
      </w:r>
      <w:r w:rsidRPr="00B22889">
        <w:rPr>
          <w:rFonts w:ascii="Helvetica" w:cs="Helvetica" w:hAnsi="Helvetica"/>
          <w:bCs/>
        </w:rPr>
        <w:t>supporter des charges fixes importante</w:t>
      </w:r>
      <w:r w:rsidR="00C35D18">
        <w:rPr>
          <w:rFonts w:ascii="Helvetica" w:cs="Helvetica" w:hAnsi="Helvetica"/>
          <w:bCs/>
        </w:rPr>
        <w:t>s</w:t>
      </w:r>
      <w:r w:rsidR="00151E14">
        <w:rPr>
          <w:rFonts w:ascii="Helvetica" w:cs="Helvetica" w:hAnsi="Helvetica"/>
          <w:bCs/>
        </w:rPr>
        <w:t xml:space="preserve"> et rembourser les prêts garantis par l’Etat (PGE) contractés lors de la crise sanitaire </w:t>
      </w:r>
      <w:proofErr w:type="spellStart"/>
      <w:r w:rsidR="00151E14">
        <w:rPr>
          <w:rFonts w:ascii="Helvetica" w:cs="Helvetica" w:hAnsi="Helvetica"/>
          <w:bCs/>
        </w:rPr>
        <w:t>Covid</w:t>
      </w:r>
      <w:proofErr w:type="spellEnd"/>
      <w:r w:rsidR="00151E14">
        <w:rPr>
          <w:rFonts w:ascii="Helvetica" w:cs="Helvetica" w:hAnsi="Helvetica"/>
          <w:bCs/>
        </w:rPr>
        <w:t xml:space="preserve"> en 2020 et 2021</w:t>
      </w:r>
      <w:r w:rsidR="00C35D18">
        <w:rPr>
          <w:rFonts w:ascii="Helvetica" w:cs="Helvetica" w:hAnsi="Helvetica"/>
          <w:bCs/>
        </w:rPr>
        <w:t>.</w:t>
      </w:r>
    </w:p>
    <w:p w14:paraId="5523F845" w14:textId="6C50247C" w:rsidP="00B22889" w:rsidR="00B22889" w:rsidRDefault="00B22889">
      <w:pPr>
        <w:jc w:val="both"/>
        <w:rPr>
          <w:rFonts w:ascii="Helvetica" w:cs="Helvetica" w:hAnsi="Helvetica"/>
          <w:bCs/>
        </w:rPr>
      </w:pPr>
      <w:r w:rsidRPr="00B22889">
        <w:rPr>
          <w:rFonts w:ascii="Helvetica" w:cs="Helvetica" w:hAnsi="Helvetica"/>
          <w:bCs/>
        </w:rPr>
        <w:t xml:space="preserve">L'engagement du groupe porte également sur une réduction des écarts femmes/hommes, en termes de </w:t>
      </w:r>
      <w:r w:rsidR="00BD0597">
        <w:rPr>
          <w:rFonts w:ascii="Helvetica" w:cs="Helvetica" w:hAnsi="Helvetica"/>
          <w:bCs/>
        </w:rPr>
        <w:t xml:space="preserve">rémunération, de </w:t>
      </w:r>
      <w:r w:rsidRPr="00B22889">
        <w:rPr>
          <w:rFonts w:ascii="Helvetica" w:cs="Helvetica" w:hAnsi="Helvetica"/>
          <w:bCs/>
        </w:rPr>
        <w:t>déroulement de carrière, de promotion, de formation</w:t>
      </w:r>
      <w:r w:rsidR="00BD0597">
        <w:rPr>
          <w:rFonts w:ascii="Helvetica" w:cs="Helvetica" w:hAnsi="Helvetica"/>
          <w:bCs/>
        </w:rPr>
        <w:t>. P</w:t>
      </w:r>
      <w:r w:rsidR="00C35D18">
        <w:rPr>
          <w:rFonts w:ascii="Helvetica" w:cs="Helvetica" w:hAnsi="Helvetica"/>
          <w:bCs/>
        </w:rPr>
        <w:t>reuve en est au regard de l’index égalité Hommes / femmes de CONVIVIO HR pour l’année 202</w:t>
      </w:r>
      <w:r w:rsidR="009971DA">
        <w:rPr>
          <w:rFonts w:ascii="Helvetica" w:cs="Helvetica" w:hAnsi="Helvetica"/>
          <w:bCs/>
        </w:rPr>
        <w:t>2, avec 93 points sur 100</w:t>
      </w:r>
      <w:r w:rsidR="00C35D18">
        <w:rPr>
          <w:rFonts w:ascii="Helvetica" w:cs="Helvetica" w:hAnsi="Helvetica"/>
          <w:bCs/>
        </w:rPr>
        <w:t>.</w:t>
      </w:r>
    </w:p>
    <w:p w14:paraId="67D2BCD3" w14:textId="77777777" w:rsidP="00B22889" w:rsidR="00C35D18" w:rsidRDefault="00C35D18" w:rsidRPr="00B22889">
      <w:pPr>
        <w:jc w:val="both"/>
        <w:rPr>
          <w:rFonts w:ascii="Helvetica" w:cs="Helvetica" w:hAnsi="Helvetica"/>
          <w:bCs/>
        </w:rPr>
      </w:pPr>
    </w:p>
    <w:p w14:paraId="5FF85844" w14:textId="3BAF611A" w:rsidP="00B22889" w:rsidR="00B22889" w:rsidRDefault="00B22889" w:rsidRPr="00B22889">
      <w:pPr>
        <w:jc w:val="both"/>
        <w:rPr>
          <w:rFonts w:ascii="Helvetica" w:cs="Helvetica" w:hAnsi="Helvetica"/>
          <w:bCs/>
        </w:rPr>
      </w:pPr>
      <w:r w:rsidRPr="00B22889">
        <w:rPr>
          <w:rFonts w:ascii="Helvetica" w:cs="Helvetica" w:hAnsi="Helvetica"/>
          <w:bCs/>
          <w:noProof/>
          <w:lang w:eastAsia="fr-FR"/>
        </w:rPr>
        <mc:AlternateContent>
          <mc:Choice Requires="wpg">
            <w:drawing>
              <wp:anchor allowOverlap="1" behindDoc="0" distB="0" distL="114300" distR="114300" distT="0" layoutInCell="1" locked="0" relativeHeight="251667456" simplePos="0" wp14:anchorId="7F29A2BF" wp14:editId="7B55679A">
                <wp:simplePos x="0" y="0"/>
                <wp:positionH relativeFrom="page">
                  <wp:posOffset>963168</wp:posOffset>
                </wp:positionH>
                <wp:positionV relativeFrom="page">
                  <wp:posOffset>10073465</wp:posOffset>
                </wp:positionV>
                <wp:extent cx="1712976" cy="12195"/>
                <wp:effectExtent b="0" l="0" r="0" t="0"/>
                <wp:wrapTopAndBottom/>
                <wp:docPr id="7" name="Group 58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976" cy="12195"/>
                          <a:chOff x="0" y="0"/>
                          <a:chExt cx="1712976" cy="12195"/>
                        </a:xfrm>
                      </wpg:grpSpPr>
                      <wps:wsp>
                        <wps:cNvPr id="8" name="Shape 58921"/>
                        <wps:cNvSpPr/>
                        <wps:spPr>
                          <a:xfrm>
                            <a:off x="0" y="0"/>
                            <a:ext cx="1712976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5" w="1712976">
                                <a:moveTo>
                                  <a:pt x="0" y="6098"/>
                                </a:moveTo>
                                <a:lnTo>
                                  <a:pt x="1712976" y="6098"/>
                                </a:lnTo>
                              </a:path>
                            </a:pathLst>
                          </a:custGeom>
                          <a:ln cap="flat" w="12195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  <w:pict>
              <v:group coordsize="17129,121" id="Group 589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nXuTRQIAAKQFAAAOAAAAZHJzL2Uyb0RvYy54bWykVMlu2zAQvRfoPxC6x5IMxLEFyzk0qS9F GzTJB9AUKQngBpK27L/vcGTJigOkQOIDPRRne2+W9f1RSXLgzrdGl0k+yxLCNTNVq+syeX35ebNM iA9UV1QazcvkxH1yv/n+bd3Zgs9NY2TFHQEn2hedLZMmBFukqWcNV9TPjOUaHoVxiga4ujqtHO3A u5LpPMsWaWdcZZ1h3Hv4+tA/Jhv0LwRn4Y8QngciywRyC3g6PHfxTDdrWtSO2qZl5zToJ7JQtNUQ dHT1QAMle9e+c6Va5ow3IsyYUakRomUcMQCaPLtCs3VmbxFLXXS1HWkCaq94+rRb9vuwdfbZPjlg orM1cIG3iOUonIr/kCU5ImWnkTJ+DITBx/wun6/uFglh8JbP89VtTylrgPd3Vqx5/NAuHYKmb1Lp LDSHv+D3X8P/3FDLkVZfAP4nR9qqTKBRNVXQovhMbpereR6xxOCgNVLkCw9sfY2fESct2N6HLTdI ND388qHvyGqQaDNI7KgH0UFff9jRloZoF7OMIukmlWqGQsVXZQ78xaBeuJRrka2WETvkeVGQeqo4 Fh7qPlHvlcAuhkUHYyrwcQpWaswKW4YwCrMvJA04RKoNsBRkqyDTLP7OuUgNHmM9+gqgFE6Sx/Sl /ssFFDL2JDrxrt79kI4caBz9t25ANdqIVsrRKvuP1Vk52nFcLNeW7Byw3y4wo7Bvhh0D2EcjjGx0 GO01bEZEOAEUxZ2pTjiXiBkGANHjKkBmz2sr7prpHbUuy3XzDwAA//8DAFBLAwQUAAYACAAAACEA 59QWOuIAAAANAQAADwAAAGRycy9kb3ducmV2LnhtbEyPwW7CMBBE75X6D9ZW6q04BkKjEAch1PaE KgGVKm5LvCQRsR3FJgl/X9NLe9vZHc2+yVajblhPnautkSAmETAyhVW1KSV8Hd5fEmDOo1HYWEMS buRglT8+ZJgqO5gd9XtfshBiXIoSKu/blHNXVKTRTWxLJtzOttPog+xKrjocQrhu+DSKFlxjbcKH ClvaVFRc9lct4WPAYT0Tb/32ct7cjof483srSMrnp3G9BOZp9H9muOMHdMgD08lejXKsCToWr8F6 H5LFHFiwzKciBnb6XSUz4HnG/7fIfwAAAP//AwBQSwECLQAUAAYACAAAACEAtoM4kv4AAADhAQAA EwAAAAAAAAAAAAAAAAAAAAAAW0NvbnRlbnRfVHlwZXNdLnhtbFBLAQItABQABgAIAAAAIQA4/SH/ 1gAAAJQBAAALAAAAAAAAAAAAAAAAAC8BAABfcmVscy8ucmVsc1BLAQItABQABgAIAAAAIQDRnXuT RQIAAKQFAAAOAAAAAAAAAAAAAAAAAC4CAABkcnMvZTJvRG9jLnhtbFBLAQItABQABgAIAAAAIQDn 1BY64gAAAA0BAAAPAAAAAAAAAAAAAAAAAJ8EAABkcnMvZG93bnJldi54bWxQSwUGAAAAAAQABADz AAAArgUAAAAA " o:spid="_x0000_s1026" style="position:absolute;margin-left:75.85pt;margin-top:793.2pt;width:134.9pt;height:.95pt;z-index:251667456;mso-position-horizontal-relative:page;mso-position-vertical-relative:page" w14:anchorId="745EFFE1">
                <v:shape coordsize="1712976,12195" filled="f" id="Shape 5892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ANj7vgAAANoAAAAPAAAAZHJzL2Rvd25yZXYueG1sRE/LisIw FN0P+A/hCu7GVGUGqUZRQXQ5vhB31+baVpubkkStf28WwiwP5z2eNqYSD3K+tKyg101AEGdWl5wr 2O+W30MQPiBrrCyTghd5mE5aX2NMtX3yhh7bkIsYwj5FBUUIdSqlzwoy6Lu2Jo7cxTqDIUKXS+3w GcNNJftJ8isNlhwbCqxpUVB2296Ngis1fnU+nkr/4y7z02F/+Buse0p12s1sBCJQE/7FH/daK4hb 45V4A+TkDQAA//8DAFBLAQItABQABgAIAAAAIQDb4fbL7gAAAIUBAAATAAAAAAAAAAAAAAAAAAAA AABbQ29udGVudF9UeXBlc10ueG1sUEsBAi0AFAAGAAgAAAAhAFr0LFu/AAAAFQEAAAsAAAAAAAAA AAAAAAAAHwEAAF9yZWxzLy5yZWxzUEsBAi0AFAAGAAgAAAAhAG8A2Pu+AAAA2gAAAA8AAAAAAAAA AAAAAAAABwIAAGRycy9kb3ducmV2LnhtbFBLBQYAAAAAAwADALcAAADyAgAAAAA= " o:spid="_x0000_s1027" path="m,6098r1712976,e" strokeweight=".33875mm" style="position:absolute;width:17129;height:121;visibility:visible;mso-wrap-style:square;v-text-anchor:top">
                  <v:stroke joinstyle="miter" miterlimit="1"/>
                  <v:path arrowok="t" textboxrect="0,0,1712976,12195"/>
                </v:shape>
                <w10:wrap anchorx="page" anchory="page" type="topAndBottom"/>
              </v:group>
            </w:pict>
          </mc:Fallback>
        </mc:AlternateContent>
      </w:r>
      <w:r w:rsidR="00C35D18">
        <w:rPr>
          <w:rFonts w:ascii="Helvetica" w:cs="Helvetica" w:hAnsi="Helvetica"/>
          <w:bCs/>
        </w:rPr>
        <w:t>Par ailleurs, il convient de rappeler que l</w:t>
      </w:r>
      <w:r w:rsidRPr="00B22889">
        <w:rPr>
          <w:rFonts w:ascii="Helvetica" w:cs="Helvetica" w:hAnsi="Helvetica"/>
          <w:bCs/>
        </w:rPr>
        <w:t>a rémunération actuelle des collaborateurs est constituée d'un salaire de base, de l'avantage en nature repas, de la fourniture et de l'entretien des tenues professionnelles et d'un 13ème mois</w:t>
      </w:r>
      <w:r w:rsidR="00C35D18">
        <w:rPr>
          <w:rFonts w:ascii="Helvetica" w:cs="Helvetica" w:hAnsi="Helvetica"/>
          <w:bCs/>
        </w:rPr>
        <w:t xml:space="preserve">. Rémunération à laquelle </w:t>
      </w:r>
      <w:r w:rsidRPr="00B22889">
        <w:rPr>
          <w:rFonts w:ascii="Helvetica" w:cs="Helvetica" w:hAnsi="Helvetica"/>
          <w:bCs/>
        </w:rPr>
        <w:t xml:space="preserve">peut se rajouter des </w:t>
      </w:r>
      <w:proofErr w:type="gramStart"/>
      <w:r w:rsidRPr="00B22889">
        <w:rPr>
          <w:rFonts w:ascii="Helvetica" w:cs="Helvetica" w:hAnsi="Helvetica"/>
          <w:bCs/>
        </w:rPr>
        <w:t>annexes</w:t>
      </w:r>
      <w:proofErr w:type="gramEnd"/>
      <w:r w:rsidRPr="00B22889">
        <w:rPr>
          <w:rFonts w:ascii="Helvetica" w:cs="Helvetica" w:hAnsi="Helvetica"/>
          <w:bCs/>
        </w:rPr>
        <w:t xml:space="preserve"> </w:t>
      </w:r>
      <w:r w:rsidR="00C35D18">
        <w:rPr>
          <w:rFonts w:ascii="Helvetica" w:cs="Helvetica" w:hAnsi="Helvetica"/>
          <w:bCs/>
        </w:rPr>
        <w:t>au salaire tels que la</w:t>
      </w:r>
      <w:r w:rsidRPr="00B22889">
        <w:rPr>
          <w:rFonts w:ascii="Helvetica" w:cs="Helvetica" w:hAnsi="Helvetica"/>
          <w:bCs/>
        </w:rPr>
        <w:t xml:space="preserve"> prime d'ancienneté</w:t>
      </w:r>
      <w:r w:rsidR="00C35D18">
        <w:rPr>
          <w:rFonts w:ascii="Helvetica" w:cs="Helvetica" w:hAnsi="Helvetica"/>
          <w:bCs/>
        </w:rPr>
        <w:t>, les</w:t>
      </w:r>
      <w:r w:rsidRPr="00B22889">
        <w:rPr>
          <w:rFonts w:ascii="Helvetica" w:cs="Helvetica" w:hAnsi="Helvetica"/>
          <w:bCs/>
        </w:rPr>
        <w:t xml:space="preserve"> jours supplémentaires d'ancienneté, </w:t>
      </w:r>
      <w:r w:rsidR="00C35D18">
        <w:rPr>
          <w:rFonts w:ascii="Helvetica" w:cs="Helvetica" w:hAnsi="Helvetica"/>
          <w:bCs/>
        </w:rPr>
        <w:t xml:space="preserve">ou encore </w:t>
      </w:r>
      <w:r w:rsidRPr="00B22889">
        <w:rPr>
          <w:rFonts w:ascii="Helvetica" w:cs="Helvetica" w:hAnsi="Helvetica"/>
          <w:bCs/>
        </w:rPr>
        <w:t>une prime de participation aux bénéficies si les résultats de l'entreprise le permettent.</w:t>
      </w:r>
    </w:p>
    <w:p w14:paraId="555F0371" w14:textId="505DBD89" w:rsidP="00B22889" w:rsidR="00B22889" w:rsidRDefault="00B22889">
      <w:pPr>
        <w:jc w:val="both"/>
        <w:rPr>
          <w:rFonts w:ascii="Helvetica" w:cs="Helvetica" w:hAnsi="Helvetica"/>
          <w:bCs/>
        </w:rPr>
      </w:pPr>
      <w:r w:rsidRPr="00B22889">
        <w:rPr>
          <w:rFonts w:ascii="Helvetica" w:cs="Helvetica" w:hAnsi="Helvetica"/>
          <w:bCs/>
        </w:rPr>
        <w:t xml:space="preserve">Ces composantes de la rémunération sont à apprécier positivement et sont généralement supérieures </w:t>
      </w:r>
      <w:r w:rsidR="00644FB4">
        <w:rPr>
          <w:rFonts w:ascii="Helvetica" w:cs="Helvetica" w:hAnsi="Helvetica"/>
          <w:bCs/>
        </w:rPr>
        <w:t>à celles</w:t>
      </w:r>
      <w:r w:rsidRPr="00B22889">
        <w:rPr>
          <w:rFonts w:ascii="Helvetica" w:cs="Helvetica" w:hAnsi="Helvetica"/>
          <w:bCs/>
        </w:rPr>
        <w:t xml:space="preserve"> d'autres activités de restauration et de service qui ne proposent pas les mêmes conditions pour des fonctions similaires.</w:t>
      </w:r>
    </w:p>
    <w:p w14:paraId="20D7A537" w14:textId="77777777" w:rsidP="00B22889" w:rsidR="00C35D18" w:rsidRDefault="00C35D18" w:rsidRPr="00B22889">
      <w:pPr>
        <w:jc w:val="both"/>
        <w:rPr>
          <w:rFonts w:ascii="Helvetica" w:cs="Helvetica" w:hAnsi="Helvetica"/>
          <w:bCs/>
        </w:rPr>
      </w:pPr>
    </w:p>
    <w:p w14:paraId="3913DE9E" w14:textId="6291B134" w:rsidP="00B22889" w:rsidR="00B22889" w:rsidRDefault="00C35D18" w:rsidRPr="00B22889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lastRenderedPageBreak/>
        <w:t xml:space="preserve">La société </w:t>
      </w:r>
      <w:r w:rsidR="00B22889" w:rsidRPr="00B22889">
        <w:rPr>
          <w:rFonts w:ascii="Helvetica" w:cs="Helvetica" w:hAnsi="Helvetica"/>
          <w:bCs/>
        </w:rPr>
        <w:t xml:space="preserve">Convivio </w:t>
      </w:r>
      <w:r>
        <w:rPr>
          <w:rFonts w:ascii="Helvetica" w:cs="Helvetica" w:hAnsi="Helvetica"/>
          <w:bCs/>
        </w:rPr>
        <w:t xml:space="preserve">HR souhaite également </w:t>
      </w:r>
      <w:r w:rsidR="00B22889" w:rsidRPr="00B22889">
        <w:rPr>
          <w:rFonts w:ascii="Helvetica" w:cs="Helvetica" w:hAnsi="Helvetica"/>
          <w:bCs/>
        </w:rPr>
        <w:t xml:space="preserve">poursuivre ses engagements </w:t>
      </w:r>
      <w:r w:rsidR="004D1302">
        <w:rPr>
          <w:rFonts w:ascii="Helvetica" w:cs="Helvetica" w:hAnsi="Helvetica"/>
          <w:bCs/>
        </w:rPr>
        <w:t>en termes de</w:t>
      </w:r>
      <w:r w:rsidR="00B22889" w:rsidRPr="00B22889">
        <w:rPr>
          <w:rFonts w:ascii="Helvetica" w:cs="Helvetica" w:hAnsi="Helvetica"/>
          <w:bCs/>
        </w:rPr>
        <w:t xml:space="preserve"> développement des compétences et donc la formation, la voie de l'évolution promotionnelle, qui permet par la prise de responsabilité, une augmentation de la rémunération et une reconnaissance d'un savoir-faire maîtrisée.</w:t>
      </w:r>
    </w:p>
    <w:p w14:paraId="4A5021B3" w14:textId="5789DE5A" w:rsidP="00B22889" w:rsidR="00B22889" w:rsidRDefault="00B22889">
      <w:pPr>
        <w:jc w:val="both"/>
        <w:rPr>
          <w:rFonts w:ascii="Helvetica" w:cs="Helvetica" w:hAnsi="Helvetica"/>
          <w:bCs/>
        </w:rPr>
      </w:pPr>
      <w:r w:rsidRPr="00B22889">
        <w:rPr>
          <w:rFonts w:ascii="Helvetica" w:cs="Helvetica" w:hAnsi="Helvetica"/>
          <w:bCs/>
        </w:rPr>
        <w:t>Convivio maintient un investissement fort dans cette démarche en poursuivant et actualisant le contenu de sa démarche et le déploiement des CQP.</w:t>
      </w:r>
    </w:p>
    <w:p w14:paraId="5F23FA23" w14:textId="023FE995" w:rsidP="00B22889" w:rsidR="0008544A" w:rsidRDefault="0008544A">
      <w:pPr>
        <w:jc w:val="both"/>
        <w:rPr>
          <w:rFonts w:ascii="Helvetica" w:cs="Helvetica" w:hAnsi="Helvetica"/>
          <w:bCs/>
        </w:rPr>
      </w:pPr>
    </w:p>
    <w:p w14:paraId="71F44912" w14:textId="662267CF" w:rsidP="00B22889" w:rsidR="009971DA" w:rsidRDefault="0008544A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 xml:space="preserve">Toutefois, </w:t>
      </w:r>
      <w:r w:rsidR="009971DA">
        <w:rPr>
          <w:rFonts w:ascii="Helvetica" w:cs="Helvetica" w:hAnsi="Helvetica"/>
          <w:bCs/>
        </w:rPr>
        <w:t>bien que le</w:t>
      </w:r>
      <w:r>
        <w:rPr>
          <w:rFonts w:ascii="Helvetica" w:cs="Helvetica" w:hAnsi="Helvetica"/>
          <w:bCs/>
        </w:rPr>
        <w:t xml:space="preserve"> contexte économique et social du Groupe CONVIVIO et de sa société </w:t>
      </w:r>
      <w:r w:rsidR="009971DA">
        <w:rPr>
          <w:rFonts w:ascii="Helvetica" w:cs="Helvetica" w:hAnsi="Helvetica"/>
          <w:bCs/>
        </w:rPr>
        <w:t>CONVIVIO-</w:t>
      </w:r>
      <w:r>
        <w:rPr>
          <w:rFonts w:ascii="Helvetica" w:cs="Helvetica" w:hAnsi="Helvetica"/>
          <w:bCs/>
        </w:rPr>
        <w:t>HR</w:t>
      </w:r>
      <w:r w:rsidR="009971DA">
        <w:rPr>
          <w:rFonts w:ascii="Helvetica" w:cs="Helvetica" w:hAnsi="Helvetica"/>
          <w:bCs/>
        </w:rPr>
        <w:t xml:space="preserve"> soit difficile</w:t>
      </w:r>
      <w:r>
        <w:rPr>
          <w:rFonts w:ascii="Helvetica" w:cs="Helvetica" w:hAnsi="Helvetica"/>
          <w:bCs/>
        </w:rPr>
        <w:t xml:space="preserve">, la Direction propose tout de même une revalorisation des </w:t>
      </w:r>
      <w:r w:rsidR="009971DA">
        <w:rPr>
          <w:rFonts w:ascii="Helvetica" w:cs="Helvetica" w:hAnsi="Helvetica"/>
          <w:bCs/>
        </w:rPr>
        <w:t xml:space="preserve">salaires pour les </w:t>
      </w:r>
      <w:r>
        <w:rPr>
          <w:rFonts w:ascii="Helvetica" w:cs="Helvetica" w:hAnsi="Helvetica"/>
          <w:bCs/>
        </w:rPr>
        <w:t xml:space="preserve">collaborateurs </w:t>
      </w:r>
      <w:r w:rsidR="009971DA">
        <w:rPr>
          <w:rFonts w:ascii="Helvetica" w:cs="Helvetica" w:hAnsi="Helvetica"/>
          <w:bCs/>
        </w:rPr>
        <w:t>n’</w:t>
      </w:r>
      <w:r>
        <w:rPr>
          <w:rFonts w:ascii="Helvetica" w:cs="Helvetica" w:hAnsi="Helvetica"/>
          <w:bCs/>
        </w:rPr>
        <w:t xml:space="preserve">ayant </w:t>
      </w:r>
      <w:r w:rsidR="009971DA">
        <w:rPr>
          <w:rFonts w:ascii="Helvetica" w:cs="Helvetica" w:hAnsi="Helvetica"/>
          <w:bCs/>
        </w:rPr>
        <w:t xml:space="preserve">pas eu d’augmentation de leur taux horaire entre les mois de décembre 2021 et de janvier 2023. </w:t>
      </w:r>
      <w:r w:rsidR="00A23E9C">
        <w:rPr>
          <w:rFonts w:ascii="Helvetica" w:cs="Helvetica" w:hAnsi="Helvetica"/>
          <w:bCs/>
        </w:rPr>
        <w:t>Dans la limite de 5,3%, c</w:t>
      </w:r>
      <w:r w:rsidR="009971DA">
        <w:rPr>
          <w:rFonts w:ascii="Helvetica" w:cs="Helvetica" w:hAnsi="Helvetica"/>
          <w:bCs/>
        </w:rPr>
        <w:t>ette proposition s’applique également aux collaborateurs qui auraient eu une augmentation de salaire inférieure à l’inflation de l’année 2022, soit 5,3% (source Insee)</w:t>
      </w:r>
      <w:r w:rsidR="008D6816">
        <w:rPr>
          <w:rFonts w:ascii="Helvetica" w:cs="Helvetica" w:hAnsi="Helvetica"/>
          <w:bCs/>
        </w:rPr>
        <w:t xml:space="preserve">. Les collaborateurs ayant eu une augmentation de leur taux horaire supérieure à 5,3% </w:t>
      </w:r>
      <w:r w:rsidR="008D6816" w:rsidRPr="008D6816">
        <w:rPr>
          <w:rFonts w:ascii="Helvetica" w:cs="Helvetica" w:hAnsi="Helvetica"/>
          <w:bCs/>
        </w:rPr>
        <w:t>horaire sur cette même période (12/2021 à 01/2023)</w:t>
      </w:r>
      <w:r w:rsidR="008D6816">
        <w:rPr>
          <w:rFonts w:ascii="Helvetica" w:cs="Helvetica" w:hAnsi="Helvetica"/>
          <w:bCs/>
        </w:rPr>
        <w:t xml:space="preserve"> sont exclus de cette disposition,</w:t>
      </w:r>
      <w:r w:rsidR="009971DA">
        <w:rPr>
          <w:rFonts w:ascii="Helvetica" w:cs="Helvetica" w:hAnsi="Helvetica"/>
          <w:bCs/>
        </w:rPr>
        <w:t xml:space="preserve"> et ce</w:t>
      </w:r>
      <w:r w:rsidR="008D6816">
        <w:rPr>
          <w:rFonts w:ascii="Helvetica" w:cs="Helvetica" w:hAnsi="Helvetica"/>
          <w:bCs/>
        </w:rPr>
        <w:t>,</w:t>
      </w:r>
      <w:r w:rsidR="009971DA">
        <w:rPr>
          <w:rFonts w:ascii="Helvetica" w:cs="Helvetica" w:hAnsi="Helvetica"/>
          <w:bCs/>
        </w:rPr>
        <w:t xml:space="preserve"> </w:t>
      </w:r>
      <w:proofErr w:type="spellStart"/>
      <w:r w:rsidR="009971DA">
        <w:rPr>
          <w:rFonts w:ascii="Helvetica" w:cs="Helvetica" w:hAnsi="Helvetica"/>
          <w:bCs/>
        </w:rPr>
        <w:t>quelque</w:t>
      </w:r>
      <w:proofErr w:type="spellEnd"/>
      <w:r w:rsidR="009971DA">
        <w:rPr>
          <w:rFonts w:ascii="Helvetica" w:cs="Helvetica" w:hAnsi="Helvetica"/>
          <w:bCs/>
        </w:rPr>
        <w:t xml:space="preserve"> soit la source/raison de l’augmentation de leur taux</w:t>
      </w:r>
      <w:r w:rsidR="008D6816">
        <w:rPr>
          <w:rFonts w:ascii="Helvetica" w:cs="Helvetica" w:hAnsi="Helvetica"/>
          <w:bCs/>
        </w:rPr>
        <w:t xml:space="preserve"> horaire</w:t>
      </w:r>
      <w:r w:rsidR="009971DA">
        <w:rPr>
          <w:rFonts w:ascii="Helvetica" w:cs="Helvetica" w:hAnsi="Helvetica"/>
          <w:bCs/>
        </w:rPr>
        <w:t>.</w:t>
      </w:r>
    </w:p>
    <w:p w14:paraId="68F0BCF0" w14:textId="11B9BC03" w:rsidP="00B22889" w:rsidR="0008544A" w:rsidRDefault="00A23E9C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 xml:space="preserve">Cette mesure proposée par la Direction a principalement pour objet </w:t>
      </w:r>
      <w:r w:rsidR="0008544A">
        <w:rPr>
          <w:rFonts w:ascii="Helvetica" w:cs="Helvetica" w:hAnsi="Helvetica"/>
          <w:bCs/>
        </w:rPr>
        <w:t>de maintenir et développer le pouvoir d’achat</w:t>
      </w:r>
      <w:r>
        <w:rPr>
          <w:rFonts w:ascii="Helvetica" w:cs="Helvetica" w:hAnsi="Helvetica"/>
          <w:bCs/>
        </w:rPr>
        <w:t xml:space="preserve"> des salariés ayant eu moins que l’inflation en 2022</w:t>
      </w:r>
      <w:r w:rsidR="0008544A">
        <w:rPr>
          <w:rFonts w:ascii="Helvetica" w:cs="Helvetica" w:hAnsi="Helvetica"/>
          <w:bCs/>
        </w:rPr>
        <w:t>.</w:t>
      </w:r>
    </w:p>
    <w:p w14:paraId="3E098F23" w14:textId="51D3618E" w:rsidP="00B22889" w:rsidR="004865BA" w:rsidRDefault="004865BA">
      <w:pPr>
        <w:jc w:val="both"/>
        <w:rPr>
          <w:rFonts w:ascii="Helvetica" w:cs="Helvetica" w:hAnsi="Helvetica"/>
          <w:bCs/>
        </w:rPr>
      </w:pPr>
    </w:p>
    <w:p w14:paraId="35527581" w14:textId="77777777" w:rsidP="00B22889" w:rsidR="00990999" w:rsidRDefault="00990999">
      <w:pPr>
        <w:jc w:val="both"/>
        <w:rPr>
          <w:rFonts w:ascii="Helvetica" w:cs="Helvetica" w:hAnsi="Helvetica"/>
          <w:bCs/>
        </w:rPr>
      </w:pPr>
    </w:p>
    <w:p w14:paraId="125C7AA9" w14:textId="23451D62" w:rsidP="00990999" w:rsidR="004865BA" w:rsidRDefault="00990999" w:rsidRPr="00EB3096">
      <w:pPr>
        <w:pStyle w:val="Paragraphedeliste"/>
        <w:numPr>
          <w:ilvl w:val="0"/>
          <w:numId w:val="8"/>
        </w:numPr>
        <w:jc w:val="both"/>
        <w:rPr>
          <w:rFonts w:ascii="Helvetica" w:cs="Helvetica" w:hAnsi="Helvetica"/>
          <w:b/>
          <w:bCs/>
          <w:sz w:val="24"/>
          <w:szCs w:val="24"/>
          <w:u w:val="single"/>
        </w:rPr>
      </w:pPr>
      <w:r w:rsidRPr="00EB3096">
        <w:rPr>
          <w:rFonts w:ascii="Helvetica" w:cs="Helvetica" w:hAnsi="Helvetica"/>
          <w:b/>
          <w:bCs/>
          <w:sz w:val="24"/>
          <w:szCs w:val="24"/>
          <w:u w:val="single"/>
        </w:rPr>
        <w:t>Accord NAO 2023</w:t>
      </w:r>
      <w:r w:rsidR="00EB3096" w:rsidRPr="00EB3096">
        <w:rPr>
          <w:rFonts w:ascii="Helvetica" w:cs="Helvetica" w:hAnsi="Helvetica"/>
          <w:b/>
          <w:bCs/>
          <w:sz w:val="24"/>
          <w:szCs w:val="24"/>
        </w:rPr>
        <w:t> :</w:t>
      </w:r>
    </w:p>
    <w:p w14:paraId="50836410" w14:textId="77777777" w:rsidP="00B22889" w:rsidR="00054DB0" w:rsidRDefault="00054DB0">
      <w:pPr>
        <w:jc w:val="both"/>
        <w:rPr>
          <w:rFonts w:ascii="Helvetica" w:cs="Helvetica" w:hAnsi="Helvetica"/>
          <w:bCs/>
        </w:rPr>
      </w:pPr>
    </w:p>
    <w:p w14:paraId="0DF22C42" w14:textId="6F8081AC" w:rsidP="004F5440" w:rsidR="00054DB0" w:rsidRDefault="00BF10BC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 w:rsidRPr="004F5440">
        <w:rPr>
          <w:rFonts w:ascii="Helvetica" w:cs="Helvetica" w:hAnsi="Helvetica"/>
          <w:bCs/>
        </w:rPr>
        <w:t>Augmentation des salaires :</w:t>
      </w:r>
    </w:p>
    <w:p w14:paraId="6A27507E" w14:textId="40BF7CFA" w:rsidP="002A3F82" w:rsidR="002A3F82" w:rsidRDefault="002A3F82" w:rsidRPr="00360BDD">
      <w:pPr>
        <w:jc w:val="both"/>
        <w:rPr>
          <w:rFonts w:ascii="Helvetica" w:cs="Helvetica" w:hAnsi="Helvetica"/>
          <w:bCs/>
        </w:rPr>
      </w:pPr>
      <w:r w:rsidRPr="00360BDD">
        <w:rPr>
          <w:rFonts w:ascii="Helvetica" w:cs="Helvetica" w:hAnsi="Helvetica"/>
          <w:bCs/>
        </w:rPr>
        <w:t>Augmentation générale de 1,5% pour les salariés de la société CONVIVIO-</w:t>
      </w:r>
      <w:r w:rsidR="00EC1E62">
        <w:rPr>
          <w:rFonts w:ascii="Helvetica" w:cs="Helvetica" w:hAnsi="Helvetica"/>
          <w:bCs/>
        </w:rPr>
        <w:t>HR</w:t>
      </w:r>
      <w:r w:rsidRPr="00360BDD">
        <w:rPr>
          <w:rFonts w:ascii="Helvetica" w:cs="Helvetica" w:hAnsi="Helvetica"/>
          <w:bCs/>
        </w:rPr>
        <w:t xml:space="preserve"> qui </w:t>
      </w:r>
      <w:r>
        <w:rPr>
          <w:rFonts w:ascii="Helvetica" w:cs="Helvetica" w:hAnsi="Helvetica"/>
          <w:bCs/>
        </w:rPr>
        <w:t>ont</w:t>
      </w:r>
      <w:r w:rsidRPr="00360BDD">
        <w:rPr>
          <w:rFonts w:ascii="Helvetica" w:cs="Helvetica" w:hAnsi="Helvetica"/>
          <w:bCs/>
        </w:rPr>
        <w:t xml:space="preserve"> eu une augmentation de salaire inférieure à l’inflation de l’année 2022, soit 5,3% (source Insee) sur la période « décembre 2021 à janvier 2023 » (augmentations cumulées sur </w:t>
      </w:r>
      <w:r w:rsidR="00130FE3" w:rsidRPr="00360BDD">
        <w:rPr>
          <w:rFonts w:ascii="Helvetica" w:cs="Helvetica" w:hAnsi="Helvetica"/>
          <w:bCs/>
        </w:rPr>
        <w:t>cette même période plafonnée</w:t>
      </w:r>
      <w:r w:rsidRPr="00360BDD">
        <w:rPr>
          <w:rFonts w:ascii="Helvetica" w:cs="Helvetica" w:hAnsi="Helvetica"/>
          <w:bCs/>
        </w:rPr>
        <w:t xml:space="preserve"> à 5,3%).</w:t>
      </w:r>
      <w:r>
        <w:rPr>
          <w:rFonts w:ascii="Helvetica" w:cs="Helvetica" w:hAnsi="Helvetica"/>
          <w:bCs/>
        </w:rPr>
        <w:t xml:space="preserve"> Sous réserve des conditions précitées, cette mesure concerne les collaborateurs présents depuis décembre 2021 et encore salariés en mars 2023. Elle prend effet au 01</w:t>
      </w:r>
      <w:r w:rsidRPr="000D0804">
        <w:rPr>
          <w:rFonts w:ascii="Helvetica" w:cs="Helvetica" w:hAnsi="Helvetica"/>
          <w:bCs/>
          <w:vertAlign w:val="superscript"/>
        </w:rPr>
        <w:t>er</w:t>
      </w:r>
      <w:r>
        <w:rPr>
          <w:rFonts w:ascii="Helvetica" w:cs="Helvetica" w:hAnsi="Helvetica"/>
          <w:bCs/>
        </w:rPr>
        <w:t xml:space="preserve"> mars 2023.</w:t>
      </w:r>
    </w:p>
    <w:p w14:paraId="3B27CFB0" w14:textId="01575E3F" w:rsidP="004F5440" w:rsidR="00003C9D" w:rsidRDefault="00003C9D">
      <w:pPr>
        <w:jc w:val="both"/>
        <w:rPr>
          <w:rFonts w:ascii="Helvetica" w:cs="Helvetica" w:hAnsi="Helvetica"/>
          <w:bCs/>
        </w:rPr>
      </w:pPr>
    </w:p>
    <w:p w14:paraId="0FC7390F" w14:textId="0626FBCA" w:rsidP="00003C9D" w:rsidR="00003C9D" w:rsidRDefault="00003C9D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Mise en place d’un accord d’intéressement :</w:t>
      </w:r>
    </w:p>
    <w:p w14:paraId="209632A7" w14:textId="21EBDFA6" w:rsidP="004F5440" w:rsidR="00003C9D" w:rsidRDefault="00003C9D" w:rsidRPr="004F5440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Revendication non-retenue au regard de la situation économique et des résultats insuffisants de la société CONVIVIO-HR.</w:t>
      </w:r>
    </w:p>
    <w:p w14:paraId="45CB7216" w14:textId="2F64618B" w:rsidP="00003C9D" w:rsidR="00DD1DD3" w:rsidRDefault="00DD1DD3">
      <w:pPr>
        <w:rPr>
          <w:rFonts w:ascii="Helvetica" w:cs="Helvetica" w:hAnsi="Helvetica"/>
          <w:bCs/>
        </w:rPr>
      </w:pPr>
    </w:p>
    <w:p w14:paraId="38FEE1E5" w14:textId="3C230E90" w:rsidP="00AD5355" w:rsidR="00AD5355" w:rsidRDefault="00AD5355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Mise en place de la subrogation :</w:t>
      </w:r>
    </w:p>
    <w:p w14:paraId="27F280B5" w14:textId="06599D95" w:rsidP="00AD5355" w:rsidR="00AD5355" w:rsidRDefault="00AD5355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Revendication non-retenue en raison de la complexité à gérer la subrogation au sein la société ; complexité due en partie au manque d’outils informatique SIRH et de ressources humaines dans les services RH et paie.</w:t>
      </w:r>
    </w:p>
    <w:p w14:paraId="31BCE171" w14:textId="0AF13A92" w:rsidP="00AD5355" w:rsidR="00AD5355" w:rsidRDefault="00AD5355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lastRenderedPageBreak/>
        <w:t>Versement du 13</w:t>
      </w:r>
      <w:r w:rsidRPr="00AD5355">
        <w:rPr>
          <w:rFonts w:ascii="Helvetica" w:cs="Helvetica" w:hAnsi="Helvetica"/>
          <w:bCs/>
        </w:rPr>
        <w:t>ème</w:t>
      </w:r>
      <w:r>
        <w:rPr>
          <w:rFonts w:ascii="Helvetica" w:cs="Helvetica" w:hAnsi="Helvetica"/>
          <w:bCs/>
        </w:rPr>
        <w:t xml:space="preserve"> mois 50% sur le salaire d</w:t>
      </w:r>
      <w:bookmarkStart w:id="0" w:name="_GoBack"/>
      <w:bookmarkEnd w:id="0"/>
      <w:r>
        <w:rPr>
          <w:rFonts w:ascii="Helvetica" w:cs="Helvetica" w:hAnsi="Helvetica"/>
          <w:bCs/>
        </w:rPr>
        <w:t>e juin et 50% sur le salaire de novembre :</w:t>
      </w:r>
    </w:p>
    <w:p w14:paraId="4A411386" w14:textId="7EEDE972" w:rsidP="00AD5355" w:rsidR="00AD5355" w:rsidRDefault="00AD5355">
      <w:pPr>
        <w:jc w:val="both"/>
        <w:rPr>
          <w:rFonts w:ascii="Helvetica" w:cs="Helvetica" w:hAnsi="Helvetica"/>
          <w:bCs/>
        </w:rPr>
      </w:pPr>
      <w:bookmarkStart w:id="1" w:name="_Hlk129368002"/>
      <w:r>
        <w:rPr>
          <w:rFonts w:ascii="Helvetica" w:cs="Helvetica" w:hAnsi="Helvetica"/>
          <w:bCs/>
        </w:rPr>
        <w:t>Report de la réponse à la négociation Groupe relative à la QVT qui devrait s’ouvrir au courant du mois de mai 2023</w:t>
      </w:r>
    </w:p>
    <w:bookmarkEnd w:id="1"/>
    <w:p w14:paraId="0821B706" w14:textId="1077175B" w:rsidP="00AD5355" w:rsidR="00AD5355" w:rsidRDefault="00AD5355">
      <w:pPr>
        <w:jc w:val="both"/>
        <w:rPr>
          <w:rFonts w:ascii="Helvetica" w:cs="Helvetica" w:hAnsi="Helvetica"/>
          <w:bCs/>
        </w:rPr>
      </w:pPr>
    </w:p>
    <w:p w14:paraId="43C7BE0C" w14:textId="43D46CB4" w:rsidP="00AD5355" w:rsidR="00AD5355" w:rsidRDefault="00AD5355" w:rsidRPr="00AD5355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 w:rsidRPr="00AD5355">
        <w:rPr>
          <w:rFonts w:ascii="Helvetica" w:cs="Helvetica" w:hAnsi="Helvetica"/>
          <w:bCs/>
        </w:rPr>
        <w:t>Revalorisation de la PAC :</w:t>
      </w:r>
    </w:p>
    <w:p w14:paraId="6B588A84" w14:textId="563EF0CE" w:rsidP="00130FE3" w:rsidR="00AD5355" w:rsidRDefault="00AD5355">
      <w:pPr>
        <w:jc w:val="both"/>
        <w:rPr>
          <w:rFonts w:ascii="Helvetica" w:cs="Helvetica" w:hAnsi="Helvetica"/>
          <w:bCs/>
        </w:rPr>
      </w:pPr>
      <w:r w:rsidRPr="00AD5355">
        <w:rPr>
          <w:rFonts w:ascii="Helvetica" w:cs="Helvetica" w:hAnsi="Helvetica"/>
          <w:bCs/>
        </w:rPr>
        <w:t>Report de la réponse à la négociation Groupe relative à la QVT qui devrait s’ouvrir au courant du mois de mai 2023</w:t>
      </w:r>
    </w:p>
    <w:p w14:paraId="47A8F590" w14:textId="37E17047" w:rsidP="00AD5355" w:rsidR="00AD5355" w:rsidRDefault="00AD5355">
      <w:pPr>
        <w:rPr>
          <w:rFonts w:ascii="Helvetica" w:cs="Helvetica" w:hAnsi="Helvetica"/>
          <w:bCs/>
        </w:rPr>
      </w:pPr>
    </w:p>
    <w:p w14:paraId="5E9D1AE6" w14:textId="27C173E6" w:rsidP="00EC5257" w:rsidR="00AD5355" w:rsidRDefault="00AD5355" w:rsidRPr="00EC5257">
      <w:pPr>
        <w:pStyle w:val="Paragraphedeliste"/>
        <w:numPr>
          <w:ilvl w:val="0"/>
          <w:numId w:val="9"/>
        </w:numPr>
        <w:rPr>
          <w:rFonts w:ascii="Helvetica" w:cs="Helvetica" w:hAnsi="Helvetica"/>
          <w:bCs/>
        </w:rPr>
      </w:pPr>
      <w:r w:rsidRPr="00EC5257">
        <w:rPr>
          <w:rFonts w:ascii="Helvetica" w:cs="Helvetica" w:hAnsi="Helvetica"/>
          <w:bCs/>
        </w:rPr>
        <w:t>« Prime mutuelle » départ à la retraite :</w:t>
      </w:r>
    </w:p>
    <w:p w14:paraId="4BA264C7" w14:textId="79CCA305" w:rsidP="00B22889" w:rsidR="002423FB" w:rsidRDefault="00AD5355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D</w:t>
      </w:r>
      <w:r w:rsidR="002423FB">
        <w:rPr>
          <w:rFonts w:ascii="Helvetica" w:cs="Helvetica" w:hAnsi="Helvetica"/>
          <w:bCs/>
        </w:rPr>
        <w:t>ans l’esprit de la portabilité, l’entreprise versera à chaque salarié qui partira à la retraite</w:t>
      </w:r>
      <w:r w:rsidR="00F2590D">
        <w:rPr>
          <w:rFonts w:ascii="Helvetica" w:cs="Helvetica" w:hAnsi="Helvetica"/>
          <w:bCs/>
        </w:rPr>
        <w:t>,</w:t>
      </w:r>
      <w:r w:rsidR="002423FB">
        <w:rPr>
          <w:rFonts w:ascii="Helvetica" w:cs="Helvetica" w:hAnsi="Helvetica"/>
          <w:bCs/>
        </w:rPr>
        <w:t xml:space="preserve"> dans </w:t>
      </w:r>
      <w:r w:rsidR="00EC5257">
        <w:rPr>
          <w:rFonts w:ascii="Helvetica" w:cs="Helvetica" w:hAnsi="Helvetica"/>
          <w:bCs/>
        </w:rPr>
        <w:t>les 12 mois suivants</w:t>
      </w:r>
      <w:r w:rsidR="002423FB">
        <w:rPr>
          <w:rFonts w:ascii="Helvetica" w:cs="Helvetica" w:hAnsi="Helvetica"/>
          <w:bCs/>
        </w:rPr>
        <w:t xml:space="preserve"> la date de signature du présent accord</w:t>
      </w:r>
      <w:r w:rsidR="00EC5257">
        <w:rPr>
          <w:rFonts w:ascii="Helvetica" w:cs="Helvetica" w:hAnsi="Helvetica"/>
          <w:bCs/>
        </w:rPr>
        <w:t xml:space="preserve">. Cette </w:t>
      </w:r>
      <w:r w:rsidR="002423FB">
        <w:rPr>
          <w:rFonts w:ascii="Helvetica" w:cs="Helvetica" w:hAnsi="Helvetica"/>
          <w:bCs/>
        </w:rPr>
        <w:t xml:space="preserve">« prime mutuelle » </w:t>
      </w:r>
      <w:r w:rsidR="00EC5257">
        <w:rPr>
          <w:rFonts w:ascii="Helvetica" w:cs="Helvetica" w:hAnsi="Helvetica"/>
          <w:bCs/>
        </w:rPr>
        <w:t xml:space="preserve">sera </w:t>
      </w:r>
      <w:r w:rsidR="002423FB">
        <w:rPr>
          <w:rFonts w:ascii="Helvetica" w:cs="Helvetica" w:hAnsi="Helvetica"/>
          <w:bCs/>
        </w:rPr>
        <w:t xml:space="preserve">équivalente à la prise en charge pendant 12 mois de la </w:t>
      </w:r>
      <w:r w:rsidR="00EC5257">
        <w:rPr>
          <w:rFonts w:ascii="Helvetica" w:cs="Helvetica" w:hAnsi="Helvetica"/>
          <w:bCs/>
        </w:rPr>
        <w:t>cotisation « part</w:t>
      </w:r>
      <w:r w:rsidR="002423FB">
        <w:rPr>
          <w:rFonts w:ascii="Helvetica" w:cs="Helvetica" w:hAnsi="Helvetica"/>
          <w:bCs/>
        </w:rPr>
        <w:t xml:space="preserve"> employeur</w:t>
      </w:r>
      <w:r w:rsidR="00EC5257">
        <w:rPr>
          <w:rFonts w:ascii="Helvetica" w:cs="Helvetica" w:hAnsi="Helvetica"/>
          <w:bCs/>
        </w:rPr>
        <w:t> » du</w:t>
      </w:r>
      <w:r w:rsidR="002423FB">
        <w:rPr>
          <w:rFonts w:ascii="Helvetica" w:cs="Helvetica" w:hAnsi="Helvetica"/>
          <w:bCs/>
        </w:rPr>
        <w:t xml:space="preserve"> régime </w:t>
      </w:r>
      <w:r w:rsidR="00FA7E1E">
        <w:rPr>
          <w:rFonts w:ascii="Helvetica" w:cs="Helvetica" w:hAnsi="Helvetica"/>
          <w:bCs/>
        </w:rPr>
        <w:t>« salariés non cadres isolés régime Sécurité ».</w:t>
      </w:r>
    </w:p>
    <w:p w14:paraId="424A54CE" w14:textId="7A9A82A3" w:rsidP="00B22889" w:rsidR="00FA7E1E" w:rsidRDefault="00FA7E1E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 xml:space="preserve">Le montant </w:t>
      </w:r>
      <w:r w:rsidR="007E2AEC" w:rsidRPr="0064389B">
        <w:rPr>
          <w:rFonts w:ascii="Helvetica" w:cs="Helvetica" w:hAnsi="Helvetica"/>
          <w:bCs/>
        </w:rPr>
        <w:t>brut</w:t>
      </w:r>
      <w:r w:rsidR="007E2AEC">
        <w:rPr>
          <w:rFonts w:ascii="Helvetica" w:cs="Helvetica" w:hAnsi="Helvetica"/>
          <w:bCs/>
        </w:rPr>
        <w:t xml:space="preserve"> </w:t>
      </w:r>
      <w:r>
        <w:rPr>
          <w:rFonts w:ascii="Helvetica" w:cs="Helvetica" w:hAnsi="Helvetica"/>
          <w:bCs/>
        </w:rPr>
        <w:t>sera versé en une seule fois avec le solde de tout compte du salarié qui part à la retraite.</w:t>
      </w:r>
    </w:p>
    <w:p w14:paraId="6118CAF3" w14:textId="77777777" w:rsidP="00B22889" w:rsidR="00DD1DD3" w:rsidRDefault="00DD1DD3">
      <w:pPr>
        <w:jc w:val="both"/>
        <w:rPr>
          <w:rFonts w:ascii="Helvetica" w:cs="Helvetica" w:hAnsi="Helvetica"/>
          <w:bCs/>
        </w:rPr>
      </w:pPr>
    </w:p>
    <w:p w14:paraId="772648EA" w14:textId="2AC3F271" w:rsidP="00EC5257" w:rsidR="00376B1C" w:rsidRDefault="00EC5257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r w:rsidRPr="00EC5257">
        <w:rPr>
          <w:rFonts w:ascii="Helvetica" w:cs="Helvetica" w:hAnsi="Helvetica"/>
          <w:bCs/>
        </w:rPr>
        <w:t>Prise en charge de 20€ de la cotisation mutuelle :</w:t>
      </w:r>
    </w:p>
    <w:p w14:paraId="3A38A34E" w14:textId="04AEAB81" w:rsidP="00EC5257" w:rsidR="00EC5257" w:rsidRDefault="00732163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Revendication non-retenue par la Direction</w:t>
      </w:r>
    </w:p>
    <w:p w14:paraId="3BF6168E" w14:textId="6ACC233E" w:rsidP="00EC5257" w:rsidR="00732163" w:rsidRDefault="00732163">
      <w:pPr>
        <w:jc w:val="both"/>
        <w:rPr>
          <w:rFonts w:ascii="Helvetica" w:cs="Helvetica" w:hAnsi="Helvetica"/>
          <w:bCs/>
        </w:rPr>
      </w:pPr>
    </w:p>
    <w:p w14:paraId="347103AD" w14:textId="21A6752A" w:rsidP="00732163" w:rsidR="00732163" w:rsidRDefault="00732163" w:rsidRPr="00732163">
      <w:pPr>
        <w:pStyle w:val="Paragraphedeliste"/>
        <w:numPr>
          <w:ilvl w:val="0"/>
          <w:numId w:val="9"/>
        </w:numPr>
        <w:jc w:val="both"/>
        <w:rPr>
          <w:rFonts w:ascii="Helvetica" w:cs="Helvetica" w:hAnsi="Helvetica"/>
          <w:bCs/>
        </w:rPr>
      </w:pPr>
      <w:bookmarkStart w:id="2" w:name="_Hlk129600946"/>
      <w:r w:rsidRPr="00732163">
        <w:rPr>
          <w:rFonts w:ascii="Helvetica" w:cs="Helvetica" w:hAnsi="Helvetica"/>
          <w:bCs/>
        </w:rPr>
        <w:t>Prime d’ancienneté de 5% après 25 ans </w:t>
      </w:r>
      <w:bookmarkEnd w:id="2"/>
      <w:r w:rsidR="002A3F82">
        <w:rPr>
          <w:rFonts w:ascii="Helvetica" w:cs="Helvetica" w:hAnsi="Helvetica"/>
          <w:bCs/>
        </w:rPr>
        <w:t xml:space="preserve">et prime d’ancienneté cadres </w:t>
      </w:r>
      <w:r w:rsidRPr="00732163">
        <w:rPr>
          <w:rFonts w:ascii="Helvetica" w:cs="Helvetica" w:hAnsi="Helvetica"/>
          <w:bCs/>
        </w:rPr>
        <w:t>:</w:t>
      </w:r>
    </w:p>
    <w:p w14:paraId="30A720B5" w14:textId="50A31FCA" w:rsidP="00EC5257" w:rsidR="00732163" w:rsidRDefault="00694EBF">
      <w:pPr>
        <w:jc w:val="both"/>
        <w:rPr>
          <w:rFonts w:ascii="Helvetica" w:cs="Helvetica" w:hAnsi="Helvetica"/>
          <w:bCs/>
        </w:rPr>
      </w:pPr>
      <w:r w:rsidRPr="00694EBF">
        <w:rPr>
          <w:rFonts w:ascii="Helvetica" w:cs="Helvetica" w:hAnsi="Helvetica"/>
          <w:bCs/>
        </w:rPr>
        <w:t>Report de la réponse à la négociation Groupe relative à la QVT qui devrait s’ouvrir au courant du mois de mai 2023</w:t>
      </w:r>
    </w:p>
    <w:p w14:paraId="735D294F" w14:textId="0D44A34D" w:rsidP="006247E2" w:rsidR="00CE3E9D" w:rsidRDefault="00CE3E9D">
      <w:pPr>
        <w:jc w:val="both"/>
        <w:rPr>
          <w:rFonts w:ascii="Helvetica" w:cs="Helvetica" w:hAnsi="Helvetica"/>
          <w:bCs/>
        </w:rPr>
      </w:pPr>
    </w:p>
    <w:p w14:paraId="1D39792C" w14:textId="40EA494D" w:rsidP="006247E2" w:rsidR="00641750" w:rsidRDefault="00641750">
      <w:pPr>
        <w:jc w:val="both"/>
        <w:rPr>
          <w:rFonts w:ascii="Helvetica" w:cs="Helvetica" w:hAnsi="Helvetica"/>
          <w:bCs/>
        </w:rPr>
      </w:pPr>
    </w:p>
    <w:p w14:paraId="770AF147" w14:textId="3BB62AC2" w:rsidP="00641750" w:rsidR="00641750" w:rsidRDefault="00641750" w:rsidRPr="00641750">
      <w:pPr>
        <w:pStyle w:val="Paragraphedeliste"/>
        <w:numPr>
          <w:ilvl w:val="0"/>
          <w:numId w:val="8"/>
        </w:numPr>
        <w:jc w:val="both"/>
        <w:rPr>
          <w:rFonts w:ascii="Helvetica" w:cs="Helvetica" w:hAnsi="Helvetica"/>
          <w:b/>
          <w:bCs/>
          <w:sz w:val="24"/>
          <w:szCs w:val="24"/>
          <w:u w:val="single"/>
        </w:rPr>
      </w:pPr>
      <w:r w:rsidRPr="00641750">
        <w:rPr>
          <w:rFonts w:ascii="Helvetica" w:cs="Helvetica" w:hAnsi="Helvetica"/>
          <w:b/>
          <w:bCs/>
          <w:sz w:val="24"/>
          <w:szCs w:val="24"/>
          <w:u w:val="single"/>
        </w:rPr>
        <w:t xml:space="preserve">Dépôt et publicité </w:t>
      </w:r>
      <w:r w:rsidRPr="00EC1E62">
        <w:rPr>
          <w:rFonts w:ascii="Helvetica" w:cs="Helvetica" w:hAnsi="Helvetica"/>
          <w:b/>
          <w:bCs/>
          <w:sz w:val="24"/>
          <w:szCs w:val="24"/>
          <w:u w:val="single"/>
        </w:rPr>
        <w:t>de l’accord</w:t>
      </w:r>
    </w:p>
    <w:p w14:paraId="4B8BA5E8" w14:textId="3259A12C" w:rsidP="006247E2" w:rsidR="00641750" w:rsidRDefault="00641750">
      <w:pPr>
        <w:jc w:val="both"/>
        <w:rPr>
          <w:rFonts w:ascii="Helvetica" w:cs="Helvetica" w:hAnsi="Helvetica"/>
          <w:bCs/>
        </w:rPr>
      </w:pPr>
      <w:r w:rsidRPr="00EC1E62">
        <w:rPr>
          <w:rFonts w:ascii="Helvetica" w:cs="Helvetica" w:hAnsi="Helvetica"/>
          <w:bCs/>
        </w:rPr>
        <w:t>L’accord</w:t>
      </w:r>
      <w:r w:rsidR="00EC1E62">
        <w:rPr>
          <w:rFonts w:ascii="Helvetica" w:cs="Helvetica" w:hAnsi="Helvetica"/>
          <w:bCs/>
        </w:rPr>
        <w:t xml:space="preserve"> NAO</w:t>
      </w:r>
      <w:r>
        <w:rPr>
          <w:rFonts w:ascii="Helvetica" w:cs="Helvetica" w:hAnsi="Helvetica"/>
          <w:bCs/>
        </w:rPr>
        <w:t xml:space="preserve"> signé sera </w:t>
      </w:r>
      <w:r w:rsidRPr="00641750">
        <w:rPr>
          <w:rFonts w:ascii="Helvetica" w:cs="Helvetica" w:hAnsi="Helvetica"/>
          <w:bCs/>
        </w:rPr>
        <w:t>déposé</w:t>
      </w:r>
      <w:r w:rsidR="00EC1E62">
        <w:rPr>
          <w:rFonts w:ascii="Helvetica" w:cs="Helvetica" w:hAnsi="Helvetica"/>
          <w:bCs/>
        </w:rPr>
        <w:t xml:space="preserve"> par la Direction</w:t>
      </w:r>
      <w:r w:rsidRPr="00641750">
        <w:rPr>
          <w:rFonts w:ascii="Helvetica" w:cs="Helvetica" w:hAnsi="Helvetica"/>
          <w:bCs/>
        </w:rPr>
        <w:t xml:space="preserve"> sur la</w:t>
      </w:r>
      <w:r>
        <w:rPr>
          <w:rFonts w:ascii="Helvetica" w:cs="Helvetica" w:hAnsi="Helvetica"/>
          <w:bCs/>
        </w:rPr>
        <w:t xml:space="preserve"> </w:t>
      </w:r>
      <w:r w:rsidRPr="00641750">
        <w:rPr>
          <w:rFonts w:ascii="Helvetica" w:cs="Helvetica" w:hAnsi="Helvetica"/>
          <w:bCs/>
        </w:rPr>
        <w:t>plateforme</w:t>
      </w:r>
      <w:r>
        <w:rPr>
          <w:rFonts w:ascii="Helvetica" w:cs="Helvetica" w:hAnsi="Helvetica"/>
          <w:bCs/>
        </w:rPr>
        <w:t xml:space="preserve"> du Gouvernement :</w:t>
      </w:r>
      <w:r w:rsidRPr="00641750">
        <w:rPr>
          <w:rFonts w:ascii="Helvetica" w:cs="Helvetica" w:hAnsi="Helvetica"/>
          <w:bCs/>
        </w:rPr>
        <w:t> </w:t>
      </w:r>
      <w:hyperlink r:id="rId11" w:history="1">
        <w:r w:rsidRPr="00641750">
          <w:rPr>
            <w:rStyle w:val="Lienhypertexte"/>
            <w:rFonts w:ascii="Helvetica" w:cs="Helvetica" w:hAnsi="Helvetica"/>
            <w:bCs/>
          </w:rPr>
          <w:t>https://www.teleaccords.travail-emploi.gouv.fr/PortailTeleprocedures/</w:t>
        </w:r>
      </w:hyperlink>
      <w:r w:rsidRPr="00641750">
        <w:rPr>
          <w:rFonts w:ascii="Helvetica" w:cs="Helvetica" w:hAnsi="Helvetica"/>
          <w:bCs/>
        </w:rPr>
        <w:t>.</w:t>
      </w:r>
    </w:p>
    <w:p w14:paraId="2E94B611" w14:textId="20392C73" w:rsidP="006247E2" w:rsidR="00641750" w:rsidRDefault="00641750">
      <w:pPr>
        <w:jc w:val="both"/>
        <w:rPr>
          <w:rFonts w:ascii="Helvetica" w:cs="Helvetica" w:hAnsi="Helvetica"/>
          <w:bCs/>
        </w:rPr>
      </w:pPr>
      <w:r>
        <w:rPr>
          <w:rFonts w:ascii="Helvetica" w:cs="Helvetica" w:hAnsi="Helvetica"/>
          <w:bCs/>
        </w:rPr>
        <w:t>Il sera notifié aux organisations syndicales représentatives au sein de la société CONVIVIO</w:t>
      </w:r>
      <w:r w:rsidR="00EC1E62">
        <w:rPr>
          <w:rFonts w:ascii="Helvetica" w:cs="Helvetica" w:hAnsi="Helvetica"/>
          <w:bCs/>
        </w:rPr>
        <w:t>-HR</w:t>
      </w:r>
      <w:r>
        <w:rPr>
          <w:rFonts w:ascii="Helvetica" w:cs="Helvetica" w:hAnsi="Helvetica"/>
          <w:bCs/>
        </w:rPr>
        <w:t xml:space="preserve"> et </w:t>
      </w:r>
      <w:r w:rsidRPr="00641750">
        <w:rPr>
          <w:rFonts w:ascii="Helvetica" w:cs="Helvetica" w:hAnsi="Helvetica"/>
          <w:bCs/>
        </w:rPr>
        <w:t>communiqu</w:t>
      </w:r>
      <w:r>
        <w:rPr>
          <w:rFonts w:ascii="Helvetica" w:cs="Helvetica" w:hAnsi="Helvetica"/>
          <w:bCs/>
        </w:rPr>
        <w:t>é</w:t>
      </w:r>
      <w:r w:rsidRPr="00641750">
        <w:rPr>
          <w:rFonts w:ascii="Helvetica" w:cs="Helvetica" w:hAnsi="Helvetica"/>
          <w:bCs/>
        </w:rPr>
        <w:t xml:space="preserve"> aux salariés, par tout moyen </w:t>
      </w:r>
      <w:r>
        <w:rPr>
          <w:rFonts w:ascii="Helvetica" w:cs="Helvetica" w:hAnsi="Helvetica"/>
          <w:bCs/>
        </w:rPr>
        <w:t>selon le d</w:t>
      </w:r>
      <w:r w:rsidRPr="00641750">
        <w:rPr>
          <w:rFonts w:ascii="Helvetica" w:cs="Helvetica" w:hAnsi="Helvetica"/>
          <w:bCs/>
        </w:rPr>
        <w:t>écret n° 2016-1417 du 20/10/16</w:t>
      </w:r>
      <w:r>
        <w:rPr>
          <w:rFonts w:ascii="Helvetica" w:cs="Helvetica" w:hAnsi="Helvetica"/>
          <w:bCs/>
        </w:rPr>
        <w:t>.</w:t>
      </w:r>
    </w:p>
    <w:p w14:paraId="5AFC8EE7" w14:textId="26030A50" w:rsidP="006247E2" w:rsidR="00641750" w:rsidRDefault="00641750">
      <w:pPr>
        <w:jc w:val="both"/>
        <w:rPr>
          <w:rFonts w:ascii="Helvetica" w:cs="Helvetica" w:hAnsi="Helvetica"/>
          <w:bCs/>
        </w:rPr>
      </w:pPr>
    </w:p>
    <w:p w14:paraId="5DAF6319" w14:textId="3FCBEC98" w:rsidP="006247E2" w:rsidR="00641750" w:rsidRDefault="00641750">
      <w:pPr>
        <w:jc w:val="both"/>
        <w:rPr>
          <w:rFonts w:ascii="Helvetica" w:cs="Helvetica" w:hAnsi="Helvetica"/>
          <w:bCs/>
        </w:rPr>
      </w:pPr>
    </w:p>
    <w:p w14:paraId="0D405F02" w14:textId="798996C1" w:rsidP="006247E2" w:rsidR="00641750" w:rsidRDefault="00641750">
      <w:pPr>
        <w:jc w:val="both"/>
        <w:rPr>
          <w:rFonts w:ascii="Helvetica" w:cs="Helvetica" w:hAnsi="Helvetica"/>
          <w:bCs/>
        </w:rPr>
      </w:pPr>
    </w:p>
    <w:p w14:paraId="2E6971CF" w14:textId="77777777" w:rsidP="006247E2" w:rsidR="00641750" w:rsidRDefault="00641750">
      <w:pPr>
        <w:jc w:val="both"/>
        <w:rPr>
          <w:rFonts w:ascii="Helvetica" w:cs="Helvetica" w:hAnsi="Helvetica"/>
          <w:bCs/>
        </w:rPr>
      </w:pPr>
    </w:p>
    <w:p w14:paraId="4E2BA710" w14:textId="77777777" w:rsidP="006247E2" w:rsidR="00641750" w:rsidRDefault="00641750" w:rsidRPr="006247E2">
      <w:pPr>
        <w:jc w:val="both"/>
        <w:rPr>
          <w:rFonts w:ascii="Helvetica" w:cs="Helvetica" w:hAnsi="Helvetica"/>
          <w:bCs/>
        </w:rPr>
      </w:pPr>
    </w:p>
    <w:p w14:paraId="78D1ED70" w14:textId="57F33C6B" w:rsidP="006247E2" w:rsidR="006247E2" w:rsidRDefault="006247E2">
      <w:pPr>
        <w:rPr>
          <w:rFonts w:ascii="Helvetica" w:cs="Helvetica" w:hAnsi="Helvetica"/>
          <w:bCs/>
        </w:rPr>
      </w:pPr>
      <w:r w:rsidRPr="006247E2">
        <w:rPr>
          <w:rFonts w:ascii="Helvetica" w:cs="Helvetica" w:hAnsi="Helvetica"/>
          <w:bCs/>
        </w:rPr>
        <w:lastRenderedPageBreak/>
        <w:t xml:space="preserve">Fait en deux exemplaires originaux, à </w:t>
      </w:r>
      <w:r w:rsidR="009C0B4E">
        <w:rPr>
          <w:rFonts w:ascii="Helvetica" w:cs="Helvetica" w:hAnsi="Helvetica"/>
          <w:bCs/>
        </w:rPr>
        <w:t>XXX</w:t>
      </w:r>
      <w:r w:rsidRPr="006247E2">
        <w:rPr>
          <w:rFonts w:ascii="Helvetica" w:cs="Helvetica" w:hAnsi="Helvetica"/>
          <w:bCs/>
        </w:rPr>
        <w:t xml:space="preserve"> le </w:t>
      </w:r>
      <w:r w:rsidR="009C0B4E">
        <w:rPr>
          <w:rFonts w:ascii="Helvetica" w:cs="Helvetica" w:hAnsi="Helvetica"/>
          <w:bCs/>
        </w:rPr>
        <w:t>XXX</w:t>
      </w:r>
    </w:p>
    <w:p w14:paraId="46D3E02A" w14:textId="16036D76" w:rsidP="006247E2" w:rsidR="00CE3E9D" w:rsidRDefault="00CE3E9D">
      <w:pPr>
        <w:rPr>
          <w:rFonts w:ascii="Helvetica" w:cs="Helvetica" w:hAnsi="Helvetica"/>
          <w:bCs/>
        </w:rPr>
      </w:pPr>
    </w:p>
    <w:p w14:paraId="1C8AF74D" w14:textId="77777777" w:rsidP="006247E2" w:rsidR="0099114B" w:rsidRDefault="0099114B">
      <w:pPr>
        <w:rPr>
          <w:rFonts w:ascii="Helvetica" w:cs="Helvetica" w:hAnsi="Helvetica"/>
          <w:bCs/>
        </w:rPr>
      </w:pPr>
    </w:p>
    <w:p w14:paraId="150A1069" w14:textId="77777777" w:rsidP="006247E2" w:rsidR="00641750" w:rsidRDefault="00641750" w:rsidRPr="006247E2">
      <w:pPr>
        <w:rPr>
          <w:rFonts w:ascii="Helvetica" w:cs="Helvetica" w:hAnsi="Helvetica"/>
          <w:bCs/>
        </w:rPr>
      </w:pPr>
    </w:p>
    <w:p w14:paraId="09C518E0" w14:textId="79608972" w:rsidP="006247E2" w:rsidR="006247E2" w:rsidRDefault="006247E2" w:rsidRPr="006247E2">
      <w:pPr>
        <w:jc w:val="both"/>
        <w:rPr>
          <w:rFonts w:ascii="Helvetica" w:cs="Helvetica" w:hAnsi="Helvetica"/>
          <w:b/>
          <w:bCs/>
        </w:rPr>
      </w:pPr>
      <w:r w:rsidRPr="006247E2">
        <w:rPr>
          <w:rFonts w:ascii="Helvetica" w:cs="Helvetica" w:hAnsi="Helvetica"/>
          <w:b/>
          <w:bCs/>
        </w:rPr>
        <w:t xml:space="preserve">La direction de la société CONVIVIO HR représentée par Monsieur </w:t>
      </w:r>
      <w:r w:rsidR="009C0B4E">
        <w:rPr>
          <w:rFonts w:ascii="Helvetica" w:cs="Helvetica" w:hAnsi="Helvetica"/>
          <w:b/>
          <w:bCs/>
        </w:rPr>
        <w:t>XXX</w:t>
      </w:r>
      <w:r w:rsidRPr="006247E2">
        <w:rPr>
          <w:rFonts w:ascii="Helvetica" w:cs="Helvetica" w:hAnsi="Helvetica"/>
          <w:b/>
          <w:bCs/>
        </w:rPr>
        <w:t>, Directeur des</w:t>
      </w:r>
      <w:r>
        <w:rPr>
          <w:rFonts w:ascii="Helvetica" w:cs="Helvetica" w:hAnsi="Helvetica"/>
          <w:b/>
          <w:bCs/>
        </w:rPr>
        <w:t xml:space="preserve"> </w:t>
      </w:r>
      <w:r w:rsidR="00520155">
        <w:rPr>
          <w:rFonts w:ascii="Helvetica" w:cs="Helvetica" w:hAnsi="Helvetica"/>
          <w:b/>
          <w:bCs/>
        </w:rPr>
        <w:t>Ressources</w:t>
      </w:r>
      <w:r w:rsidRPr="006247E2">
        <w:rPr>
          <w:rFonts w:ascii="Helvetica" w:cs="Helvetica" w:hAnsi="Helvetica"/>
          <w:b/>
          <w:bCs/>
        </w:rPr>
        <w:t xml:space="preserve"> Humaines</w:t>
      </w:r>
    </w:p>
    <w:p w14:paraId="69580338" w14:textId="7B93183D" w:rsidP="006247E2" w:rsidR="006247E2" w:rsidRDefault="006247E2">
      <w:pPr>
        <w:jc w:val="both"/>
        <w:rPr>
          <w:rFonts w:ascii="Helvetica" w:cs="Helvetica" w:hAnsi="Helvetica"/>
          <w:b/>
          <w:bCs/>
        </w:rPr>
      </w:pPr>
      <w:r w:rsidRPr="006247E2">
        <w:rPr>
          <w:rFonts w:ascii="Helvetica" w:cs="Helvetica" w:hAnsi="Helvetica"/>
          <w:b/>
          <w:bCs/>
        </w:rPr>
        <w:t>Signature</w:t>
      </w:r>
      <w:r>
        <w:rPr>
          <w:rFonts w:ascii="Helvetica" w:cs="Helvetica" w:hAnsi="Helvetica"/>
          <w:b/>
          <w:bCs/>
        </w:rPr>
        <w:t> :</w:t>
      </w:r>
    </w:p>
    <w:p w14:paraId="5515D445" w14:textId="3E24555A" w:rsidP="006247E2" w:rsidR="006247E2" w:rsidRDefault="006247E2">
      <w:pPr>
        <w:jc w:val="both"/>
        <w:rPr>
          <w:rFonts w:ascii="Helvetica" w:cs="Helvetica" w:hAnsi="Helvetica"/>
          <w:b/>
          <w:bCs/>
        </w:rPr>
      </w:pPr>
    </w:p>
    <w:p w14:paraId="12EB22EF" w14:textId="1A3DF7A0" w:rsidP="006247E2" w:rsidR="00641750" w:rsidRDefault="00641750">
      <w:pPr>
        <w:jc w:val="both"/>
        <w:rPr>
          <w:rFonts w:ascii="Helvetica" w:cs="Helvetica" w:hAnsi="Helvetica"/>
          <w:b/>
          <w:bCs/>
        </w:rPr>
      </w:pPr>
    </w:p>
    <w:p w14:paraId="565186DF" w14:textId="77777777" w:rsidP="006247E2" w:rsidR="0099114B" w:rsidRDefault="0099114B">
      <w:pPr>
        <w:jc w:val="both"/>
        <w:rPr>
          <w:rFonts w:ascii="Helvetica" w:cs="Helvetica" w:hAnsi="Helvetica"/>
          <w:b/>
          <w:bCs/>
        </w:rPr>
      </w:pPr>
    </w:p>
    <w:p w14:paraId="7F168C81" w14:textId="77777777" w:rsidP="006247E2" w:rsidR="00641750" w:rsidRDefault="00641750">
      <w:pPr>
        <w:jc w:val="both"/>
        <w:rPr>
          <w:rFonts w:ascii="Helvetica" w:cs="Helvetica" w:hAnsi="Helvetica"/>
          <w:b/>
          <w:bCs/>
        </w:rPr>
      </w:pPr>
    </w:p>
    <w:p w14:paraId="3E2E901B" w14:textId="77777777" w:rsidP="006247E2" w:rsidR="006247E2" w:rsidRDefault="006247E2" w:rsidRPr="006247E2">
      <w:pPr>
        <w:jc w:val="both"/>
        <w:rPr>
          <w:rFonts w:ascii="Helvetica" w:cs="Helvetica" w:hAnsi="Helvetica"/>
          <w:b/>
          <w:bCs/>
        </w:rPr>
      </w:pPr>
    </w:p>
    <w:p w14:paraId="70805DDF" w14:textId="5C6AAF98" w:rsidP="006247E2" w:rsidR="006247E2" w:rsidRDefault="006247E2" w:rsidRPr="006247E2">
      <w:pPr>
        <w:jc w:val="both"/>
        <w:rPr>
          <w:rFonts w:ascii="Helvetica" w:cs="Helvetica" w:hAnsi="Helvetica"/>
          <w:b/>
          <w:bCs/>
        </w:rPr>
      </w:pPr>
      <w:r w:rsidRPr="006247E2">
        <w:rPr>
          <w:rFonts w:ascii="Helvetica" w:cs="Helvetica" w:hAnsi="Helvetica"/>
          <w:b/>
          <w:bCs/>
        </w:rPr>
        <w:t xml:space="preserve">Le syndicat </w:t>
      </w:r>
      <w:r w:rsidR="009C0B4E">
        <w:rPr>
          <w:rFonts w:ascii="Helvetica" w:cs="Helvetica" w:hAnsi="Helvetica"/>
          <w:b/>
          <w:bCs/>
        </w:rPr>
        <w:t xml:space="preserve">XXX </w:t>
      </w:r>
      <w:r w:rsidRPr="006247E2">
        <w:rPr>
          <w:rFonts w:ascii="Helvetica" w:cs="Helvetica" w:hAnsi="Helvetica"/>
          <w:b/>
          <w:bCs/>
        </w:rPr>
        <w:t xml:space="preserve">représenté par Monsieur </w:t>
      </w:r>
      <w:r w:rsidR="009C0B4E">
        <w:rPr>
          <w:rFonts w:ascii="Helvetica" w:cs="Helvetica" w:hAnsi="Helvetica"/>
          <w:b/>
          <w:bCs/>
        </w:rPr>
        <w:t>XXX</w:t>
      </w:r>
      <w:r w:rsidRPr="006247E2">
        <w:rPr>
          <w:rFonts w:ascii="Helvetica" w:cs="Helvetica" w:hAnsi="Helvetica"/>
          <w:b/>
          <w:bCs/>
        </w:rPr>
        <w:t xml:space="preserve"> en qualité de délégué syndical</w:t>
      </w:r>
    </w:p>
    <w:p w14:paraId="079E2EBF" w14:textId="072FCA0C" w:rsidP="006247E2" w:rsidR="006247E2" w:rsidRDefault="006247E2" w:rsidRPr="006247E2">
      <w:pPr>
        <w:jc w:val="both"/>
        <w:rPr>
          <w:rFonts w:ascii="Helvetica" w:cs="Helvetica" w:hAnsi="Helvetica"/>
          <w:b/>
          <w:bCs/>
        </w:rPr>
      </w:pPr>
      <w:r w:rsidRPr="006247E2">
        <w:rPr>
          <w:rFonts w:ascii="Helvetica" w:cs="Helvetica" w:hAnsi="Helvetica"/>
          <w:b/>
          <w:bCs/>
          <w:noProof/>
          <w:lang w:eastAsia="fr-FR"/>
        </w:rPr>
        <mc:AlternateContent>
          <mc:Choice Requires="wpg">
            <w:drawing>
              <wp:anchor allowOverlap="1" behindDoc="0" distB="0" distL="114300" distR="114300" distT="0" layoutInCell="1" locked="0" relativeHeight="251665408" simplePos="0" wp14:anchorId="5A741D3E" wp14:editId="3392B4C8">
                <wp:simplePos x="0" y="0"/>
                <wp:positionH relativeFrom="page">
                  <wp:posOffset>950976</wp:posOffset>
                </wp:positionH>
                <wp:positionV relativeFrom="page">
                  <wp:posOffset>10091758</wp:posOffset>
                </wp:positionV>
                <wp:extent cx="1706880" cy="9147"/>
                <wp:effectExtent b="0" l="0" r="0" t="0"/>
                <wp:wrapTopAndBottom/>
                <wp:docPr id="58970" name="Group 58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9147"/>
                          <a:chOff x="0" y="0"/>
                          <a:chExt cx="1706880" cy="9147"/>
                        </a:xfrm>
                      </wpg:grpSpPr>
                      <wps:wsp>
                        <wps:cNvPr id="58969" name="Shape 58969"/>
                        <wps:cNvSpPr/>
                        <wps:spPr>
                          <a:xfrm>
                            <a:off x="0" y="0"/>
                            <a:ext cx="170688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7" w="1706880">
                                <a:moveTo>
                                  <a:pt x="0" y="4573"/>
                                </a:moveTo>
                                <a:lnTo>
                                  <a:pt x="1706880" y="4573"/>
                                </a:lnTo>
                              </a:path>
                            </a:pathLst>
                          </a:custGeom>
                          <a:ln cap="flat" w="9147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  <w:pict>
              <v:group coordsize="17068,91" id="Group 5897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1wCPUwIAAM0FAAAOAAAAZHJzL2Uyb0RvYy54bWykVMlu2zAQvRfoPxC615LTxItgOYem9aVo gyT9AJoiJQHcQNKW/fcdjharDpACiQ/ykJztvVk29yclyZE73xhdJPNZlhCumSkbXRXJn5cfX1YJ 8YHqkkqjeZGcuU/ut58/bVqb8xtTG1lyR8CJ9nlri6QOweZp6lnNFfUzY7mGR2GcogGOrkpLR1vw rmR6k2WLtDWutM4w7j3cPnSPyRb9C8FZ+C2E54HIIoHcAn4dfvfxm243NK8ctXXD+jToO7JQtNEQ dHT1QAMlB9e8cqUa5ow3IsyYUakRomEcMQCaeXaFZufMwSKWKm8rO9IE1F7x9G637Nfx0ZGmLJK7 1XoJDGmqoEwYmXRXQFFrqxw0d84+20fXX1TdKaI+CafiP+AhJyT3PJLLT4EwuJwvs8VqBREYvK3n t8uOe1ZDgV4Zsfr7W2bpEDKNmY2JtBaayF948h/j6bmmliP9PqK/8LRYDzyhSuQJrpAW1BxJ8rkH vj7E0AiV5uzgw44bZJoef/rQNW85SLQeJHbSg+hgBN5sfktDtItJRpG0k1LVfaXiozJH/mJQLVzq dXu3/BqRQ5oXBamnimPhoe4T9U4J7GJUdDBmApdTrFLHpLBlCKOwJISkAadNNQG2h2wU5JzFX5+K 1OAwdkNHP0rhLHnMXuonLqDjY0uiE++q/TfpyJHGHfGvG1CNNqKRcrTK/mPVK0c7jhvo2pL1Abs1 BMMMQzEsI4A+GmFko8Nor2GFIsIJoCjuTXnGsUTMMAGIHncGEtvvt7iUpmfUumzh7V8AAAD//wMA UEsDBBQABgAIAAAAIQDcLzn94wAAAA0BAAAPAAAAZHJzL2Rvd25yZXYueG1sTI9Pb4JAEMXvTfod NtOkt7pQ/xQoizGm7cmYVJsYbyuMQGRnCbsCfvuOp/Y2b+blze+ly9E0osfO1ZYUhJMABFJui5pK BT/7z5cIhPOaCt1YQgU3dLDMHh9SnRR2oG/sd74UHEIu0Qoq79tESpdXaLSb2BaJb2fbGe1ZdqUs Oj1wuGnkaxAspNE18YdKt7iuML/srkbB16CH1TT86DeX8/p23M+3h02ISj0/jat3EB5H/2eGOz6j Q8ZMJ3ulwomG9SxmdM/DPIqnINgyC6MFiNN9FQdvILNU/m+R/QIAAP//AwBQSwECLQAUAAYACAAA ACEAtoM4kv4AAADhAQAAEwAAAAAAAAAAAAAAAAAAAAAAW0NvbnRlbnRfVHlwZXNdLnhtbFBLAQIt ABQABgAIAAAAIQA4/SH/1gAAAJQBAAALAAAAAAAAAAAAAAAAAC8BAABfcmVscy8ucmVsc1BLAQIt ABQABgAIAAAAIQAa1wCPUwIAAM0FAAAOAAAAAAAAAAAAAAAAAC4CAABkcnMvZTJvRG9jLnhtbFBL AQItABQABgAIAAAAIQDcLzn94wAAAA0BAAAPAAAAAAAAAAAAAAAAAK0EAABkcnMvZG93bnJldi54 bWxQSwUGAAAAAAQABADzAAAAvQUAAAAA " o:spid="_x0000_s1026" style="position:absolute;margin-left:74.9pt;margin-top:794.65pt;width:134.4pt;height:.7pt;z-index:251665408;mso-position-horizontal-relative:page;mso-position-vertical-relative:page" w14:anchorId="7D7CB2A7">
                <v:shape coordsize="1706880,9147" filled="f" id="Shape 5896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PFFyxwAAAN4AAAAPAAAAZHJzL2Rvd25yZXYueG1sRI9BawIx FITvQv9DeAVvmrWg6GoUKRSUguDWgr09N8/N2s3LkkRd/31TKPQ4zMw3zGLV2UbcyIfasYLRMANB XDpdc6Xg8PE2mIIIEVlj45gUPCjAavnUW2Cu3Z33dCtiJRKEQ44KTIxtLmUoDVkMQ9cSJ+/svMWY pK+k9nhPcNvIlyybSIs1pwWDLb0aKr+Lq1XwdRlvd8c9HtePw8m/m2Jkd5+NUv3nbj0HEamL/+G/ 9kYrGE9nkxn83klXQC5/AAAA//8DAFBLAQItABQABgAIAAAAIQDb4fbL7gAAAIUBAAATAAAAAAAA AAAAAAAAAAAAAABbQ29udGVudF9UeXBlc10ueG1sUEsBAi0AFAAGAAgAAAAhAFr0LFu/AAAAFQEA AAsAAAAAAAAAAAAAAAAAHwEAAF9yZWxzLy5yZWxzUEsBAi0AFAAGAAgAAAAhANc8UXLHAAAA3gAA AA8AAAAAAAAAAAAAAAAABwIAAGRycy9kb3ducmV2LnhtbFBLBQYAAAAAAwADALcAAAD7AgAAAAA= " o:spid="_x0000_s1027" path="m,4573r1706880,e" strokeweight=".25408mm" style="position:absolute;width:17068;height:91;visibility:visible;mso-wrap-style:square;v-text-anchor:top">
                  <v:stroke joinstyle="miter" miterlimit="1"/>
                  <v:path arrowok="t" textboxrect="0,0,1706880,9147"/>
                </v:shape>
                <w10:wrap anchorx="page" anchory="page" type="topAndBottom"/>
              </v:group>
            </w:pict>
          </mc:Fallback>
        </mc:AlternateContent>
      </w:r>
      <w:r w:rsidRPr="006247E2">
        <w:rPr>
          <w:rFonts w:ascii="Helvetica" w:cs="Helvetica" w:hAnsi="Helvetica"/>
          <w:b/>
          <w:bCs/>
        </w:rPr>
        <w:t>Signature</w:t>
      </w:r>
      <w:r>
        <w:rPr>
          <w:rFonts w:ascii="Helvetica" w:cs="Helvetica" w:hAnsi="Helvetica"/>
          <w:b/>
          <w:bCs/>
        </w:rPr>
        <w:t> :</w:t>
      </w:r>
    </w:p>
    <w:p w14:paraId="6EB09073" w14:textId="77777777" w:rsidP="006247E2" w:rsidR="007D5308" w:rsidRDefault="007D5308" w:rsidRPr="006247E2">
      <w:pPr>
        <w:rPr>
          <w:rFonts w:ascii="Helvetica" w:cs="Helvetica" w:hAnsi="Helvetica"/>
        </w:rPr>
      </w:pPr>
    </w:p>
    <w:sectPr w:rsidR="007D5308" w:rsidRPr="006247E2">
      <w:headerReference r:id="rId12" w:type="default"/>
      <w:footerReference r:id="rId13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52DDA" w14:textId="77777777" w:rsidR="000927B6" w:rsidRDefault="000927B6" w:rsidP="00541089">
      <w:pPr>
        <w:spacing w:after="0" w:line="240" w:lineRule="auto"/>
      </w:pPr>
      <w:r>
        <w:separator/>
      </w:r>
    </w:p>
  </w:endnote>
  <w:endnote w:type="continuationSeparator" w:id="0">
    <w:p w14:paraId="30AAFE77" w14:textId="77777777" w:rsidR="000927B6" w:rsidRDefault="000927B6" w:rsidP="0054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21A8C4D" w14:textId="7F51F6A2" w:rsidR="006247E2" w:rsidRDefault="006247E2">
    <w:pPr>
      <w:pStyle w:val="Pieddepage"/>
    </w:pPr>
    <w:r>
      <w:rPr>
        <w:noProof/>
        <w:lang w:eastAsia="fr-FR"/>
      </w:rPr>
      <w:drawing>
        <wp:inline distB="0" distL="0" distR="0" distT="0" wp14:anchorId="066F9480" wp14:editId="01A0987E">
          <wp:extent cx="4176000" cy="702000"/>
          <wp:effectExtent b="3175" l="0" r="0" t="0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resto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6000" cy="70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B16787C" w14:textId="77777777" w:rsidP="00541089" w:rsidR="000927B6" w:rsidRDefault="000927B6">
      <w:pPr>
        <w:spacing w:after="0" w:line="240" w:lineRule="auto"/>
      </w:pPr>
      <w:r>
        <w:separator/>
      </w:r>
    </w:p>
  </w:footnote>
  <w:footnote w:id="0" w:type="continuationSeparator">
    <w:p w14:paraId="0F2AB22E" w14:textId="77777777" w:rsidP="00541089" w:rsidR="000927B6" w:rsidRDefault="00092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936042807"/>
      <w:docPartObj>
        <w:docPartGallery w:val="Page Numbers (Top of Page)"/>
        <w:docPartUnique/>
      </w:docPartObj>
    </w:sdtPr>
    <w:sdtEndPr/>
    <w:sdtContent>
      <w:p w14:paraId="1706082F" w14:textId="01B2F646" w:rsidR="00541089" w:rsidRDefault="00541089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2B9">
          <w:rPr>
            <w:noProof/>
          </w:rPr>
          <w:t>2</w:t>
        </w:r>
        <w:r>
          <w:fldChar w:fldCharType="end"/>
        </w:r>
      </w:p>
    </w:sdtContent>
  </w:sdt>
  <w:p w14:paraId="766F299F" w14:textId="77777777" w:rsidR="00541089" w:rsidRDefault="00541089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FA0371"/>
    <w:multiLevelType w:val="hybridMultilevel"/>
    <w:tmpl w:val="5D58878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76B3B98"/>
    <w:multiLevelType w:val="hybridMultilevel"/>
    <w:tmpl w:val="CA28ED4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B967938"/>
    <w:multiLevelType w:val="hybridMultilevel"/>
    <w:tmpl w:val="4A90DA1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D835F4E"/>
    <w:multiLevelType w:val="hybridMultilevel"/>
    <w:tmpl w:val="D73467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30E6910"/>
    <w:multiLevelType w:val="hybridMultilevel"/>
    <w:tmpl w:val="12B276EE"/>
    <w:lvl w:ilvl="0" w:tplc="54DCFD60">
      <w:start w:val="1"/>
      <w:numFmt w:val="decimal"/>
      <w:lvlText w:val="%1)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5">
    <w:nsid w:val="34DF0BE3"/>
    <w:multiLevelType w:val="hybridMultilevel"/>
    <w:tmpl w:val="71A0798A"/>
    <w:lvl w:ilvl="0" w:tplc="040C000B">
      <w:start w:val="1"/>
      <w:numFmt w:val="bullet"/>
      <w:lvlText w:val=""/>
      <w:lvlJc w:val="left"/>
      <w:pPr>
        <w:ind w:hanging="360" w:left="75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7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3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9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14"/>
      </w:pPr>
      <w:rPr>
        <w:rFonts w:ascii="Wingdings" w:hAnsi="Wingdings" w:hint="default"/>
      </w:rPr>
    </w:lvl>
  </w:abstractNum>
  <w:abstractNum w15:restartNumberingAfterBreak="0" w:abstractNumId="6">
    <w:nsid w:val="4BE4310D"/>
    <w:multiLevelType w:val="hybridMultilevel"/>
    <w:tmpl w:val="89AE62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23A1A4F"/>
    <w:multiLevelType w:val="hybridMultilevel"/>
    <w:tmpl w:val="15EA259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8D96550"/>
    <w:multiLevelType w:val="hybridMultilevel"/>
    <w:tmpl w:val="0C103F5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28"/>
    <w:rsid w:val="00003C9D"/>
    <w:rsid w:val="00054DB0"/>
    <w:rsid w:val="0008544A"/>
    <w:rsid w:val="000927B6"/>
    <w:rsid w:val="00092FC6"/>
    <w:rsid w:val="00093D9B"/>
    <w:rsid w:val="000D13DD"/>
    <w:rsid w:val="000F03D4"/>
    <w:rsid w:val="001205BE"/>
    <w:rsid w:val="00124865"/>
    <w:rsid w:val="00130FE3"/>
    <w:rsid w:val="00136F35"/>
    <w:rsid w:val="001461CF"/>
    <w:rsid w:val="00150EDF"/>
    <w:rsid w:val="00151E14"/>
    <w:rsid w:val="0016427E"/>
    <w:rsid w:val="00167A28"/>
    <w:rsid w:val="001A6FC8"/>
    <w:rsid w:val="001D1F0F"/>
    <w:rsid w:val="001D4326"/>
    <w:rsid w:val="001D51D6"/>
    <w:rsid w:val="0022651C"/>
    <w:rsid w:val="00233A4B"/>
    <w:rsid w:val="002423FB"/>
    <w:rsid w:val="002442AC"/>
    <w:rsid w:val="002569B4"/>
    <w:rsid w:val="00267063"/>
    <w:rsid w:val="0028763B"/>
    <w:rsid w:val="0029647A"/>
    <w:rsid w:val="00296695"/>
    <w:rsid w:val="002A3F82"/>
    <w:rsid w:val="002C353B"/>
    <w:rsid w:val="002D0787"/>
    <w:rsid w:val="003044D0"/>
    <w:rsid w:val="00306850"/>
    <w:rsid w:val="003106DA"/>
    <w:rsid w:val="00340AA5"/>
    <w:rsid w:val="00376B1C"/>
    <w:rsid w:val="003826E4"/>
    <w:rsid w:val="003C05C9"/>
    <w:rsid w:val="003C2D77"/>
    <w:rsid w:val="003C7FF0"/>
    <w:rsid w:val="003D396B"/>
    <w:rsid w:val="00402269"/>
    <w:rsid w:val="0048322C"/>
    <w:rsid w:val="004865BA"/>
    <w:rsid w:val="004D1302"/>
    <w:rsid w:val="004E72B9"/>
    <w:rsid w:val="004F5440"/>
    <w:rsid w:val="005013E0"/>
    <w:rsid w:val="00520155"/>
    <w:rsid w:val="00541089"/>
    <w:rsid w:val="006247E2"/>
    <w:rsid w:val="00641750"/>
    <w:rsid w:val="006436E1"/>
    <w:rsid w:val="0064389B"/>
    <w:rsid w:val="0064470B"/>
    <w:rsid w:val="00644FB4"/>
    <w:rsid w:val="0068629E"/>
    <w:rsid w:val="00687F91"/>
    <w:rsid w:val="00694EBF"/>
    <w:rsid w:val="006A397A"/>
    <w:rsid w:val="006C1D29"/>
    <w:rsid w:val="006C4B3A"/>
    <w:rsid w:val="006E7972"/>
    <w:rsid w:val="00717E14"/>
    <w:rsid w:val="00732163"/>
    <w:rsid w:val="007423CA"/>
    <w:rsid w:val="00773923"/>
    <w:rsid w:val="007761AF"/>
    <w:rsid w:val="007C23EB"/>
    <w:rsid w:val="007D5308"/>
    <w:rsid w:val="007E2AEC"/>
    <w:rsid w:val="007F568C"/>
    <w:rsid w:val="0080010F"/>
    <w:rsid w:val="008032CC"/>
    <w:rsid w:val="0087749A"/>
    <w:rsid w:val="008C1675"/>
    <w:rsid w:val="008D6816"/>
    <w:rsid w:val="008F2426"/>
    <w:rsid w:val="008F6DC9"/>
    <w:rsid w:val="00923878"/>
    <w:rsid w:val="00962550"/>
    <w:rsid w:val="00990999"/>
    <w:rsid w:val="0099114B"/>
    <w:rsid w:val="009971DA"/>
    <w:rsid w:val="009B4130"/>
    <w:rsid w:val="009C0B4E"/>
    <w:rsid w:val="009D312D"/>
    <w:rsid w:val="009E31BC"/>
    <w:rsid w:val="009F683E"/>
    <w:rsid w:val="00A135AC"/>
    <w:rsid w:val="00A23E9C"/>
    <w:rsid w:val="00A50E28"/>
    <w:rsid w:val="00A5134C"/>
    <w:rsid w:val="00AA7964"/>
    <w:rsid w:val="00AD5355"/>
    <w:rsid w:val="00B14421"/>
    <w:rsid w:val="00B22889"/>
    <w:rsid w:val="00B56B4E"/>
    <w:rsid w:val="00B877FA"/>
    <w:rsid w:val="00BB105A"/>
    <w:rsid w:val="00BD0597"/>
    <w:rsid w:val="00BF10BC"/>
    <w:rsid w:val="00C35D18"/>
    <w:rsid w:val="00C53409"/>
    <w:rsid w:val="00C83B1B"/>
    <w:rsid w:val="00CE3E9D"/>
    <w:rsid w:val="00D16423"/>
    <w:rsid w:val="00DB2A65"/>
    <w:rsid w:val="00DD1DD3"/>
    <w:rsid w:val="00DF48A6"/>
    <w:rsid w:val="00E632ED"/>
    <w:rsid w:val="00EA0C01"/>
    <w:rsid w:val="00EB3096"/>
    <w:rsid w:val="00EC1E62"/>
    <w:rsid w:val="00EC5257"/>
    <w:rsid w:val="00EC7E90"/>
    <w:rsid w:val="00F2590D"/>
    <w:rsid w:val="00F26145"/>
    <w:rsid w:val="00F35A0F"/>
    <w:rsid w:val="00F76466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B7B23CA"/>
  <w15:chartTrackingRefBased/>
  <w15:docId w15:val="{542DC0CB-3BDC-4622-9C10-500F258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1A6FC8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D16423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16423"/>
    <w:rPr>
      <w:rFonts w:ascii="Segoe UI" w:cs="Segoe UI" w:hAnsi="Segoe UI"/>
      <w:sz w:val="18"/>
      <w:szCs w:val="18"/>
    </w:rPr>
  </w:style>
  <w:style w:styleId="Marquedecommentaire" w:type="character">
    <w:name w:val="annotation reference"/>
    <w:basedOn w:val="Policepardfaut"/>
    <w:uiPriority w:val="99"/>
    <w:semiHidden/>
    <w:unhideWhenUsed/>
    <w:rsid w:val="006E7972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E7972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E7972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E7972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E7972"/>
    <w:rPr>
      <w:b/>
      <w:bCs/>
      <w:sz w:val="20"/>
      <w:szCs w:val="20"/>
    </w:rPr>
  </w:style>
  <w:style w:styleId="En-tte" w:type="paragraph">
    <w:name w:val="header"/>
    <w:basedOn w:val="Normal"/>
    <w:link w:val="En-tteCar"/>
    <w:uiPriority w:val="99"/>
    <w:unhideWhenUsed/>
    <w:rsid w:val="0054108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41089"/>
  </w:style>
  <w:style w:styleId="Pieddepage" w:type="paragraph">
    <w:name w:val="footer"/>
    <w:basedOn w:val="Normal"/>
    <w:link w:val="PieddepageCar"/>
    <w:uiPriority w:val="99"/>
    <w:unhideWhenUsed/>
    <w:rsid w:val="0054108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41089"/>
  </w:style>
  <w:style w:styleId="Lienhypertexte" w:type="character">
    <w:name w:val="Hyperlink"/>
    <w:basedOn w:val="Policepardfaut"/>
    <w:uiPriority w:val="99"/>
    <w:unhideWhenUsed/>
    <w:rsid w:val="00641750"/>
    <w:rPr>
      <w:color w:themeColor="hyperlink" w:val="0563C1"/>
      <w:u w:val="single"/>
    </w:rPr>
  </w:style>
  <w:style w:customStyle="1" w:styleId="UnresolvedMention" w:type="character">
    <w:name w:val="Unresolved Mention"/>
    <w:basedOn w:val="Policepardfaut"/>
    <w:uiPriority w:val="99"/>
    <w:semiHidden/>
    <w:unhideWhenUsed/>
    <w:rsid w:val="00641750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3.png" Type="http://schemas.openxmlformats.org/officeDocument/2006/relationships/image"/><Relationship Id="rId11" Target="https://www.teleaccords.travail-emploi.gouv.fr/PortailTeleprocedures/" TargetMode="External" Type="http://schemas.openxmlformats.org/officeDocument/2006/relationships/hyperlink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040B-A1E5-4D21-BA21-07245343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1256</Words>
  <Characters>6909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2023-04-03T09:30:00Z</dcterms:created>
  <dcterms:modified xsi:type="dcterms:W3CDTF">2023-04-03T15:33:00Z</dcterms:modified>
  <cp:revision>3</cp:revision>
</cp:coreProperties>
</file>