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222" w:leader="none"/>
        </w:tabs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tabs>
          <w:tab w:val="right" w:pos="8222" w:leader="none"/>
        </w:tabs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tabs>
          <w:tab w:val="right" w:pos="8222" w:leader="none"/>
        </w:tabs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tabs>
          <w:tab w:val="right" w:pos="8222" w:leader="none"/>
        </w:tabs>
        <w:jc w:val="center"/>
        <w:rPr>
          <w:rFonts w:ascii="Arial" w:hAnsi="Arial" w:cs="Arial"/>
          <w:b/>
          <w:b/>
          <w:sz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652780</wp:posOffset>
                </wp:positionH>
                <wp:positionV relativeFrom="paragraph">
                  <wp:posOffset>-97155</wp:posOffset>
                </wp:positionV>
                <wp:extent cx="5391785" cy="419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000" cy="419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492" h="662">
                              <a:moveTo>
                                <a:pt x="110" y="0"/>
                              </a:moveTo>
                              <a:cubicBezTo>
                                <a:pt x="55" y="0"/>
                                <a:pt x="0" y="55"/>
                                <a:pt x="0" y="110"/>
                              </a:cubicBezTo>
                              <a:lnTo>
                                <a:pt x="0" y="550"/>
                              </a:lnTo>
                              <a:cubicBezTo>
                                <a:pt x="0" y="605"/>
                                <a:pt x="55" y="661"/>
                                <a:pt x="110" y="661"/>
                              </a:cubicBezTo>
                              <a:lnTo>
                                <a:pt x="8380" y="661"/>
                              </a:lnTo>
                              <a:cubicBezTo>
                                <a:pt x="8435" y="661"/>
                                <a:pt x="8491" y="605"/>
                                <a:pt x="8491" y="550"/>
                              </a:cubicBezTo>
                              <a:lnTo>
                                <a:pt x="8491" y="110"/>
                              </a:lnTo>
                              <a:cubicBezTo>
                                <a:pt x="8491" y="55"/>
                                <a:pt x="8435" y="0"/>
                                <a:pt x="8380" y="0"/>
                              </a:cubicBezTo>
                              <a:lnTo>
                                <a:pt x="11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51.4pt;margin-top:-7.65pt;width:424.45pt;height:32.95pt">
                <w10:wrap type="none"/>
                <v:fill o:detectmouseclick="t" on="false"/>
                <v:stroke color="black" weight="9360" joinstyle="miter" endcap="square"/>
              </v:roundrect>
            </w:pict>
          </mc:Fallback>
        </mc:AlternateContent>
      </w:r>
      <w:r>
        <w:rPr>
          <w:rFonts w:cs="Arial" w:ascii="Arial" w:hAnsi="Arial"/>
          <w:b/>
          <w:sz w:val="32"/>
        </w:rPr>
        <w:t>A</w:t>
      </w:r>
      <w:r>
        <w:rPr>
          <w:rFonts w:cs="Arial" w:ascii="Arial" w:hAnsi="Arial"/>
          <w:b/>
          <w:sz w:val="32"/>
        </w:rPr>
        <w:t>ccord Négociation Annuelle Obligatoire 2022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En application des dispositions du code du Travail relatives à la rémunération, au temps de travail et partage de la valeur ajoutée dans l'entreprise ainsi qu’à l’égalité professionnelle femmes/hommes et la qualité de vie au travail, la Direction de Saint-Gobain Cristaux et Détecteurs et les Organisations Syndicales CFDT et CGT se sont rencontrées le 17 février 2022, le 21 février 2022 puis le 23 février 2022.</w:t>
      </w:r>
    </w:p>
    <w:p>
      <w:pPr>
        <w:pStyle w:val="Normal"/>
        <w:tabs>
          <w:tab w:val="left" w:pos="2260" w:leader="none"/>
          <w:tab w:val="left" w:pos="7080" w:leader="none"/>
        </w:tabs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tabs>
          <w:tab w:val="left" w:pos="2260" w:leader="none"/>
          <w:tab w:val="left" w:pos="7080" w:leader="none"/>
        </w:tabs>
        <w:jc w:val="both"/>
        <w:rPr/>
      </w:pPr>
      <w:r>
        <w:rPr>
          <w:rFonts w:cs="Arial" w:ascii="Arial" w:hAnsi="Arial"/>
          <w:sz w:val="22"/>
          <w:szCs w:val="22"/>
        </w:rPr>
        <w:t xml:space="preserve">Les thématiques ci-dessus ont fait l’objet d’échanges suite aux présentations détaillées des indicateurs et mesures engagées et réalisées au cours de l’année 2021. </w:t>
      </w:r>
    </w:p>
    <w:p>
      <w:pPr>
        <w:pStyle w:val="Normal"/>
        <w:tabs>
          <w:tab w:val="left" w:pos="2260" w:leader="none"/>
          <w:tab w:val="left" w:pos="7080" w:leader="none"/>
        </w:tabs>
        <w:jc w:val="both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tabs>
          <w:tab w:val="left" w:pos="2260" w:leader="none"/>
          <w:tab w:val="left" w:pos="708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Concernant les éléments salariaux :</w:t>
      </w:r>
    </w:p>
    <w:p>
      <w:pPr>
        <w:pStyle w:val="Normal"/>
        <w:tabs>
          <w:tab w:val="left" w:pos="2260" w:leader="none"/>
          <w:tab w:val="left" w:pos="7080" w:leader="none"/>
        </w:tabs>
        <w:jc w:val="both"/>
        <w:rPr/>
      </w:pPr>
      <w:r>
        <w:rPr>
          <w:rFonts w:cs="Arial" w:ascii="Arial" w:hAnsi="Arial"/>
          <w:sz w:val="22"/>
          <w:szCs w:val="22"/>
        </w:rPr>
        <w:t>la Direction et les Délégués Syndicaux ont présenté et argumenté leurs propositions. A l’issue de la troisième et dernière réunion, les négociations pour l’année 2022, ont pu aboutir à la signature d’un accord entre la Direction et les Organisations Syndicales.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sz w:val="22"/>
        </w:rPr>
        <w:t>Cet accord concerne l’ensemble du personnel de la Société Saint-Gobain Cristaux et Détecteurs.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  <w:u w:val="single"/>
        </w:rPr>
        <w:t>Salaires effectifs</w:t>
      </w:r>
      <w:r>
        <w:rPr>
          <w:rFonts w:cs="Arial" w:ascii="Arial" w:hAnsi="Arial"/>
          <w:b/>
          <w:sz w:val="22"/>
        </w:rPr>
        <w:t> </w:t>
      </w:r>
      <w:r>
        <w:rPr>
          <w:rFonts w:cs="Arial" w:ascii="Arial" w:hAnsi="Arial"/>
          <w:sz w:val="22"/>
        </w:rPr>
        <w:t>: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L’augmentation suivante des salaires effectifs sera appliquée avec effet rétroactif </w:t>
      </w:r>
      <w:r>
        <w:rPr>
          <w:rFonts w:cs="Arial" w:ascii="Arial" w:hAnsi="Arial"/>
          <w:b/>
          <w:sz w:val="22"/>
          <w:u w:val="single"/>
        </w:rPr>
        <w:t>au 1</w:t>
      </w:r>
      <w:r>
        <w:rPr>
          <w:rFonts w:cs="Arial" w:ascii="Arial" w:hAnsi="Arial"/>
          <w:b/>
          <w:sz w:val="22"/>
          <w:u w:val="single"/>
          <w:vertAlign w:val="superscript"/>
        </w:rPr>
        <w:t>er</w:t>
      </w:r>
      <w:r>
        <w:rPr>
          <w:rFonts w:cs="Arial" w:ascii="Arial" w:hAnsi="Arial"/>
          <w:b/>
          <w:sz w:val="22"/>
          <w:u w:val="single"/>
        </w:rPr>
        <w:t xml:space="preserve"> janvier 2022</w:t>
      </w:r>
      <w:r>
        <w:rPr>
          <w:rFonts w:cs="Arial" w:ascii="Arial" w:hAnsi="Arial"/>
          <w:sz w:val="22"/>
        </w:rPr>
        <w:t xml:space="preserve"> :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Arial" w:hAnsi="Arial"/>
          <w:b/>
          <w:sz w:val="22"/>
        </w:rPr>
        <w:t>Augmentation générale</w:t>
      </w:r>
      <w:r>
        <w:rPr>
          <w:rFonts w:cs="Arial" w:ascii="Arial" w:hAnsi="Arial"/>
          <w:sz w:val="22"/>
        </w:rPr>
        <w:t xml:space="preserve"> pour le personnel non cadre de </w:t>
      </w:r>
      <w:r>
        <w:rPr>
          <w:rFonts w:cs="Arial" w:ascii="Arial" w:hAnsi="Arial"/>
          <w:b/>
          <w:sz w:val="22"/>
        </w:rPr>
        <w:t>2,9%, avec un plancher de 70 €</w:t>
      </w:r>
      <w:r>
        <w:rPr>
          <w:rFonts w:cs="Arial" w:ascii="Arial" w:hAnsi="Arial"/>
          <w:sz w:val="22"/>
        </w:rPr>
        <w:t> ;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>Augmentation individuelle</w:t>
      </w:r>
      <w:r>
        <w:rPr>
          <w:rFonts w:cs="Arial" w:ascii="Arial" w:hAnsi="Arial"/>
          <w:sz w:val="22"/>
        </w:rPr>
        <w:t xml:space="preserve"> pour le personnel non cadre de </w:t>
      </w:r>
      <w:r>
        <w:rPr>
          <w:rFonts w:cs="Arial" w:ascii="Arial" w:hAnsi="Arial"/>
          <w:b/>
          <w:sz w:val="22"/>
        </w:rPr>
        <w:t>0,2%, avec un minimum de 1%</w:t>
      </w:r>
      <w:r>
        <w:rPr>
          <w:rFonts w:cs="Arial" w:ascii="Arial" w:hAnsi="Arial"/>
          <w:sz w:val="22"/>
        </w:rPr>
        <w:t xml:space="preserve"> par augmentation individuelle.</w:t>
      </w:r>
    </w:p>
    <w:p>
      <w:pPr>
        <w:pStyle w:val="Normal"/>
        <w:ind w:left="720"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Cadres : enveloppe sous forme de mesures individuelles </w:t>
      </w:r>
    </w:p>
    <w:p>
      <w:pPr>
        <w:pStyle w:val="Normal"/>
        <w:jc w:val="both"/>
        <w:rPr>
          <w:rFonts w:ascii="Arial" w:hAnsi="Arial" w:cs="Arial"/>
          <w:sz w:val="22"/>
          <w:highlight w:val="yellow"/>
        </w:rPr>
      </w:pPr>
      <w:r>
        <w:rPr>
          <w:rFonts w:cs="Arial" w:ascii="Arial" w:hAnsi="Arial"/>
          <w:sz w:val="22"/>
          <w:highlight w:val="yellow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  <w:u w:val="single"/>
        </w:rPr>
        <w:t>Prime de vacances</w:t>
      </w:r>
      <w:r>
        <w:rPr>
          <w:rFonts w:cs="Arial" w:ascii="Arial" w:hAnsi="Arial"/>
          <w:sz w:val="22"/>
        </w:rPr>
        <w:t> :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La majoration enfant à charge disparait et est réintégrée dans la prime vacance pour un montant de </w:t>
      </w:r>
      <w:r>
        <w:rPr>
          <w:rFonts w:cs="Arial" w:ascii="Arial" w:hAnsi="Arial"/>
          <w:b/>
          <w:sz w:val="22"/>
        </w:rPr>
        <w:t>32 € BRUT.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</w:rPr>
        <w:t xml:space="preserve">Une </w:t>
      </w:r>
      <w:r>
        <w:rPr>
          <w:rFonts w:cs="Arial" w:ascii="Arial" w:hAnsi="Arial"/>
          <w:b/>
          <w:sz w:val="22"/>
        </w:rPr>
        <w:t>augmentation supplémentaire de 200 € BRUT</w:t>
      </w:r>
      <w:r>
        <w:rPr>
          <w:rFonts w:cs="Arial" w:ascii="Arial" w:hAnsi="Arial"/>
          <w:sz w:val="22"/>
        </w:rPr>
        <w:t xml:space="preserve"> est également appliquée. 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Son nouveau montant s’élève à 2065 €.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b/>
          <w:sz w:val="22"/>
          <w:u w:val="single"/>
        </w:rPr>
        <w:t>Bons repas</w:t>
      </w:r>
      <w:r>
        <w:rPr>
          <w:rFonts w:cs="Arial" w:ascii="Arial" w:hAnsi="Arial"/>
          <w:sz w:val="22"/>
        </w:rPr>
        <w:t> :</w:t>
      </w:r>
    </w:p>
    <w:p>
      <w:pPr>
        <w:pStyle w:val="Normal"/>
        <w:tabs>
          <w:tab w:val="right" w:pos="8222" w:leader="none"/>
        </w:tabs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Les bons repas à Saint-Pierre-Lès-Nemours et Gières passent </w:t>
      </w:r>
      <w:r>
        <w:rPr>
          <w:rFonts w:cs="Arial" w:ascii="Arial" w:hAnsi="Arial"/>
          <w:b/>
          <w:sz w:val="22"/>
        </w:rPr>
        <w:t>à 5,69 €.</w:t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sz w:val="22"/>
        </w:rPr>
        <w:t xml:space="preserve">Cette augmentation sera </w:t>
      </w:r>
      <w:r>
        <w:rPr>
          <w:rFonts w:cs="Arial" w:ascii="Arial" w:hAnsi="Arial"/>
          <w:b/>
          <w:sz w:val="22"/>
        </w:rPr>
        <w:t>effective au 1</w:t>
      </w:r>
      <w:r>
        <w:rPr>
          <w:rFonts w:cs="Arial" w:ascii="Arial" w:hAnsi="Arial"/>
          <w:b/>
          <w:sz w:val="22"/>
          <w:vertAlign w:val="superscript"/>
        </w:rPr>
        <w:t>er</w:t>
      </w:r>
      <w:r>
        <w:rPr>
          <w:rFonts w:cs="Arial" w:ascii="Arial" w:hAnsi="Arial"/>
          <w:b/>
          <w:sz w:val="22"/>
        </w:rPr>
        <w:t xml:space="preserve"> mars 2022</w:t>
      </w:r>
      <w:r>
        <w:rPr>
          <w:rFonts w:cs="Arial" w:ascii="Arial" w:hAnsi="Arial"/>
          <w:sz w:val="22"/>
        </w:rPr>
        <w:t>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709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Le présent accord vaut pour les révisions des salaires applicables en 2022. Au-delà de la période d’application, les dispositions du présent document cesseront de produire leur effet pour ne pas préjuger des résultats de la négociation annuelle obligatoire de l’année suivante.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sz w:val="22"/>
        </w:rPr>
        <w:t>Le présent accord est établi en cinq exemplaires pour remise à chaque délégation et pour respecter les formalités de dépôt ci-dessous.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sz w:val="22"/>
        </w:rPr>
        <w:t>Le présent accord sera déposé en 2 exemplaires à la DRIEETS de Seine et Marne dont une version sur support papier signée des deux parties et une version sur support électronique et au secrétariat-greffe du Tribunal de Prud’hommes de Fontainebleau (un exemplaire papier) selon les conditions règlementaires en vigueur.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/>
      </w:pPr>
      <w:r>
        <w:rPr>
          <w:rFonts w:cs="Arial" w:ascii="Arial" w:hAnsi="Arial"/>
          <w:sz w:val="22"/>
        </w:rPr>
        <w:t>Fait à Saint-Pierre-Lès-Nemours, le 23 février 2022, en 5 exemplaires.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  <w:u w:val="single"/>
        </w:rPr>
      </w:pPr>
      <w:r>
        <w:rPr>
          <w:rFonts w:cs="Arial" w:ascii="Arial" w:hAnsi="Arial"/>
          <w:sz w:val="22"/>
          <w:u w:val="single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  <w:u w:val="single"/>
        </w:rPr>
        <w:t>Pour Saint-Gobain Cristaux et Détecteurs</w:t>
      </w:r>
      <w:r>
        <w:rPr>
          <w:rFonts w:cs="Arial" w:ascii="Arial" w:hAnsi="Arial"/>
          <w:sz w:val="22"/>
        </w:rPr>
        <w:t xml:space="preserve"> :                                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  <w:u w:val="single"/>
        </w:rPr>
        <w:t>Pour le syndicat CGT</w:t>
      </w:r>
      <w:r>
        <w:rPr>
          <w:rFonts w:cs="Arial" w:ascii="Arial" w:hAnsi="Arial"/>
          <w:sz w:val="22"/>
        </w:rPr>
        <w:t> :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  <w:u w:val="single"/>
        </w:rPr>
        <w:t>Pour le syndicat CFDT</w:t>
      </w:r>
      <w:r>
        <w:rPr>
          <w:rFonts w:cs="Arial" w:ascii="Arial" w:hAnsi="Arial"/>
          <w:sz w:val="22"/>
        </w:rPr>
        <w:t xml:space="preserve"> :                                                                    </w:t>
      </w:r>
    </w:p>
    <w:p>
      <w:pPr>
        <w:pStyle w:val="Normal"/>
        <w:tabs>
          <w:tab w:val="right" w:pos="822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header="567" w:top="720" w:footer="655" w:bottom="711" w:gutter="0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Palatino">
    <w:altName w:val="Book Antiqua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356" w:leader="none"/>
      </w:tabs>
      <w:ind w:left="-1276" w:right="-794" w:hanging="0"/>
      <w:jc w:val="center"/>
      <w:rPr>
        <w:rFonts w:ascii="Arial" w:hAnsi="Arial" w:cs="Arial"/>
        <w:b/>
        <w:b/>
        <w:color w:val="808080"/>
        <w:sz w:val="16"/>
      </w:rPr>
    </w:pPr>
    <w:r>
      <w:rPr>
        <w:rFonts w:cs="Arial" w:ascii="Arial" w:hAnsi="Arial"/>
        <w:b/>
        <w:color w:val="808080"/>
        <w:sz w:val="16"/>
      </w:rPr>
      <w:t>Saint-Gobain Cristaux &amp; Détecteurs</w:t>
    </w:r>
  </w:p>
  <w:p>
    <w:pPr>
      <w:pStyle w:val="Footer"/>
      <w:tabs>
        <w:tab w:val="center" w:pos="4536" w:leader="none"/>
        <w:tab w:val="right" w:pos="9356" w:leader="none"/>
      </w:tabs>
      <w:ind w:left="-1418" w:right="-936" w:firstLine="142"/>
      <w:jc w:val="center"/>
      <w:rPr>
        <w:rFonts w:ascii="Arial" w:hAnsi="Arial" w:cs="Arial"/>
        <w:color w:val="808080"/>
        <w:sz w:val="16"/>
      </w:rPr>
    </w:pPr>
    <w:r>
      <w:rPr>
        <w:rFonts w:cs="Arial" w:ascii="Arial" w:hAnsi="Arial"/>
        <w:color w:val="808080"/>
        <w:sz w:val="16"/>
      </w:rPr>
      <w:t>B.P. 521 • 77794 Nemours Cedex • France • Tél. +33 (0) 1 64 45 10 10 • Fax Commercial +33 (0) 1 64 45 10 01 • Fax Usine +33 (0) 1 64 45 10 02</w:t>
    </w:r>
  </w:p>
  <w:p>
    <w:pPr>
      <w:pStyle w:val="Footer"/>
      <w:tabs>
        <w:tab w:val="center" w:pos="4536" w:leader="none"/>
        <w:tab w:val="right" w:pos="9356" w:leader="none"/>
      </w:tabs>
      <w:ind w:left="-1276" w:right="-794" w:hanging="0"/>
      <w:jc w:val="center"/>
      <w:rPr>
        <w:rFonts w:ascii="Arial" w:hAnsi="Arial" w:cs="Arial"/>
        <w:color w:val="808080"/>
        <w:sz w:val="16"/>
      </w:rPr>
    </w:pPr>
    <w:r>
      <w:rPr>
        <w:rFonts w:cs="Arial" w:ascii="Arial" w:hAnsi="Arial"/>
        <w:color w:val="808080"/>
        <w:sz w:val="16"/>
      </w:rPr>
      <w:t>Siège Social 12 place de l’Iris • 92400 Courbevoie • France</w:t>
    </w:r>
  </w:p>
  <w:p>
    <w:pPr>
      <w:pStyle w:val="Footer"/>
      <w:tabs>
        <w:tab w:val="center" w:pos="4536" w:leader="none"/>
        <w:tab w:val="right" w:pos="9356" w:leader="none"/>
      </w:tabs>
      <w:ind w:left="-1276" w:right="-794" w:hanging="0"/>
      <w:jc w:val="center"/>
      <w:rPr>
        <w:rFonts w:ascii="Arial" w:hAnsi="Arial" w:cs="Arial"/>
        <w:color w:val="808080"/>
        <w:sz w:val="16"/>
      </w:rPr>
    </w:pPr>
    <w:r>
      <w:rPr>
        <w:rFonts w:cs="Arial" w:ascii="Arial" w:hAnsi="Arial"/>
        <w:color w:val="808080"/>
        <w:sz w:val="16"/>
      </w:rPr>
      <w:t>S.A.S. au capital de 6 000 000 €  • 316 263 029 RCS Nanterre • APE 2651 B • SIRET 316 263 029 00050 • Code Identifiant FR 89 316 263 029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tabs>
        <w:tab w:val="right" w:pos="7797" w:leader="none"/>
      </w:tabs>
      <w:rPr>
        <w:rStyle w:val="PageNumber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8789" w:leader="none"/>
      </w:tabs>
      <w:jc w:val="center"/>
      <w:rPr>
        <w:rFonts w:ascii="Palatino;Book Antiqua" w:hAnsi="Palatino;Book Antiqua" w:cs="Palatino;Book Antiqua"/>
      </w:rPr>
    </w:pPr>
    <w:r>
      <w:rPr/>
      <w:drawing>
        <wp:inline distT="0" distB="0" distL="0" distR="0">
          <wp:extent cx="2284095" cy="95250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17" r="-7" b="-17"/>
                  <a:stretch>
                    <a:fillRect/>
                  </a:stretch>
                </pic:blipFill>
                <pic:spPr bwMode="auto">
                  <a:xfrm>
                    <a:off x="0" y="0"/>
                    <a:ext cx="228409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right" w:pos="8789" w:leader="none"/>
      </w:tabs>
      <w:rPr>
        <w:rFonts w:ascii="Palatino;Book Antiqua" w:hAnsi="Palatino;Book Antiqua" w:cs="Palatino;Book Antiqua"/>
        <w:sz w:val="22"/>
      </w:rPr>
    </w:pPr>
    <w:r>
      <w:rPr>
        <w:rFonts w:cs="Palatino;Book Antiqua" w:ascii="Palatino;Book Antiqua" w:hAnsi="Palatino;Book Antiqua"/>
        <w:sz w:val="22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851" w:hanging="0"/>
      <w:jc w:val="both"/>
      <w:outlineLvl w:val="0"/>
    </w:pPr>
    <w:rPr>
      <w:rFonts w:ascii="Palatino;Book Antiqua" w:hAnsi="Palatino;Book Antiqua" w:cs="Palatino;Book Antiqua"/>
      <w:b/>
      <w:sz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Arial" w:hAnsi="Arial" w:eastAsia="Times New Roman" w:cs="Aria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Arial" w:hAnsi="Arial" w:eastAsia="Times New Roman" w:cs="Aria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PieddepageCar">
    <w:name w:val="Pied de page Car"/>
    <w:qFormat/>
    <w:rPr>
      <w:rFonts w:ascii="Times" w:hAnsi="Times" w:cs="Times"/>
      <w:sz w:val="24"/>
    </w:rPr>
  </w:style>
  <w:style w:type="character" w:styleId="EntteCar">
    <w:name w:val="En-tête Car"/>
    <w:qFormat/>
    <w:rPr>
      <w:rFonts w:ascii="Times" w:hAnsi="Times" w:cs="Time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enter" w:pos="4819" w:leader="none"/>
        <w:tab w:val="right" w:pos="9071" w:leader="none"/>
      </w:tabs>
    </w:pPr>
    <w:rPr/>
  </w:style>
  <w:style w:type="paragraph" w:styleId="Corpsdetexte2">
    <w:name w:val="Corps de texte 2"/>
    <w:basedOn w:val="Normal"/>
    <w:qFormat/>
    <w:pPr>
      <w:jc w:val="both"/>
    </w:pPr>
    <w:rPr>
      <w:rFonts w:ascii="Arial" w:hAnsi="Arial" w:cs="Arial"/>
      <w:sz w:val="22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20" w:hanging="0"/>
    </w:pPr>
    <w:rPr>
      <w:rFonts w:ascii="Calibri" w:hAnsi="Calibri" w:eastAsia="Calibri" w:cs="Calibri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2022-02-23T12:00:00Z</dcterms:created>
  <dc:creator/>
  <dc:description/>
  <dc:language>en-GB</dc:language>
  <cp:lastModifiedBy/>
  <cp:lastPrinted>2017-04-26T16:42:00Z</cp:lastPrinted>
  <dcterms:modified xsi:type="dcterms:W3CDTF">2022-02-23T12:25:00Z</dcterms:modified>
  <cp:revision>4</cp:revision>
  <dc:subject/>
  <dc:title>contrat JOUQUIM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ActionId">
    <vt:lpwstr>1874bbd8-e101-437b-b024-a54b6513bfae</vt:lpwstr>
  </property>
  <property fmtid="{D5CDD505-2E9C-101B-9397-08002B2CF9AE}" pid="3" name="MSIP_Label_ced06422-c515-4a4e-a1f2-e6a0c0200eae_ContentBits">
    <vt:lpwstr>0</vt:lpwstr>
  </property>
  <property fmtid="{D5CDD505-2E9C-101B-9397-08002B2CF9AE}" pid="4" name="MSIP_Label_ced06422-c515-4a4e-a1f2-e6a0c0200eae_Enabled">
    <vt:lpwstr>true</vt:lpwstr>
  </property>
  <property fmtid="{D5CDD505-2E9C-101B-9397-08002B2CF9AE}" pid="5" name="MSIP_Label_ced06422-c515-4a4e-a1f2-e6a0c0200eae_Method">
    <vt:lpwstr>Standard</vt:lpwstr>
  </property>
  <property fmtid="{D5CDD505-2E9C-101B-9397-08002B2CF9AE}" pid="6" name="MSIP_Label_ced06422-c515-4a4e-a1f2-e6a0c0200eae_Name">
    <vt:lpwstr>Unclassifed</vt:lpwstr>
  </property>
  <property fmtid="{D5CDD505-2E9C-101B-9397-08002B2CF9AE}" pid="7" name="MSIP_Label_ced06422-c515-4a4e-a1f2-e6a0c0200eae_SetDate">
    <vt:lpwstr>2022-02-23T09:54:36Z</vt:lpwstr>
  </property>
  <property fmtid="{D5CDD505-2E9C-101B-9397-08002B2CF9AE}" pid="8" name="MSIP_Label_ced06422-c515-4a4e-a1f2-e6a0c0200eae_SiteId">
    <vt:lpwstr>e339bd4b-2e3b-4035-a452-2112d502f2ff</vt:lpwstr>
  </property>
  <property fmtid="{D5CDD505-2E9C-101B-9397-08002B2CF9AE}" pid="9" name="__Grammarly_42___1">
    <vt:lpwstr>H4sIAAAAAAAEAKtWcslP9kxRslIyNDayNDCwMDYzN7OwNDI0MjJT0lEKTi0uzszPAykwrgUAYKIAhiwAAAA=</vt:lpwstr>
  </property>
  <property fmtid="{D5CDD505-2E9C-101B-9397-08002B2CF9AE}" pid="10" name="__Grammarly_42____i">
    <vt:lpwstr>H4sIAAAAAAAEAKtWckksSQxILCpxzi/NK1GyMqwFAAEhoTITAAAA</vt:lpwstr>
  </property>
</Properties>
</file>