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25D67679" w14:textId="77777777" w:rsidP="009436B6" w:rsidR="0072713C" w:rsidRDefault="0072713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hAnsi="Arial"/>
          <w:b/>
          <w:sz w:val="32"/>
          <w:szCs w:val="32"/>
        </w:rPr>
      </w:pPr>
    </w:p>
    <w:p w14:paraId="59A12232" w14:textId="5A08FCC8" w:rsidP="009436B6" w:rsidR="009436B6" w:rsidRDefault="009436B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hAnsi="Arial"/>
          <w:b/>
          <w:sz w:val="32"/>
          <w:szCs w:val="32"/>
        </w:rPr>
      </w:pPr>
      <w:r w:rsidRPr="00E815EF">
        <w:rPr>
          <w:rFonts w:ascii="Arial" w:hAnsi="Arial"/>
          <w:b/>
          <w:sz w:val="32"/>
          <w:szCs w:val="32"/>
        </w:rPr>
        <w:t>ACCORD NEGOCIATION ANNUELLE OBLIGATOIRE 20</w:t>
      </w:r>
      <w:r>
        <w:rPr>
          <w:rFonts w:ascii="Arial" w:hAnsi="Arial"/>
          <w:b/>
          <w:sz w:val="32"/>
          <w:szCs w:val="32"/>
        </w:rPr>
        <w:t>2</w:t>
      </w:r>
      <w:r w:rsidR="00D30823">
        <w:rPr>
          <w:rFonts w:ascii="Arial" w:hAnsi="Arial"/>
          <w:b/>
          <w:sz w:val="32"/>
          <w:szCs w:val="32"/>
        </w:rPr>
        <w:t>2</w:t>
      </w:r>
    </w:p>
    <w:p w14:paraId="15A9B694" w14:textId="77777777" w:rsidP="009436B6" w:rsidR="009436B6" w:rsidRDefault="009436B6" w:rsidRPr="00E815E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hAnsi="Arial"/>
          <w:b/>
          <w:sz w:val="32"/>
          <w:szCs w:val="32"/>
        </w:rPr>
      </w:pPr>
    </w:p>
    <w:p w14:paraId="619099FD" w14:textId="77777777" w:rsidP="009436B6" w:rsidR="009436B6" w:rsidRDefault="009436B6" w:rsidRPr="007212A2">
      <w:pPr>
        <w:jc w:val="both"/>
        <w:rPr>
          <w:rFonts w:ascii="Tahoma" w:cs="Tahoma" w:hAnsi="Tahoma"/>
          <w:sz w:val="32"/>
          <w:szCs w:val="32"/>
        </w:rPr>
      </w:pPr>
    </w:p>
    <w:p w14:paraId="03705A07" w14:textId="77777777" w:rsidP="009436B6" w:rsidR="009436B6" w:rsidRDefault="009436B6" w:rsidRPr="00457A4D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ENTRE LES SOUSSIGNÉS,</w:t>
      </w:r>
    </w:p>
    <w:p w14:paraId="083A6D3A" w14:textId="77777777" w:rsidP="009436B6" w:rsidR="009436B6" w:rsidRDefault="009436B6" w:rsidRPr="00457A4D">
      <w:pPr>
        <w:pStyle w:val="TM1"/>
        <w:rPr>
          <w:rFonts w:cs="Tahoma"/>
          <w:szCs w:val="22"/>
        </w:rPr>
      </w:pPr>
    </w:p>
    <w:p w14:paraId="447D03C4" w14:textId="10C64DB1" w:rsidP="009436B6" w:rsidR="009436B6" w:rsidRDefault="009436B6" w:rsidRPr="00457A4D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 xml:space="preserve">La société « Keolis CIF » dont le siège social se situe 34 rue de Guivry – 77990 LE MESNIL AMELOT, SIRET : 562 091 132 000 59 – Convention Collective des Transports Routiers et des Activités Auxiliaires du Transport – représentée par </w:t>
      </w:r>
      <w:bookmarkStart w:id="0" w:name="_Hlk72419005"/>
      <w:r w:rsidR="004D2005" w:rsidRPr="00457A4D">
        <w:rPr>
          <w:rFonts w:cs="Tahoma"/>
          <w:szCs w:val="22"/>
        </w:rPr>
        <w:t>M</w:t>
      </w:r>
      <w:r w:rsidR="004D2005">
        <w:rPr>
          <w:rFonts w:cs="Tahoma"/>
          <w:szCs w:val="22"/>
        </w:rPr>
        <w:t>_________________</w:t>
      </w:r>
      <w:bookmarkEnd w:id="0"/>
      <w:r w:rsidRPr="00457A4D">
        <w:rPr>
          <w:rFonts w:cs="Tahoma"/>
          <w:szCs w:val="22"/>
        </w:rPr>
        <w:t>, agissant en qualité de Directeur ;</w:t>
      </w:r>
    </w:p>
    <w:p w14:paraId="0B064ACD" w14:textId="77777777" w:rsidP="009436B6" w:rsidR="009436B6" w:rsidRDefault="009436B6" w:rsidRPr="00457A4D">
      <w:pPr>
        <w:pStyle w:val="TM1"/>
        <w:rPr>
          <w:rFonts w:cs="Tahoma"/>
          <w:szCs w:val="22"/>
        </w:rPr>
      </w:pPr>
    </w:p>
    <w:p w14:paraId="0B7050B9" w14:textId="77777777" w:rsidP="009436B6" w:rsidR="009436B6" w:rsidRDefault="009436B6" w:rsidRPr="00457A4D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 xml:space="preserve">ET </w:t>
      </w:r>
    </w:p>
    <w:p w14:paraId="6ED59029" w14:textId="77777777" w:rsidP="009436B6" w:rsidR="009436B6" w:rsidRDefault="009436B6" w:rsidRPr="00457A4D">
      <w:pPr>
        <w:pStyle w:val="TM1"/>
        <w:rPr>
          <w:rFonts w:cs="Tahoma"/>
          <w:szCs w:val="22"/>
        </w:rPr>
      </w:pPr>
    </w:p>
    <w:p w14:paraId="120875A0" w14:textId="77777777" w:rsidP="009436B6" w:rsidR="009436B6" w:rsidRDefault="009436B6" w:rsidRPr="00457A4D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Les organisations syndicales représentatives dans l’entreprise, représentées respectivement par leurs délégués syndicaux,</w:t>
      </w:r>
    </w:p>
    <w:p w14:paraId="1B85977B" w14:textId="77777777" w:rsidP="009436B6" w:rsidR="009436B6" w:rsidRDefault="009436B6" w:rsidRPr="00457A4D">
      <w:pPr>
        <w:pStyle w:val="TM1"/>
        <w:rPr>
          <w:rFonts w:cs="Tahoma"/>
          <w:szCs w:val="22"/>
        </w:rPr>
      </w:pPr>
    </w:p>
    <w:p w14:paraId="6F111249" w14:textId="77777777" w:rsidP="009436B6" w:rsidR="009436B6" w:rsidRDefault="009436B6" w:rsidRPr="00457A4D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La Section Syndicale CFTC représentée par son Délégué Syndical</w:t>
      </w:r>
    </w:p>
    <w:p w14:paraId="3D3A3C3C" w14:textId="66C68D1C" w:rsidP="009436B6" w:rsidR="009436B6" w:rsidRDefault="004D2005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M</w:t>
      </w:r>
      <w:r>
        <w:rPr>
          <w:rFonts w:cs="Tahoma"/>
          <w:szCs w:val="22"/>
        </w:rPr>
        <w:t>_________________</w:t>
      </w:r>
    </w:p>
    <w:p w14:paraId="6A20551E" w14:textId="77777777" w:rsidP="004D2005" w:rsidR="004D2005" w:rsidRDefault="004D2005" w:rsidRPr="004D2005">
      <w:pPr>
        <w:rPr>
          <w:lang w:eastAsia="fr-FR"/>
        </w:rPr>
      </w:pPr>
    </w:p>
    <w:p w14:paraId="7E258EA7" w14:textId="77777777" w:rsidP="009436B6" w:rsidR="009436B6" w:rsidRDefault="009436B6" w:rsidRPr="00457A4D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La Section Syndicale CGT représentée par s</w:t>
      </w:r>
      <w:r>
        <w:rPr>
          <w:rFonts w:cs="Tahoma"/>
          <w:szCs w:val="22"/>
        </w:rPr>
        <w:t>on</w:t>
      </w:r>
      <w:r w:rsidRPr="00457A4D">
        <w:rPr>
          <w:rFonts w:cs="Tahoma"/>
          <w:szCs w:val="22"/>
        </w:rPr>
        <w:t xml:space="preserve"> Délégué Syndica</w:t>
      </w:r>
      <w:r>
        <w:rPr>
          <w:rFonts w:cs="Tahoma"/>
          <w:szCs w:val="22"/>
        </w:rPr>
        <w:t>l</w:t>
      </w:r>
    </w:p>
    <w:p w14:paraId="53CA8D9E" w14:textId="3B65BB7B" w:rsidP="009436B6" w:rsidR="009436B6" w:rsidRDefault="004D2005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M</w:t>
      </w:r>
      <w:r>
        <w:rPr>
          <w:rFonts w:cs="Tahoma"/>
          <w:szCs w:val="22"/>
        </w:rPr>
        <w:t>_________________</w:t>
      </w:r>
    </w:p>
    <w:p w14:paraId="48D63DAB" w14:textId="77777777" w:rsidP="004D2005" w:rsidR="004D2005" w:rsidRDefault="004D2005" w:rsidRPr="004D2005">
      <w:pPr>
        <w:rPr>
          <w:lang w:eastAsia="fr-FR"/>
        </w:rPr>
      </w:pPr>
    </w:p>
    <w:p w14:paraId="1CA7CCC1" w14:textId="77777777" w:rsidP="009436B6" w:rsidR="009436B6" w:rsidRDefault="009436B6" w:rsidRPr="00457A4D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La Section Syndicale CFE-CGC représentée par son Délégué Syndical</w:t>
      </w:r>
    </w:p>
    <w:p w14:paraId="2934583E" w14:textId="2AD3895B" w:rsidP="009436B6" w:rsidR="009436B6" w:rsidRDefault="004D2005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M</w:t>
      </w:r>
      <w:r>
        <w:rPr>
          <w:rFonts w:cs="Tahoma"/>
          <w:szCs w:val="22"/>
        </w:rPr>
        <w:t>_________________</w:t>
      </w:r>
    </w:p>
    <w:p w14:paraId="10493264" w14:textId="77777777" w:rsidP="004D2005" w:rsidR="004D2005" w:rsidRDefault="004D2005" w:rsidRPr="004D2005">
      <w:pPr>
        <w:rPr>
          <w:lang w:eastAsia="fr-FR"/>
        </w:rPr>
      </w:pPr>
    </w:p>
    <w:p w14:paraId="60D66061" w14:textId="2A8ACDB8" w:rsidP="009436B6" w:rsidR="00C43FD4" w:rsidRDefault="009436B6">
      <w:pPr>
        <w:pStyle w:val="TM1"/>
        <w:rPr>
          <w:rFonts w:cs="Tahoma"/>
          <w:szCs w:val="22"/>
        </w:rPr>
      </w:pPr>
      <w:r w:rsidRPr="00457A4D">
        <w:rPr>
          <w:rFonts w:cs="Tahoma"/>
          <w:szCs w:val="22"/>
        </w:rPr>
        <w:t>D’autre part,</w:t>
      </w:r>
    </w:p>
    <w:p w14:paraId="2A02E3D0" w14:textId="77777777" w:rsidP="009C09DA" w:rsidR="009C09DA" w:rsidRDefault="009C09DA" w:rsidRPr="009C09DA">
      <w:pPr>
        <w:rPr>
          <w:lang w:eastAsia="fr-FR"/>
        </w:rPr>
      </w:pPr>
    </w:p>
    <w:p w14:paraId="582A0F06" w14:textId="1465DE08" w:rsidP="009436B6" w:rsidR="009436B6" w:rsidRDefault="009436B6" w:rsidRPr="00457A4D">
      <w:pPr>
        <w:pStyle w:val="TM1"/>
        <w:rPr>
          <w:rFonts w:cs="Tahoma"/>
          <w:b/>
          <w:szCs w:val="22"/>
        </w:rPr>
      </w:pPr>
      <w:r w:rsidRPr="00457A4D">
        <w:rPr>
          <w:rFonts w:cs="Tahoma"/>
          <w:b/>
          <w:szCs w:val="22"/>
        </w:rPr>
        <w:t>Préambule</w:t>
      </w:r>
    </w:p>
    <w:p w14:paraId="608F447A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7342DA5A" w14:textId="6D870522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6A65BC">
        <w:rPr>
          <w:rFonts w:ascii="Tahoma" w:cs="Tahoma" w:hAnsi="Tahoma"/>
        </w:rPr>
        <w:t xml:space="preserve">Conformément à l’article 2242-1 du code du travail, la négociation a été engagée le </w:t>
      </w:r>
      <w:r w:rsidR="00ED428E">
        <w:rPr>
          <w:rFonts w:ascii="Tahoma" w:cs="Tahoma" w:hAnsi="Tahoma"/>
        </w:rPr>
        <w:t>7 févri</w:t>
      </w:r>
      <w:r>
        <w:rPr>
          <w:rFonts w:ascii="Tahoma" w:cs="Tahoma" w:hAnsi="Tahoma"/>
        </w:rPr>
        <w:t>er</w:t>
      </w:r>
      <w:r w:rsidRPr="006A65BC">
        <w:rPr>
          <w:rFonts w:ascii="Tahoma" w:cs="Tahoma" w:hAnsi="Tahoma"/>
        </w:rPr>
        <w:t xml:space="preserve"> 202</w:t>
      </w:r>
      <w:r w:rsidR="00ED428E">
        <w:rPr>
          <w:rFonts w:ascii="Tahoma" w:cs="Tahoma" w:hAnsi="Tahoma"/>
        </w:rPr>
        <w:t>2</w:t>
      </w:r>
      <w:r w:rsidRPr="006A65BC">
        <w:rPr>
          <w:rFonts w:ascii="Tahoma" w:cs="Tahoma" w:hAnsi="Tahoma"/>
        </w:rPr>
        <w:t xml:space="preserve"> entre la direction et les organisations syndicales représentatives.</w:t>
      </w:r>
      <w:r w:rsidRPr="00457A4D">
        <w:rPr>
          <w:rFonts w:ascii="Tahoma" w:cs="Tahoma" w:hAnsi="Tahoma"/>
        </w:rPr>
        <w:t xml:space="preserve"> </w:t>
      </w:r>
    </w:p>
    <w:p w14:paraId="66BFAD52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62692217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 xml:space="preserve">La négociation annuelle obligatoire s’est inscrite dans </w:t>
      </w:r>
      <w:r>
        <w:rPr>
          <w:rFonts w:ascii="Tahoma" w:cs="Tahoma" w:hAnsi="Tahoma"/>
        </w:rPr>
        <w:t xml:space="preserve">le prolongement de la </w:t>
      </w:r>
      <w:r w:rsidRPr="00457A4D">
        <w:rPr>
          <w:rFonts w:ascii="Tahoma" w:cs="Tahoma" w:hAnsi="Tahoma"/>
        </w:rPr>
        <w:t>crise sanitaire et économique</w:t>
      </w:r>
      <w:r>
        <w:rPr>
          <w:rFonts w:ascii="Tahoma" w:cs="Tahoma" w:hAnsi="Tahoma"/>
        </w:rPr>
        <w:t xml:space="preserve">. </w:t>
      </w:r>
    </w:p>
    <w:p w14:paraId="764DBD7F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427B4378" w14:textId="011E8447" w:rsidP="00CC6B99" w:rsidR="00CC6B99" w:rsidRDefault="00CC6B99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 xml:space="preserve">Les parties se sont rencontrées à </w:t>
      </w:r>
      <w:r>
        <w:rPr>
          <w:rFonts w:ascii="Tahoma" w:cs="Tahoma" w:hAnsi="Tahoma"/>
        </w:rPr>
        <w:t>5</w:t>
      </w:r>
      <w:r w:rsidRPr="00D008C2">
        <w:rPr>
          <w:rFonts w:ascii="Tahoma" w:cs="Tahoma" w:hAnsi="Tahoma"/>
        </w:rPr>
        <w:t xml:space="preserve"> reprises</w:t>
      </w:r>
      <w:r w:rsidRPr="00457A4D">
        <w:rPr>
          <w:rFonts w:ascii="Tahoma" w:cs="Tahoma" w:hAnsi="Tahoma"/>
        </w:rPr>
        <w:t xml:space="preserve">, les </w:t>
      </w:r>
      <w:r>
        <w:rPr>
          <w:rFonts w:ascii="Tahoma" w:cs="Tahoma" w:hAnsi="Tahoma"/>
        </w:rPr>
        <w:t>1</w:t>
      </w:r>
      <w:r w:rsidR="00CD4B2B">
        <w:rPr>
          <w:rFonts w:ascii="Tahoma" w:cs="Tahoma" w:hAnsi="Tahoma"/>
        </w:rPr>
        <w:t>1, 18</w:t>
      </w:r>
      <w:r>
        <w:rPr>
          <w:rFonts w:ascii="Tahoma" w:cs="Tahoma" w:hAnsi="Tahoma"/>
        </w:rPr>
        <w:t xml:space="preserve"> </w:t>
      </w:r>
      <w:r w:rsidR="00CD4B2B">
        <w:rPr>
          <w:rFonts w:ascii="Tahoma" w:cs="Tahoma" w:hAnsi="Tahoma"/>
        </w:rPr>
        <w:t xml:space="preserve">et 24 </w:t>
      </w:r>
      <w:r>
        <w:rPr>
          <w:rFonts w:ascii="Tahoma" w:cs="Tahoma" w:hAnsi="Tahoma"/>
        </w:rPr>
        <w:t xml:space="preserve">février, </w:t>
      </w:r>
      <w:r w:rsidR="007C242B">
        <w:rPr>
          <w:rFonts w:ascii="Tahoma" w:cs="Tahoma" w:hAnsi="Tahoma"/>
        </w:rPr>
        <w:t>2</w:t>
      </w:r>
      <w:r>
        <w:rPr>
          <w:rFonts w:ascii="Tahoma" w:cs="Tahoma" w:hAnsi="Tahoma"/>
        </w:rPr>
        <w:t xml:space="preserve"> et </w:t>
      </w:r>
      <w:r w:rsidR="007C242B">
        <w:rPr>
          <w:rFonts w:ascii="Tahoma" w:cs="Tahoma" w:hAnsi="Tahoma"/>
        </w:rPr>
        <w:t>8</w:t>
      </w:r>
      <w:r>
        <w:rPr>
          <w:rFonts w:ascii="Tahoma" w:cs="Tahoma" w:hAnsi="Tahoma"/>
        </w:rPr>
        <w:t xml:space="preserve"> mars </w:t>
      </w:r>
      <w:r w:rsidRPr="00457A4D">
        <w:rPr>
          <w:rFonts w:ascii="Tahoma" w:cs="Tahoma" w:hAnsi="Tahoma"/>
        </w:rPr>
        <w:t>202</w:t>
      </w:r>
      <w:r w:rsidR="007C242B">
        <w:rPr>
          <w:rFonts w:ascii="Tahoma" w:cs="Tahoma" w:hAnsi="Tahoma"/>
        </w:rPr>
        <w:t>2</w:t>
      </w:r>
      <w:r w:rsidRPr="00457A4D">
        <w:rPr>
          <w:rFonts w:ascii="Tahoma" w:cs="Tahoma" w:hAnsi="Tahoma"/>
        </w:rPr>
        <w:t xml:space="preserve"> dans le cadre des négociations annuelles obligatoires.</w:t>
      </w:r>
    </w:p>
    <w:p w14:paraId="7D579833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2476D982" w14:textId="47247D41" w:rsidP="009436B6" w:rsidR="009436B6" w:rsidRDefault="007F54B7" w:rsidRPr="00457A4D">
      <w:p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</w:t>
      </w:r>
      <w:r w:rsidR="009436B6" w:rsidRPr="00457A4D">
        <w:rPr>
          <w:rFonts w:ascii="Tahoma" w:cs="Tahoma" w:hAnsi="Tahoma"/>
        </w:rPr>
        <w:t xml:space="preserve">es parties signataires ont été animées par la volonté de mener des négociations constructives </w:t>
      </w:r>
      <w:r w:rsidR="009436B6">
        <w:rPr>
          <w:rFonts w:ascii="Tahoma" w:cs="Tahoma" w:hAnsi="Tahoma"/>
        </w:rPr>
        <w:t>tenant compte du contexte de mise en concurrence du réseau de bus en grande couronne</w:t>
      </w:r>
      <w:r w:rsidR="009436B6" w:rsidRPr="00457A4D">
        <w:rPr>
          <w:rFonts w:ascii="Tahoma" w:cs="Tahoma" w:hAnsi="Tahoma"/>
        </w:rPr>
        <w:t>.</w:t>
      </w:r>
    </w:p>
    <w:p w14:paraId="7E83292A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08CF2167" w14:textId="77777777" w:rsidP="009436B6" w:rsidR="009436B6" w:rsidRDefault="009436B6" w:rsidRPr="00457A4D">
      <w:pPr>
        <w:tabs>
          <w:tab w:pos="15480" w:val="left"/>
        </w:tabs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En conséquence, et à l’issue de ces négociations, les parties signataires ont convenu des éléments suivants :</w:t>
      </w:r>
    </w:p>
    <w:p w14:paraId="0D412AB0" w14:textId="77777777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</w:p>
    <w:p w14:paraId="180F533E" w14:textId="77777777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1EF938EF" w14:textId="77777777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5B20E7C8" w14:textId="77777777" w:rsidP="009436B6" w:rsidR="00BA4AFE" w:rsidRDefault="00BA4AFE">
      <w:pPr>
        <w:spacing w:line="276" w:lineRule="auto"/>
        <w:jc w:val="center"/>
        <w:outlineLvl w:val="0"/>
        <w:rPr>
          <w:rFonts w:ascii="Tahoma" w:cs="Tahoma" w:hAnsi="Tahoma"/>
        </w:rPr>
      </w:pPr>
      <w:bookmarkStart w:id="1" w:name="_Toc64923212"/>
      <w:bookmarkStart w:id="2" w:name="_Toc70940283"/>
    </w:p>
    <w:p w14:paraId="0690936C" w14:textId="77777777" w:rsidP="009436B6" w:rsidR="00BA4AFE" w:rsidRDefault="00BA4AFE">
      <w:pPr>
        <w:spacing w:line="276" w:lineRule="auto"/>
        <w:jc w:val="center"/>
        <w:outlineLvl w:val="0"/>
        <w:rPr>
          <w:rFonts w:ascii="Tahoma" w:cs="Tahoma" w:hAnsi="Tahoma"/>
        </w:rPr>
      </w:pPr>
    </w:p>
    <w:p w14:paraId="02D476AB" w14:textId="77777777" w:rsidP="009436B6" w:rsidR="00DE2B7F" w:rsidRDefault="00DE2B7F">
      <w:pPr>
        <w:spacing w:line="276" w:lineRule="auto"/>
        <w:jc w:val="center"/>
        <w:outlineLvl w:val="0"/>
        <w:rPr>
          <w:rFonts w:ascii="Tahoma" w:cs="Tahoma" w:hAnsi="Tahoma"/>
        </w:rPr>
      </w:pPr>
    </w:p>
    <w:p w14:paraId="6170BB1E" w14:textId="62F597FB" w:rsidP="009436B6" w:rsidR="009436B6" w:rsidRDefault="009436B6" w:rsidRPr="00457A4D">
      <w:pPr>
        <w:spacing w:line="276" w:lineRule="auto"/>
        <w:jc w:val="center"/>
        <w:outlineLvl w:val="0"/>
        <w:rPr>
          <w:rFonts w:ascii="Tahoma" w:cs="Tahoma" w:hAnsi="Tahoma"/>
        </w:rPr>
      </w:pPr>
      <w:r w:rsidRPr="00457A4D">
        <w:rPr>
          <w:rFonts w:ascii="Tahoma" w:cs="Tahoma" w:hAnsi="Tahoma"/>
        </w:rPr>
        <w:t>PARTIE I – REMUNERATIONS</w:t>
      </w:r>
      <w:bookmarkEnd w:id="1"/>
      <w:bookmarkEnd w:id="2"/>
    </w:p>
    <w:p w14:paraId="48875C40" w14:textId="77777777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0BEACC15" w14:textId="77777777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  <w:bookmarkStart w:id="3" w:name="_Toc1578523"/>
      <w:bookmarkStart w:id="4" w:name="_Toc64923213"/>
      <w:bookmarkStart w:id="5" w:name="_Toc70940284"/>
      <w:r w:rsidRPr="00457A4D">
        <w:rPr>
          <w:rFonts w:ascii="Tahoma" w:cs="Tahoma" w:hAnsi="Tahoma"/>
          <w:b/>
          <w:u w:val="single"/>
        </w:rPr>
        <w:t xml:space="preserve">Article 1 – </w:t>
      </w:r>
      <w:bookmarkEnd w:id="3"/>
      <w:r>
        <w:rPr>
          <w:rFonts w:ascii="Tahoma" w:cs="Tahoma" w:hAnsi="Tahoma"/>
          <w:b/>
          <w:u w:val="single"/>
        </w:rPr>
        <w:t>Gel des salaires</w:t>
      </w:r>
      <w:bookmarkEnd w:id="4"/>
      <w:bookmarkEnd w:id="5"/>
      <w:r w:rsidRPr="00457A4D">
        <w:rPr>
          <w:rFonts w:ascii="Tahoma" w:cs="Tahoma" w:hAnsi="Tahoma"/>
          <w:b/>
          <w:u w:val="single"/>
        </w:rPr>
        <w:t> </w:t>
      </w:r>
    </w:p>
    <w:p w14:paraId="49A40A62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  <w:i/>
        </w:rPr>
      </w:pPr>
    </w:p>
    <w:p w14:paraId="352F39C1" w14:textId="6C3A80DE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La NAO s’inscrit d’une part dans une crise économique sans précédent impactant à la baisse la mobilité de nos clients, donc de nos recettes-voyageurs, et les ressources des collectivités finançant les transports publics et d’autre part </w:t>
      </w:r>
      <w:r w:rsidR="000A57B2">
        <w:rPr>
          <w:rFonts w:ascii="Tahoma" w:cs="Tahoma" w:hAnsi="Tahoma"/>
        </w:rPr>
        <w:t>dans un contexte d’appels d’offre</w:t>
      </w:r>
      <w:r w:rsidR="00C85DA6">
        <w:rPr>
          <w:rFonts w:ascii="Tahoma" w:cs="Tahoma" w:hAnsi="Tahoma"/>
        </w:rPr>
        <w:t xml:space="preserve"> imposant une grande vigilance</w:t>
      </w:r>
      <w:r w:rsidR="00FE28E0">
        <w:rPr>
          <w:rFonts w:ascii="Tahoma" w:cs="Tahoma" w:hAnsi="Tahoma"/>
        </w:rPr>
        <w:t xml:space="preserve"> sur la maîtrise de nos dé</w:t>
      </w:r>
      <w:r w:rsidR="0077635B">
        <w:rPr>
          <w:rFonts w:ascii="Tahoma" w:cs="Tahoma" w:hAnsi="Tahoma"/>
        </w:rPr>
        <w:t>penses</w:t>
      </w:r>
      <w:r>
        <w:rPr>
          <w:rFonts w:ascii="Tahoma" w:cs="Tahoma" w:hAnsi="Tahoma"/>
        </w:rPr>
        <w:t>.</w:t>
      </w:r>
    </w:p>
    <w:p w14:paraId="6FC76705" w14:textId="77777777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</w:p>
    <w:p w14:paraId="4FC816B6" w14:textId="1C7AFC8B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Pour ces raisons, le gel des salaires est appliqué à l’ensemble des catégories du personnel</w:t>
      </w:r>
      <w:r w:rsidR="00AA46F8">
        <w:rPr>
          <w:rFonts w:ascii="Tahoma" w:cs="Tahoma" w:hAnsi="Tahoma"/>
        </w:rPr>
        <w:t xml:space="preserve"> en 202</w:t>
      </w:r>
      <w:r w:rsidR="00BD346C">
        <w:rPr>
          <w:rFonts w:ascii="Tahoma" w:cs="Tahoma" w:hAnsi="Tahoma"/>
        </w:rPr>
        <w:t>2</w:t>
      </w:r>
      <w:r>
        <w:rPr>
          <w:rFonts w:ascii="Tahoma" w:cs="Tahoma" w:hAnsi="Tahoma"/>
        </w:rPr>
        <w:t>.</w:t>
      </w:r>
    </w:p>
    <w:p w14:paraId="4A1C3389" w14:textId="77777777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</w:p>
    <w:p w14:paraId="36F1EC6E" w14:textId="77777777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>Conformément aux accords NAO, la grille d’ancienneté s’appliquera automatiquement aux salariés concernés, suivants leur ancienneté.</w:t>
      </w:r>
    </w:p>
    <w:p w14:paraId="22EA73C9" w14:textId="73745193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</w:p>
    <w:p w14:paraId="506A6F36" w14:textId="77777777" w:rsidP="009436B6" w:rsidR="00BA4AFE" w:rsidRDefault="00BA4AFE" w:rsidRPr="00457A4D">
      <w:pPr>
        <w:spacing w:line="276" w:lineRule="auto"/>
        <w:jc w:val="both"/>
        <w:rPr>
          <w:rFonts w:ascii="Tahoma" w:cs="Tahoma" w:hAnsi="Tahoma"/>
        </w:rPr>
      </w:pPr>
    </w:p>
    <w:p w14:paraId="090407BC" w14:textId="05F53DFF" w:rsidP="00622A55" w:rsidR="00622A55" w:rsidRDefault="00622A55" w:rsidRPr="00457A4D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  <w:bookmarkStart w:id="6" w:name="_Toc70940285"/>
      <w:bookmarkStart w:id="7" w:name="_Toc1578534"/>
      <w:r w:rsidRPr="00457A4D">
        <w:rPr>
          <w:rFonts w:ascii="Tahoma" w:cs="Tahoma" w:hAnsi="Tahoma"/>
          <w:b/>
          <w:u w:val="single"/>
        </w:rPr>
        <w:t xml:space="preserve">Article 2 – </w:t>
      </w:r>
      <w:r>
        <w:rPr>
          <w:rFonts w:ascii="Tahoma" w:cs="Tahoma" w:hAnsi="Tahoma"/>
          <w:b/>
          <w:u w:val="single"/>
        </w:rPr>
        <w:t>Prime exceptionnelle</w:t>
      </w:r>
      <w:bookmarkEnd w:id="6"/>
      <w:r w:rsidR="00102164">
        <w:rPr>
          <w:rFonts w:ascii="Tahoma" w:cs="Tahoma" w:hAnsi="Tahoma"/>
          <w:b/>
          <w:u w:val="single"/>
        </w:rPr>
        <w:t xml:space="preserve"> de pouvoir d’achat</w:t>
      </w:r>
    </w:p>
    <w:p w14:paraId="7AA9642D" w14:textId="77777777" w:rsidP="00622A55" w:rsidR="00622A55" w:rsidRDefault="00622A55">
      <w:pPr>
        <w:spacing w:line="276" w:lineRule="auto"/>
        <w:jc w:val="both"/>
        <w:rPr>
          <w:rFonts w:ascii="Tahoma" w:cs="Tahoma" w:hAnsi="Tahoma"/>
        </w:rPr>
      </w:pPr>
    </w:p>
    <w:p w14:paraId="4F750AFB" w14:textId="77777777" w:rsidP="00622A55" w:rsidR="00622A55" w:rsidRDefault="00622A55" w:rsidRPr="00457A4D">
      <w:pPr>
        <w:spacing w:line="276" w:lineRule="auto"/>
        <w:jc w:val="both"/>
        <w:rPr>
          <w:rFonts w:ascii="Tahoma" w:cs="Tahoma" w:hAnsi="Tahoma"/>
          <w:i/>
        </w:rPr>
      </w:pPr>
      <w:r w:rsidRPr="00457A4D">
        <w:rPr>
          <w:rFonts w:ascii="Tahoma" w:cs="Tahoma" w:hAnsi="Tahoma"/>
          <w:i/>
        </w:rPr>
        <w:t>Cette mesure est applicable à toutes catégories sauf les cadres et les contrats atypiques (professionnalisation, apprentissage, stage…)</w:t>
      </w:r>
      <w:r>
        <w:rPr>
          <w:rFonts w:ascii="Tahoma" w:cs="Tahoma" w:hAnsi="Tahoma"/>
          <w:i/>
        </w:rPr>
        <w:t xml:space="preserve"> et les contrats de travail temporaire</w:t>
      </w:r>
      <w:r w:rsidRPr="00457A4D">
        <w:rPr>
          <w:rFonts w:ascii="Tahoma" w:cs="Tahoma" w:hAnsi="Tahoma"/>
          <w:i/>
        </w:rPr>
        <w:t>.</w:t>
      </w:r>
    </w:p>
    <w:p w14:paraId="58332A1B" w14:textId="77777777" w:rsidP="00622A55" w:rsidR="00622A55" w:rsidRDefault="00622A55">
      <w:pPr>
        <w:spacing w:line="276" w:lineRule="auto"/>
        <w:jc w:val="both"/>
        <w:rPr>
          <w:rFonts w:ascii="Tahoma" w:cs="Tahoma" w:hAnsi="Tahoma"/>
        </w:rPr>
      </w:pPr>
    </w:p>
    <w:p w14:paraId="3DE32F5E" w14:textId="00D21F0E" w:rsidP="00622A55" w:rsidR="00622A55" w:rsidRDefault="00622A55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 xml:space="preserve">A titre de </w:t>
      </w:r>
      <w:r w:rsidR="00844AC1">
        <w:rPr>
          <w:rFonts w:ascii="Tahoma" w:cs="Tahoma" w:hAnsi="Tahoma"/>
        </w:rPr>
        <w:t>gratification</w:t>
      </w:r>
      <w:r w:rsidRPr="00457A4D">
        <w:rPr>
          <w:rFonts w:ascii="Tahoma" w:cs="Tahoma" w:hAnsi="Tahoma"/>
        </w:rPr>
        <w:t xml:space="preserve"> pour les salariés qui ont continué de travailler en tout ou partie </w:t>
      </w:r>
      <w:r>
        <w:rPr>
          <w:rFonts w:ascii="Tahoma" w:cs="Tahoma" w:hAnsi="Tahoma"/>
        </w:rPr>
        <w:t xml:space="preserve">en 2021 </w:t>
      </w:r>
      <w:r w:rsidRPr="00457A4D">
        <w:rPr>
          <w:rFonts w:ascii="Tahoma" w:cs="Tahoma" w:hAnsi="Tahoma"/>
        </w:rPr>
        <w:t xml:space="preserve">pendant la période de pandémie liée au COVID 19, l’entreprise verse une prime exceptionnelle </w:t>
      </w:r>
      <w:r w:rsidR="001E2852">
        <w:rPr>
          <w:rFonts w:ascii="Tahoma" w:cs="Tahoma" w:hAnsi="Tahoma"/>
        </w:rPr>
        <w:t xml:space="preserve">de pouvoir d’achat </w:t>
      </w:r>
      <w:r w:rsidR="00405CD7">
        <w:rPr>
          <w:rFonts w:ascii="Tahoma" w:cs="Tahoma" w:hAnsi="Tahoma"/>
        </w:rPr>
        <w:t xml:space="preserve">dite « prime Macron » </w:t>
      </w:r>
      <w:r w:rsidRPr="00457A4D">
        <w:rPr>
          <w:rFonts w:ascii="Tahoma" w:cs="Tahoma" w:hAnsi="Tahoma"/>
        </w:rPr>
        <w:t>exonérée de cotisations sociales et d’impôts sur le revenu</w:t>
      </w:r>
      <w:r>
        <w:rPr>
          <w:rFonts w:ascii="Tahoma" w:cs="Tahoma" w:hAnsi="Tahoma"/>
        </w:rPr>
        <w:t>.</w:t>
      </w:r>
    </w:p>
    <w:p w14:paraId="4F9CEFA8" w14:textId="77777777" w:rsidP="00622A55" w:rsidR="00622A55" w:rsidRDefault="00622A55">
      <w:pPr>
        <w:spacing w:line="276" w:lineRule="auto"/>
        <w:jc w:val="both"/>
        <w:rPr>
          <w:rFonts w:ascii="Tahoma" w:cs="Tahoma" w:hAnsi="Tahoma"/>
        </w:rPr>
      </w:pPr>
    </w:p>
    <w:p w14:paraId="52A2D6F2" w14:textId="6AB53E10" w:rsidP="00622A55" w:rsidR="00622A55" w:rsidRDefault="00622A55" w:rsidRPr="003C51C6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 xml:space="preserve">Cette prime est versée </w:t>
      </w:r>
      <w:r w:rsidR="001E5C2C">
        <w:rPr>
          <w:rFonts w:ascii="Tahoma" w:cs="Tahoma" w:hAnsi="Tahoma"/>
        </w:rPr>
        <w:t xml:space="preserve">selon le barème suivant </w:t>
      </w:r>
      <w:r w:rsidR="00F36CC7" w:rsidRPr="003C51C6">
        <w:rPr>
          <w:rFonts w:ascii="Tahoma" w:cs="Tahoma" w:hAnsi="Tahoma"/>
        </w:rPr>
        <w:t xml:space="preserve">hors </w:t>
      </w:r>
      <w:r w:rsidR="004C0C5E" w:rsidRPr="003C51C6">
        <w:rPr>
          <w:rFonts w:ascii="Tahoma" w:cs="Tahoma" w:hAnsi="Tahoma"/>
        </w:rPr>
        <w:t>absences liées au Covid 19 (maladie et activité partielle) et cas contact</w:t>
      </w:r>
      <w:r w:rsidR="00FE625C">
        <w:rPr>
          <w:rFonts w:ascii="Tahoma" w:cs="Tahoma" w:hAnsi="Tahoma"/>
        </w:rPr>
        <w:t>, salariés en mi-temps thérapeutique, cong</w:t>
      </w:r>
      <w:r w:rsidR="000E28F3">
        <w:rPr>
          <w:rFonts w:ascii="Tahoma" w:cs="Tahoma" w:hAnsi="Tahoma"/>
        </w:rPr>
        <w:t xml:space="preserve">és de maternité et </w:t>
      </w:r>
      <w:r w:rsidR="00995E11">
        <w:rPr>
          <w:rFonts w:ascii="Tahoma" w:cs="Tahoma" w:hAnsi="Tahoma"/>
        </w:rPr>
        <w:t>paternité</w:t>
      </w:r>
      <w:r w:rsidR="00AD2FBC" w:rsidRPr="003C51C6">
        <w:rPr>
          <w:rFonts w:ascii="Tahoma" w:cs="Tahoma" w:hAnsi="Tahoma"/>
        </w:rPr>
        <w:t> :</w:t>
      </w:r>
    </w:p>
    <w:p w14:paraId="5808D84F" w14:textId="5F26A7AD" w:rsidP="00622A55" w:rsidR="00AD2FBC" w:rsidRDefault="00AD2FBC">
      <w:pPr>
        <w:spacing w:line="276" w:lineRule="auto"/>
        <w:jc w:val="both"/>
        <w:rPr>
          <w:rFonts w:ascii="Tahoma" w:cs="Tahoma" w:hAnsi="Tahoma"/>
        </w:rPr>
      </w:pPr>
    </w:p>
    <w:p w14:paraId="68FB79C7" w14:textId="7524CAA4" w:rsidP="00AD2FBC" w:rsidR="00AD2FBC" w:rsidRDefault="00AD2FBC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Salarié absent sur toute la période du 1</w:t>
      </w:r>
      <w:r w:rsidRPr="00AD2FBC">
        <w:rPr>
          <w:rFonts w:ascii="Tahoma" w:cs="Tahoma" w:hAnsi="Tahoma"/>
          <w:vertAlign w:val="superscript"/>
        </w:rPr>
        <w:t>er</w:t>
      </w:r>
      <w:r>
        <w:rPr>
          <w:rFonts w:ascii="Tahoma" w:cs="Tahoma" w:hAnsi="Tahoma"/>
        </w:rPr>
        <w:t xml:space="preserve"> janvier au 31 décembre 2021 = </w:t>
      </w:r>
      <w:r w:rsidR="006E3AA1">
        <w:rPr>
          <w:rFonts w:ascii="Tahoma" w:cs="Tahoma" w:hAnsi="Tahoma"/>
        </w:rPr>
        <w:t>pas de prime</w:t>
      </w:r>
    </w:p>
    <w:p w14:paraId="1F7EE36D" w14:textId="5677AE20" w:rsidP="00AD2FBC" w:rsidR="006E3AA1" w:rsidRDefault="006E3AA1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Salarié </w:t>
      </w:r>
      <w:r w:rsidR="001B44F4">
        <w:rPr>
          <w:rFonts w:ascii="Tahoma" w:cs="Tahoma" w:hAnsi="Tahoma"/>
        </w:rPr>
        <w:t>absent plus de 180 jours et moins de 365 jours sur la période du 1</w:t>
      </w:r>
      <w:r w:rsidR="001B44F4" w:rsidRPr="001B44F4">
        <w:rPr>
          <w:rFonts w:ascii="Tahoma" w:cs="Tahoma" w:hAnsi="Tahoma"/>
          <w:vertAlign w:val="superscript"/>
        </w:rPr>
        <w:t>er</w:t>
      </w:r>
      <w:r w:rsidR="001B44F4">
        <w:rPr>
          <w:rFonts w:ascii="Tahoma" w:cs="Tahoma" w:hAnsi="Tahoma"/>
        </w:rPr>
        <w:t xml:space="preserve"> janvier au 31 décembre 2021 = </w:t>
      </w:r>
      <w:r w:rsidR="00416C07">
        <w:rPr>
          <w:rFonts w:ascii="Tahoma" w:cs="Tahoma" w:hAnsi="Tahoma"/>
        </w:rPr>
        <w:t>prime 300 € net</w:t>
      </w:r>
    </w:p>
    <w:p w14:paraId="0277463A" w14:textId="7C0FB562" w:rsidP="00150D9C" w:rsidR="00150D9C" w:rsidRDefault="00150D9C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Salarié absent moins de 180 jours sur la période du 1</w:t>
      </w:r>
      <w:r w:rsidRPr="001B44F4">
        <w:rPr>
          <w:rFonts w:ascii="Tahoma" w:cs="Tahoma" w:hAnsi="Tahoma"/>
          <w:vertAlign w:val="superscript"/>
        </w:rPr>
        <w:t>er</w:t>
      </w:r>
      <w:r>
        <w:rPr>
          <w:rFonts w:ascii="Tahoma" w:cs="Tahoma" w:hAnsi="Tahoma"/>
        </w:rPr>
        <w:t xml:space="preserve"> janvier au 31 décembre 2021 = prime </w:t>
      </w:r>
      <w:r w:rsidR="00C156CD">
        <w:rPr>
          <w:rFonts w:ascii="Tahoma" w:cs="Tahoma" w:hAnsi="Tahoma"/>
        </w:rPr>
        <w:t>6</w:t>
      </w:r>
      <w:r>
        <w:rPr>
          <w:rFonts w:ascii="Tahoma" w:cs="Tahoma" w:hAnsi="Tahoma"/>
        </w:rPr>
        <w:t>00 € net</w:t>
      </w:r>
    </w:p>
    <w:p w14:paraId="01AE79A6" w14:textId="29914387" w:rsidP="00C6577F" w:rsidR="00C6577F" w:rsidRDefault="00C6577F">
      <w:pPr>
        <w:spacing w:line="276" w:lineRule="auto"/>
        <w:jc w:val="both"/>
        <w:rPr>
          <w:rFonts w:ascii="Tahoma" w:cs="Tahoma" w:hAnsi="Tahoma"/>
        </w:rPr>
      </w:pPr>
    </w:p>
    <w:p w14:paraId="44D85C12" w14:textId="2BD9229D" w:rsidP="00C6577F" w:rsidR="00C6577F" w:rsidRDefault="00C6577F">
      <w:p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La prime sera versée sur le salaire du mois de mars 2022.</w:t>
      </w:r>
    </w:p>
    <w:p w14:paraId="4411A61F" w14:textId="741ECFDF" w:rsidP="00C6577F" w:rsidR="00DE2B7F" w:rsidRDefault="00DE2B7F">
      <w:pPr>
        <w:spacing w:line="276" w:lineRule="auto"/>
        <w:jc w:val="both"/>
        <w:rPr>
          <w:rFonts w:ascii="Tahoma" w:cs="Tahoma" w:hAnsi="Tahoma"/>
        </w:rPr>
      </w:pPr>
    </w:p>
    <w:p w14:paraId="5D198B55" w14:textId="38031651" w:rsidP="00C6577F" w:rsidR="00DE2B7F" w:rsidRDefault="00DE2B7F">
      <w:pPr>
        <w:spacing w:line="276" w:lineRule="auto"/>
        <w:jc w:val="both"/>
        <w:rPr>
          <w:rFonts w:ascii="Tahoma" w:cs="Tahoma" w:hAnsi="Tahoma"/>
        </w:rPr>
      </w:pPr>
    </w:p>
    <w:p w14:paraId="697C047B" w14:textId="77777777" w:rsidP="00C6577F" w:rsidR="00DE2B7F" w:rsidRDefault="00DE2B7F" w:rsidRPr="00C6577F">
      <w:pPr>
        <w:spacing w:line="276" w:lineRule="auto"/>
        <w:jc w:val="both"/>
        <w:rPr>
          <w:rFonts w:ascii="Tahoma" w:cs="Tahoma" w:hAnsi="Tahoma"/>
        </w:rPr>
      </w:pPr>
    </w:p>
    <w:p w14:paraId="1A253E5E" w14:textId="77777777" w:rsidP="00622A55" w:rsidR="00150D9C" w:rsidRDefault="00150D9C">
      <w:pPr>
        <w:spacing w:line="276" w:lineRule="auto"/>
        <w:jc w:val="both"/>
        <w:rPr>
          <w:rFonts w:ascii="Tahoma" w:cs="Tahoma" w:hAnsi="Tahoma"/>
        </w:rPr>
      </w:pPr>
    </w:p>
    <w:p w14:paraId="2DD0175E" w14:textId="77777777" w:rsidP="00622A55" w:rsidR="00622A55" w:rsidRDefault="00622A55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  <w:bookmarkStart w:id="8" w:name="_Toc70940286"/>
      <w:r w:rsidRPr="00457A4D">
        <w:rPr>
          <w:rFonts w:ascii="Tahoma" w:cs="Tahoma" w:hAnsi="Tahoma"/>
          <w:b/>
          <w:u w:val="single"/>
        </w:rPr>
        <w:t xml:space="preserve">Article </w:t>
      </w:r>
      <w:r>
        <w:rPr>
          <w:rFonts w:ascii="Tahoma" w:cs="Tahoma" w:hAnsi="Tahoma"/>
          <w:b/>
          <w:u w:val="single"/>
        </w:rPr>
        <w:t>3</w:t>
      </w:r>
      <w:r w:rsidRPr="00457A4D">
        <w:rPr>
          <w:rFonts w:ascii="Tahoma" w:cs="Tahoma" w:hAnsi="Tahoma"/>
          <w:b/>
          <w:u w:val="single"/>
        </w:rPr>
        <w:t xml:space="preserve"> – </w:t>
      </w:r>
      <w:r>
        <w:rPr>
          <w:rFonts w:ascii="Tahoma" w:cs="Tahoma" w:hAnsi="Tahoma"/>
          <w:b/>
          <w:u w:val="single"/>
        </w:rPr>
        <w:t>Prime de non-accident et 4/30</w:t>
      </w:r>
      <w:r w:rsidRPr="00671FBA">
        <w:rPr>
          <w:rFonts w:ascii="Tahoma" w:cs="Tahoma" w:hAnsi="Tahoma"/>
          <w:b/>
          <w:u w:val="single"/>
          <w:vertAlign w:val="superscript"/>
        </w:rPr>
        <w:t>ème</w:t>
      </w:r>
      <w:bookmarkEnd w:id="8"/>
      <w:r>
        <w:rPr>
          <w:rFonts w:ascii="Tahoma" w:cs="Tahoma" w:hAnsi="Tahoma"/>
          <w:b/>
          <w:u w:val="single"/>
        </w:rPr>
        <w:t xml:space="preserve"> </w:t>
      </w:r>
    </w:p>
    <w:p w14:paraId="231D3B1B" w14:textId="77777777" w:rsidP="00622A55" w:rsidR="00622A55" w:rsidRDefault="00622A55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</w:p>
    <w:p w14:paraId="33713900" w14:textId="2D8352D4" w:rsidP="00622A55" w:rsidR="00622A55" w:rsidRDefault="00622A55" w:rsidRPr="006B6D9D">
      <w:pPr>
        <w:spacing w:line="276" w:lineRule="auto"/>
        <w:jc w:val="both"/>
        <w:outlineLvl w:val="0"/>
        <w:rPr>
          <w:rFonts w:ascii="Tahoma" w:cs="Tahoma" w:hAnsi="Tahoma"/>
          <w:bCs/>
        </w:rPr>
      </w:pPr>
      <w:bookmarkStart w:id="9" w:name="_Toc70940287"/>
      <w:r>
        <w:rPr>
          <w:rFonts w:ascii="Tahoma" w:cs="Tahoma" w:hAnsi="Tahoma"/>
          <w:bCs/>
        </w:rPr>
        <w:t>A titre exceptionnel, les absences Covid 19 et cas contact seront neutralisées dans le calcul de la PNA 202</w:t>
      </w:r>
      <w:r w:rsidR="004909DD">
        <w:rPr>
          <w:rFonts w:ascii="Tahoma" w:cs="Tahoma" w:hAnsi="Tahoma"/>
          <w:bCs/>
        </w:rPr>
        <w:t>1</w:t>
      </w:r>
      <w:r>
        <w:rPr>
          <w:rFonts w:ascii="Tahoma" w:cs="Tahoma" w:hAnsi="Tahoma"/>
          <w:bCs/>
        </w:rPr>
        <w:t>/202</w:t>
      </w:r>
      <w:r w:rsidR="004909DD">
        <w:rPr>
          <w:rFonts w:ascii="Tahoma" w:cs="Tahoma" w:hAnsi="Tahoma"/>
          <w:bCs/>
        </w:rPr>
        <w:t>2</w:t>
      </w:r>
      <w:r>
        <w:rPr>
          <w:rFonts w:ascii="Tahoma" w:cs="Tahoma" w:hAnsi="Tahoma"/>
          <w:bCs/>
        </w:rPr>
        <w:t xml:space="preserve"> et du 4/30</w:t>
      </w:r>
      <w:r w:rsidRPr="00671FBA">
        <w:rPr>
          <w:rFonts w:ascii="Tahoma" w:cs="Tahoma" w:hAnsi="Tahoma"/>
          <w:bCs/>
          <w:vertAlign w:val="superscript"/>
        </w:rPr>
        <w:t>ème</w:t>
      </w:r>
      <w:r>
        <w:rPr>
          <w:rFonts w:ascii="Tahoma" w:cs="Tahoma" w:hAnsi="Tahoma"/>
          <w:bCs/>
        </w:rPr>
        <w:t xml:space="preserve"> qui s</w:t>
      </w:r>
      <w:r w:rsidR="00C07D2F">
        <w:rPr>
          <w:rFonts w:ascii="Tahoma" w:cs="Tahoma" w:hAnsi="Tahoma"/>
          <w:bCs/>
        </w:rPr>
        <w:t>eront</w:t>
      </w:r>
      <w:r>
        <w:rPr>
          <w:rFonts w:ascii="Tahoma" w:cs="Tahoma" w:hAnsi="Tahoma"/>
          <w:bCs/>
        </w:rPr>
        <w:t xml:space="preserve"> versé</w:t>
      </w:r>
      <w:r w:rsidR="00C07D2F">
        <w:rPr>
          <w:rFonts w:ascii="Tahoma" w:cs="Tahoma" w:hAnsi="Tahoma"/>
          <w:bCs/>
        </w:rPr>
        <w:t>s</w:t>
      </w:r>
      <w:r>
        <w:rPr>
          <w:rFonts w:ascii="Tahoma" w:cs="Tahoma" w:hAnsi="Tahoma"/>
          <w:bCs/>
        </w:rPr>
        <w:t xml:space="preserve"> en juin 202</w:t>
      </w:r>
      <w:r w:rsidR="00BF344F">
        <w:rPr>
          <w:rFonts w:ascii="Tahoma" w:cs="Tahoma" w:hAnsi="Tahoma"/>
          <w:bCs/>
        </w:rPr>
        <w:t>2</w:t>
      </w:r>
      <w:r>
        <w:rPr>
          <w:rFonts w:ascii="Tahoma" w:cs="Tahoma" w:hAnsi="Tahoma"/>
          <w:bCs/>
        </w:rPr>
        <w:t>.</w:t>
      </w:r>
      <w:bookmarkEnd w:id="9"/>
    </w:p>
    <w:p w14:paraId="28B022C5" w14:textId="77777777" w:rsidP="00622A55" w:rsidR="00622A55" w:rsidRDefault="00622A55">
      <w:pPr>
        <w:spacing w:line="276" w:lineRule="auto"/>
        <w:jc w:val="both"/>
        <w:rPr>
          <w:rFonts w:ascii="Tahoma" w:cs="Tahoma" w:hAnsi="Tahoma"/>
          <w:b/>
          <w:bCs/>
          <w:u w:val="single"/>
        </w:rPr>
      </w:pPr>
    </w:p>
    <w:p w14:paraId="06F31C3E" w14:textId="77777777" w:rsidP="00622A55" w:rsidR="00BA4AFE" w:rsidRDefault="00BA4AFE">
      <w:pPr>
        <w:spacing w:line="276" w:lineRule="auto"/>
        <w:jc w:val="both"/>
        <w:rPr>
          <w:rFonts w:ascii="Tahoma" w:cs="Tahoma" w:hAnsi="Tahoma"/>
          <w:b/>
          <w:bCs/>
          <w:u w:val="single"/>
        </w:rPr>
      </w:pPr>
    </w:p>
    <w:p w14:paraId="57A9EF8E" w14:textId="55A3FEA0" w:rsidP="00622A55" w:rsidR="00622A55" w:rsidRDefault="00622A55" w:rsidRPr="0089140E">
      <w:pPr>
        <w:spacing w:line="276" w:lineRule="auto"/>
        <w:jc w:val="both"/>
        <w:rPr>
          <w:rFonts w:ascii="Tahoma" w:cs="Tahoma" w:hAnsi="Tahoma"/>
          <w:b/>
          <w:bCs/>
          <w:u w:val="single"/>
        </w:rPr>
      </w:pPr>
      <w:r w:rsidRPr="0089140E">
        <w:rPr>
          <w:rFonts w:ascii="Tahoma" w:cs="Tahoma" w:hAnsi="Tahoma"/>
          <w:b/>
          <w:bCs/>
          <w:u w:val="single"/>
        </w:rPr>
        <w:t xml:space="preserve">Article </w:t>
      </w:r>
      <w:r>
        <w:rPr>
          <w:rFonts w:ascii="Tahoma" w:cs="Tahoma" w:hAnsi="Tahoma"/>
          <w:b/>
          <w:bCs/>
          <w:u w:val="single"/>
        </w:rPr>
        <w:t>4</w:t>
      </w:r>
      <w:r w:rsidRPr="0089140E">
        <w:rPr>
          <w:rFonts w:ascii="Tahoma" w:cs="Tahoma" w:hAnsi="Tahoma"/>
          <w:b/>
          <w:bCs/>
          <w:u w:val="single"/>
        </w:rPr>
        <w:t xml:space="preserve"> – Prime de blanchissage</w:t>
      </w:r>
      <w:r w:rsidR="00460A33">
        <w:rPr>
          <w:rFonts w:ascii="Tahoma" w:cs="Tahoma" w:hAnsi="Tahoma"/>
          <w:b/>
          <w:bCs/>
          <w:u w:val="single"/>
        </w:rPr>
        <w:t xml:space="preserve"> exceptionnelle</w:t>
      </w:r>
    </w:p>
    <w:p w14:paraId="2D57F806" w14:textId="77777777" w:rsidP="00622A55" w:rsidR="00622A55" w:rsidRDefault="00622A55">
      <w:pPr>
        <w:spacing w:line="276" w:lineRule="auto"/>
        <w:jc w:val="both"/>
        <w:rPr>
          <w:rFonts w:ascii="Tahoma" w:cs="Tahoma" w:hAnsi="Tahoma"/>
        </w:rPr>
      </w:pPr>
    </w:p>
    <w:p w14:paraId="6A0004D6" w14:textId="7279C836" w:rsidP="00622A55" w:rsidR="007179FA" w:rsidRDefault="00BF6E51">
      <w:pPr>
        <w:spacing w:line="276" w:lineRule="auto"/>
        <w:jc w:val="both"/>
        <w:rPr>
          <w:rFonts w:ascii="Tahoma" w:cs="Tahoma" w:hAnsi="Tahoma"/>
        </w:rPr>
      </w:pPr>
      <w:r>
        <w:rPr>
          <w:rFonts w:ascii="Tahoma" w:cs="Tahoma" w:hAnsi="Tahoma"/>
        </w:rPr>
        <w:t>Selon les unités d’affectation et p</w:t>
      </w:r>
      <w:r w:rsidR="00EE3F66">
        <w:rPr>
          <w:rFonts w:ascii="Tahoma" w:cs="Tahoma" w:hAnsi="Tahoma"/>
        </w:rPr>
        <w:t>our ceux qui la perçoivent</w:t>
      </w:r>
      <w:r w:rsidR="00E97C08">
        <w:rPr>
          <w:rFonts w:ascii="Tahoma" w:cs="Tahoma" w:hAnsi="Tahoma"/>
        </w:rPr>
        <w:t>,</w:t>
      </w:r>
      <w:r w:rsidR="007179FA">
        <w:rPr>
          <w:rFonts w:ascii="Tahoma" w:cs="Tahoma" w:hAnsi="Tahoma"/>
        </w:rPr>
        <w:t xml:space="preserve"> incluant le service maintenance</w:t>
      </w:r>
      <w:r w:rsidR="00EE3F66">
        <w:rPr>
          <w:rFonts w:ascii="Tahoma" w:cs="Tahoma" w:hAnsi="Tahoma"/>
        </w:rPr>
        <w:t xml:space="preserve">, </w:t>
      </w:r>
      <w:r w:rsidR="00DE4BBA">
        <w:rPr>
          <w:rFonts w:ascii="Tahoma" w:cs="Tahoma" w:hAnsi="Tahoma"/>
        </w:rPr>
        <w:t>il est versé à titre exceptionnel pour 202</w:t>
      </w:r>
      <w:r w:rsidR="00E81ACC">
        <w:rPr>
          <w:rFonts w:ascii="Tahoma" w:cs="Tahoma" w:hAnsi="Tahoma"/>
        </w:rPr>
        <w:t>2 une</w:t>
      </w:r>
      <w:r w:rsidR="00622A55">
        <w:rPr>
          <w:rFonts w:ascii="Tahoma" w:cs="Tahoma" w:hAnsi="Tahoma"/>
        </w:rPr>
        <w:t xml:space="preserve"> prime de blanchissage </w:t>
      </w:r>
      <w:r w:rsidR="00E81ACC">
        <w:rPr>
          <w:rFonts w:ascii="Tahoma" w:cs="Tahoma" w:hAnsi="Tahoma"/>
        </w:rPr>
        <w:t xml:space="preserve">d’un montant net </w:t>
      </w:r>
      <w:r w:rsidR="007179FA">
        <w:rPr>
          <w:rFonts w:ascii="Tahoma" w:cs="Tahoma" w:hAnsi="Tahoma"/>
        </w:rPr>
        <w:t>:</w:t>
      </w:r>
    </w:p>
    <w:p w14:paraId="61F6BEA4" w14:textId="77777777" w:rsidP="00622A55" w:rsidR="007179FA" w:rsidRDefault="007179FA">
      <w:pPr>
        <w:spacing w:line="276" w:lineRule="auto"/>
        <w:jc w:val="both"/>
        <w:rPr>
          <w:rFonts w:ascii="Tahoma" w:cs="Tahoma" w:hAnsi="Tahoma"/>
        </w:rPr>
      </w:pPr>
    </w:p>
    <w:p w14:paraId="22D2C510" w14:textId="5BC5CAF9" w:rsidP="00E97C08" w:rsidR="00622A55" w:rsidRDefault="007179FA" w:rsidRPr="00E81ACC">
      <w:pPr>
        <w:pStyle w:val="Paragraphedeliste"/>
        <w:numPr>
          <w:ilvl w:val="0"/>
          <w:numId w:val="16"/>
        </w:numPr>
        <w:spacing w:line="276" w:lineRule="auto"/>
        <w:ind w:hanging="426" w:left="426"/>
        <w:jc w:val="both"/>
        <w:rPr>
          <w:rFonts w:ascii="Tahoma" w:cs="Tahoma" w:hAnsi="Tahoma"/>
        </w:rPr>
      </w:pPr>
      <w:r w:rsidRPr="00E81ACC">
        <w:rPr>
          <w:rFonts w:ascii="Tahoma" w:cs="Tahoma" w:hAnsi="Tahoma"/>
        </w:rPr>
        <w:t>Uni</w:t>
      </w:r>
      <w:r w:rsidR="00FF5733" w:rsidRPr="00E81ACC">
        <w:rPr>
          <w:rFonts w:ascii="Tahoma" w:cs="Tahoma" w:hAnsi="Tahoma"/>
        </w:rPr>
        <w:t>tés de Tremblay et ses annexes : 2</w:t>
      </w:r>
      <w:r w:rsidR="00622A55" w:rsidRPr="00E81ACC">
        <w:rPr>
          <w:rFonts w:ascii="Tahoma" w:cs="Tahoma" w:hAnsi="Tahoma"/>
        </w:rPr>
        <w:t>00€ net pour l’année 202</w:t>
      </w:r>
      <w:r w:rsidR="00FA2B8C" w:rsidRPr="00E81ACC">
        <w:rPr>
          <w:rFonts w:ascii="Tahoma" w:cs="Tahoma" w:hAnsi="Tahoma"/>
        </w:rPr>
        <w:t>2</w:t>
      </w:r>
      <w:r w:rsidR="00622A55" w:rsidRPr="00E81ACC">
        <w:rPr>
          <w:rFonts w:ascii="Tahoma" w:cs="Tahoma" w:hAnsi="Tahoma"/>
        </w:rPr>
        <w:t xml:space="preserve"> </w:t>
      </w:r>
      <w:r w:rsidR="00C235FF" w:rsidRPr="00E81ACC">
        <w:rPr>
          <w:rFonts w:ascii="Tahoma" w:cs="Tahoma" w:hAnsi="Tahoma"/>
        </w:rPr>
        <w:t>uniquement</w:t>
      </w:r>
      <w:r w:rsidR="00C87A77">
        <w:rPr>
          <w:rFonts w:ascii="Tahoma" w:cs="Tahoma" w:hAnsi="Tahoma"/>
        </w:rPr>
        <w:t>. La prime est</w:t>
      </w:r>
      <w:r w:rsidR="00405CD7" w:rsidRPr="00E81ACC">
        <w:rPr>
          <w:rFonts w:ascii="Tahoma" w:cs="Tahoma" w:hAnsi="Tahoma"/>
        </w:rPr>
        <w:t> </w:t>
      </w:r>
      <w:r w:rsidR="008D622B" w:rsidRPr="00E81ACC">
        <w:rPr>
          <w:rFonts w:ascii="Tahoma" w:cs="Tahoma" w:hAnsi="Tahoma"/>
        </w:rPr>
        <w:t xml:space="preserve">versée </w:t>
      </w:r>
      <w:r w:rsidR="00622A55" w:rsidRPr="00E81ACC">
        <w:rPr>
          <w:rFonts w:ascii="Tahoma" w:cs="Tahoma" w:hAnsi="Tahoma"/>
        </w:rPr>
        <w:t xml:space="preserve">en une fois sur la paie de </w:t>
      </w:r>
      <w:r w:rsidR="000E28F3">
        <w:rPr>
          <w:rFonts w:ascii="Tahoma" w:cs="Tahoma" w:hAnsi="Tahoma"/>
        </w:rPr>
        <w:t>mars</w:t>
      </w:r>
      <w:r w:rsidR="00622A55" w:rsidRPr="00E81ACC">
        <w:rPr>
          <w:rFonts w:ascii="Tahoma" w:cs="Tahoma" w:hAnsi="Tahoma"/>
        </w:rPr>
        <w:t xml:space="preserve"> 202</w:t>
      </w:r>
      <w:r w:rsidR="00C76CDD" w:rsidRPr="00E81ACC">
        <w:rPr>
          <w:rFonts w:ascii="Tahoma" w:cs="Tahoma" w:hAnsi="Tahoma"/>
        </w:rPr>
        <w:t>2</w:t>
      </w:r>
      <w:r w:rsidR="00622A55" w:rsidRPr="00E81ACC">
        <w:rPr>
          <w:rFonts w:ascii="Tahoma" w:cs="Tahoma" w:hAnsi="Tahoma"/>
        </w:rPr>
        <w:t>.</w:t>
      </w:r>
    </w:p>
    <w:p w14:paraId="519EFB16" w14:textId="58B2FBC3" w:rsidP="00622A55" w:rsidR="00183179" w:rsidRDefault="00183179">
      <w:pPr>
        <w:spacing w:line="276" w:lineRule="auto"/>
        <w:jc w:val="both"/>
        <w:rPr>
          <w:rFonts w:ascii="Tahoma" w:cs="Tahoma" w:hAnsi="Tahoma"/>
        </w:rPr>
      </w:pPr>
    </w:p>
    <w:p w14:paraId="5EEE1964" w14:textId="37EEF674" w:rsidP="00E97C08" w:rsidR="00650A9B" w:rsidRDefault="00183179">
      <w:pPr>
        <w:pStyle w:val="Paragraphedeliste"/>
        <w:numPr>
          <w:ilvl w:val="0"/>
          <w:numId w:val="16"/>
        </w:numPr>
        <w:spacing w:line="276" w:lineRule="auto"/>
        <w:ind w:hanging="426" w:left="426"/>
        <w:jc w:val="both"/>
        <w:rPr>
          <w:rFonts w:ascii="Tahoma" w:cs="Tahoma" w:hAnsi="Tahoma"/>
        </w:rPr>
      </w:pPr>
      <w:r w:rsidRPr="00E81ACC">
        <w:rPr>
          <w:rFonts w:ascii="Tahoma" w:cs="Tahoma" w:hAnsi="Tahoma"/>
        </w:rPr>
        <w:t>Unités de Dammartin, Goussainville et leurs annexes</w:t>
      </w:r>
      <w:r w:rsidR="00650A9B" w:rsidRPr="00E81ACC">
        <w:rPr>
          <w:rFonts w:ascii="Tahoma" w:cs="Tahoma" w:hAnsi="Tahoma"/>
        </w:rPr>
        <w:t> : 100€ net pour l’année 2022 uniquement</w:t>
      </w:r>
      <w:r w:rsidR="00C87A77">
        <w:rPr>
          <w:rFonts w:ascii="Tahoma" w:cs="Tahoma" w:hAnsi="Tahoma"/>
        </w:rPr>
        <w:t xml:space="preserve">. La prime </w:t>
      </w:r>
      <w:r w:rsidR="0037689B">
        <w:rPr>
          <w:rFonts w:ascii="Tahoma" w:cs="Tahoma" w:hAnsi="Tahoma"/>
        </w:rPr>
        <w:t>est</w:t>
      </w:r>
      <w:r w:rsidR="008D622B" w:rsidRPr="00E81ACC">
        <w:rPr>
          <w:rFonts w:ascii="Tahoma" w:cs="Tahoma" w:hAnsi="Tahoma"/>
        </w:rPr>
        <w:t xml:space="preserve"> versée</w:t>
      </w:r>
      <w:r w:rsidR="00650A9B" w:rsidRPr="00E81ACC">
        <w:rPr>
          <w:rFonts w:ascii="Tahoma" w:cs="Tahoma" w:hAnsi="Tahoma"/>
        </w:rPr>
        <w:t xml:space="preserve"> en une fois sur la paie de </w:t>
      </w:r>
      <w:r w:rsidR="000C7C84">
        <w:rPr>
          <w:rFonts w:ascii="Tahoma" w:cs="Tahoma" w:hAnsi="Tahoma"/>
        </w:rPr>
        <w:t>mars</w:t>
      </w:r>
      <w:r w:rsidR="00650A9B" w:rsidRPr="00E81ACC">
        <w:rPr>
          <w:rFonts w:ascii="Tahoma" w:cs="Tahoma" w:hAnsi="Tahoma"/>
        </w:rPr>
        <w:t xml:space="preserve"> 2022.</w:t>
      </w:r>
    </w:p>
    <w:p w14:paraId="4A81F3A8" w14:textId="77777777" w:rsidP="006C0C93" w:rsidR="006C0C93" w:rsidRDefault="006C0C93" w:rsidRPr="006C0C93">
      <w:pPr>
        <w:pStyle w:val="Paragraphedeliste"/>
        <w:rPr>
          <w:rFonts w:ascii="Tahoma" w:cs="Tahoma" w:hAnsi="Tahoma"/>
        </w:rPr>
      </w:pPr>
    </w:p>
    <w:p w14:paraId="604B3A4A" w14:textId="2F70D16E" w:rsidP="006C0C93" w:rsidR="006C0C93" w:rsidRDefault="006C0C93" w:rsidRPr="00E81ACC">
      <w:pPr>
        <w:pStyle w:val="Paragraphedeliste"/>
        <w:numPr>
          <w:ilvl w:val="0"/>
          <w:numId w:val="16"/>
        </w:numPr>
        <w:spacing w:line="276" w:lineRule="auto"/>
        <w:ind w:hanging="426" w:left="426"/>
        <w:jc w:val="both"/>
        <w:rPr>
          <w:rFonts w:ascii="Tahoma" w:cs="Tahoma" w:hAnsi="Tahoma"/>
        </w:rPr>
      </w:pPr>
      <w:r w:rsidRPr="00E81ACC">
        <w:rPr>
          <w:rFonts w:ascii="Tahoma" w:cs="Tahoma" w:hAnsi="Tahoma"/>
        </w:rPr>
        <w:t>Unités d</w:t>
      </w:r>
      <w:r>
        <w:rPr>
          <w:rFonts w:ascii="Tahoma" w:cs="Tahoma" w:hAnsi="Tahoma"/>
        </w:rPr>
        <w:t>u Mesnil Amelot</w:t>
      </w:r>
      <w:r w:rsidRPr="00E81ACC">
        <w:rPr>
          <w:rFonts w:ascii="Tahoma" w:cs="Tahoma" w:hAnsi="Tahoma"/>
        </w:rPr>
        <w:t xml:space="preserve"> : </w:t>
      </w:r>
      <w:r w:rsidR="00F94640">
        <w:rPr>
          <w:rFonts w:ascii="Tahoma" w:cs="Tahoma" w:hAnsi="Tahoma"/>
        </w:rPr>
        <w:t>133.33</w:t>
      </w:r>
      <w:r w:rsidRPr="00E81ACC">
        <w:rPr>
          <w:rFonts w:ascii="Tahoma" w:cs="Tahoma" w:hAnsi="Tahoma"/>
        </w:rPr>
        <w:t>€ net pour l’année 2022 uniquement</w:t>
      </w:r>
      <w:r w:rsidR="0037689B">
        <w:rPr>
          <w:rFonts w:ascii="Tahoma" w:cs="Tahoma" w:hAnsi="Tahoma"/>
        </w:rPr>
        <w:t>. La prime est</w:t>
      </w:r>
      <w:r w:rsidRPr="00E81ACC">
        <w:rPr>
          <w:rFonts w:ascii="Tahoma" w:cs="Tahoma" w:hAnsi="Tahoma"/>
        </w:rPr>
        <w:t xml:space="preserve"> versée en une fois sur la paie de </w:t>
      </w:r>
      <w:r w:rsidR="000C7C84">
        <w:rPr>
          <w:rFonts w:ascii="Tahoma" w:cs="Tahoma" w:hAnsi="Tahoma"/>
        </w:rPr>
        <w:t>mars</w:t>
      </w:r>
      <w:r w:rsidRPr="00E81ACC">
        <w:rPr>
          <w:rFonts w:ascii="Tahoma" w:cs="Tahoma" w:hAnsi="Tahoma"/>
        </w:rPr>
        <w:t xml:space="preserve"> 2022.</w:t>
      </w:r>
    </w:p>
    <w:p w14:paraId="65715096" w14:textId="6F5101DE" w:rsidP="00622A55" w:rsidR="00183179" w:rsidRDefault="00183179">
      <w:pPr>
        <w:spacing w:line="276" w:lineRule="auto"/>
        <w:jc w:val="both"/>
        <w:rPr>
          <w:rFonts w:ascii="Tahoma" w:cs="Tahoma" w:hAnsi="Tahoma"/>
        </w:rPr>
      </w:pPr>
    </w:p>
    <w:p w14:paraId="0ADECA36" w14:textId="7C0E45E7" w:rsidP="00622A55" w:rsidR="00622A55" w:rsidRDefault="00622A55">
      <w:pPr>
        <w:spacing w:line="276" w:lineRule="auto"/>
        <w:jc w:val="both"/>
        <w:rPr>
          <w:rFonts w:ascii="Tahoma" w:cs="Tahoma" w:hAnsi="Tahoma"/>
        </w:rPr>
      </w:pPr>
    </w:p>
    <w:p w14:paraId="2AC73914" w14:textId="79CBD114" w:rsidP="009436B6" w:rsidR="009436B6" w:rsidRDefault="009436B6" w:rsidRPr="00457A4D">
      <w:pPr>
        <w:spacing w:line="276" w:lineRule="auto"/>
        <w:jc w:val="center"/>
        <w:outlineLvl w:val="0"/>
        <w:rPr>
          <w:rFonts w:ascii="Tahoma" w:cs="Tahoma" w:hAnsi="Tahoma"/>
        </w:rPr>
      </w:pPr>
      <w:bookmarkStart w:id="10" w:name="_Toc64923215"/>
      <w:bookmarkStart w:id="11" w:name="_Toc70940291"/>
      <w:r w:rsidRPr="00457A4D">
        <w:rPr>
          <w:rFonts w:ascii="Tahoma" w:cs="Tahoma" w:hAnsi="Tahoma"/>
        </w:rPr>
        <w:t>PARTIE II – CONDITIONS DE TRAVAIL</w:t>
      </w:r>
      <w:bookmarkEnd w:id="10"/>
      <w:bookmarkEnd w:id="11"/>
    </w:p>
    <w:p w14:paraId="37E58F4E" w14:textId="77777777" w:rsidP="009436B6" w:rsidR="009436B6" w:rsidRDefault="009436B6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</w:p>
    <w:p w14:paraId="3081E8D2" w14:textId="69FB054A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  <w:bookmarkStart w:id="12" w:name="_Toc355292213"/>
      <w:bookmarkStart w:id="13" w:name="_Toc1578538"/>
      <w:bookmarkStart w:id="14" w:name="_Toc64923223"/>
      <w:bookmarkStart w:id="15" w:name="_Toc70940298"/>
      <w:bookmarkEnd w:id="7"/>
      <w:r w:rsidRPr="00457A4D">
        <w:rPr>
          <w:rFonts w:ascii="Tahoma" w:cs="Tahoma" w:hAnsi="Tahoma"/>
          <w:b/>
          <w:u w:val="single"/>
        </w:rPr>
        <w:t xml:space="preserve">Article </w:t>
      </w:r>
      <w:r w:rsidR="007002ED">
        <w:rPr>
          <w:rFonts w:ascii="Tahoma" w:cs="Tahoma" w:hAnsi="Tahoma"/>
          <w:b/>
          <w:u w:val="single"/>
        </w:rPr>
        <w:t>5</w:t>
      </w:r>
      <w:r w:rsidRPr="00457A4D">
        <w:rPr>
          <w:rFonts w:ascii="Tahoma" w:cs="Tahoma" w:hAnsi="Tahoma"/>
          <w:b/>
          <w:u w:val="single"/>
        </w:rPr>
        <w:t xml:space="preserve"> – Egalité salariale femmes/hommes</w:t>
      </w:r>
      <w:bookmarkEnd w:id="12"/>
      <w:bookmarkEnd w:id="13"/>
      <w:bookmarkEnd w:id="14"/>
      <w:bookmarkEnd w:id="15"/>
    </w:p>
    <w:p w14:paraId="02CD7CFC" w14:textId="77777777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</w:p>
    <w:p w14:paraId="204087F8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Dans le cadre du respect du principe d’équité salariale entre les femmes et les hommes, la Direction comparera les salaires à poste et fonction équivalentes. En cas d’écart, le personnel féminin ou masculin concerné fera l’objet d’une augmentation complémentaire en vue de réduire ou supprimer ces écarts.</w:t>
      </w:r>
    </w:p>
    <w:p w14:paraId="66AD0651" w14:textId="7DBA1C86" w:rsidP="009436B6" w:rsidR="009436B6" w:rsidRDefault="009436B6">
      <w:pPr>
        <w:spacing w:line="276" w:lineRule="auto"/>
        <w:jc w:val="both"/>
        <w:outlineLvl w:val="0"/>
        <w:rPr>
          <w:rFonts w:ascii="Tahoma" w:cs="Tahoma" w:hAnsi="Tahoma"/>
          <w:u w:val="single"/>
        </w:rPr>
      </w:pPr>
    </w:p>
    <w:p w14:paraId="67E54932" w14:textId="77777777" w:rsidP="009436B6" w:rsidR="0055671D" w:rsidRDefault="0055671D">
      <w:pPr>
        <w:spacing w:line="276" w:lineRule="auto"/>
        <w:jc w:val="both"/>
        <w:outlineLvl w:val="0"/>
        <w:rPr>
          <w:rFonts w:ascii="Tahoma" w:cs="Tahoma" w:hAnsi="Tahoma"/>
          <w:u w:val="single"/>
        </w:rPr>
      </w:pPr>
    </w:p>
    <w:p w14:paraId="00DDA067" w14:textId="65B822A2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  <w:bookmarkStart w:id="16" w:name="_Toc1578539"/>
      <w:bookmarkStart w:id="17" w:name="_Toc64923224"/>
      <w:bookmarkStart w:id="18" w:name="_Toc70940299"/>
      <w:r w:rsidRPr="00457A4D">
        <w:rPr>
          <w:rFonts w:ascii="Tahoma" w:cs="Tahoma" w:hAnsi="Tahoma"/>
          <w:b/>
          <w:u w:val="single"/>
        </w:rPr>
        <w:t xml:space="preserve">Article </w:t>
      </w:r>
      <w:r w:rsidR="00057DFC">
        <w:rPr>
          <w:rFonts w:ascii="Tahoma" w:cs="Tahoma" w:hAnsi="Tahoma"/>
          <w:b/>
          <w:u w:val="single"/>
        </w:rPr>
        <w:t>6</w:t>
      </w:r>
      <w:r w:rsidRPr="00457A4D">
        <w:rPr>
          <w:rFonts w:ascii="Tahoma" w:cs="Tahoma" w:hAnsi="Tahoma"/>
          <w:b/>
          <w:u w:val="single"/>
        </w:rPr>
        <w:t xml:space="preserve"> – Egalité professionnelle et diversité dans l’entreprise</w:t>
      </w:r>
      <w:bookmarkEnd w:id="16"/>
      <w:bookmarkEnd w:id="17"/>
      <w:bookmarkEnd w:id="18"/>
    </w:p>
    <w:p w14:paraId="515F3362" w14:textId="77777777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  <w:bookmarkStart w:id="19" w:name="_Toc484119092"/>
      <w:bookmarkStart w:id="20" w:name="_Toc484158711"/>
      <w:bookmarkStart w:id="21" w:name="_Toc486999683"/>
      <w:bookmarkStart w:id="22" w:name="_Toc512203311"/>
      <w:bookmarkStart w:id="23" w:name="_Toc514949316"/>
      <w:bookmarkStart w:id="24" w:name="_Toc515004220"/>
      <w:bookmarkStart w:id="25" w:name="_Toc515004259"/>
      <w:bookmarkStart w:id="26" w:name="_Toc515027500"/>
      <w:bookmarkStart w:id="27" w:name="_Toc1481903"/>
      <w:bookmarkStart w:id="28" w:name="_Toc1578540"/>
      <w:bookmarkStart w:id="29" w:name="_Toc3982598"/>
      <w:bookmarkStart w:id="30" w:name="_Toc3993372"/>
      <w:bookmarkStart w:id="31" w:name="_Toc43833621"/>
    </w:p>
    <w:p w14:paraId="4C4317A2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La Direction souhaite réaffirmer le principe de non-discrimination directe ou indirecte dans l’entreprise conformément à l’article L. 1132- du Code du Travail.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457A4D">
        <w:rPr>
          <w:rFonts w:ascii="Tahoma" w:cs="Tahoma" w:hAnsi="Tahoma"/>
        </w:rPr>
        <w:t xml:space="preserve"> </w:t>
      </w:r>
    </w:p>
    <w:p w14:paraId="44EE8FC5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bookmarkStart w:id="32" w:name="_Toc484119093"/>
      <w:bookmarkStart w:id="33" w:name="_Toc484158712"/>
      <w:bookmarkStart w:id="34" w:name="_Toc486999684"/>
      <w:bookmarkStart w:id="35" w:name="_Toc512203312"/>
      <w:bookmarkStart w:id="36" w:name="_Toc514949317"/>
      <w:bookmarkStart w:id="37" w:name="_Toc515004221"/>
      <w:bookmarkStart w:id="38" w:name="_Toc515004260"/>
      <w:bookmarkStart w:id="39" w:name="_Toc515027501"/>
      <w:bookmarkStart w:id="40" w:name="_Toc1481904"/>
      <w:bookmarkStart w:id="41" w:name="_Toc1578541"/>
      <w:bookmarkStart w:id="42" w:name="_Toc3982599"/>
      <w:bookmarkStart w:id="43" w:name="_Toc3993373"/>
      <w:bookmarkStart w:id="44" w:name="_Toc43833622"/>
      <w:r w:rsidRPr="00457A4D">
        <w:rPr>
          <w:rFonts w:ascii="Tahoma" w:cs="Tahoma" w:hAnsi="Tahoma"/>
        </w:rPr>
        <w:t>Dans le cadre des recrutements, la Direction s’engage à privilégier, à compétences égales, les candidatures des femmes qui demeurent minoritaires dans certaines fonctions de l’entreprise.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62B328C" w14:textId="643675F9" w:rsidP="009436B6" w:rsidR="009436B6" w:rsidRDefault="009436B6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1858C5F9" w14:textId="1A6E346B" w:rsidP="009436B6" w:rsidR="006C0C93" w:rsidRDefault="006C0C93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10DDB734" w14:textId="24CA0090" w:rsidP="009436B6" w:rsidR="00F91563" w:rsidRDefault="00F91563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74845067" w14:textId="77777777" w:rsidP="009436B6" w:rsidR="00F91563" w:rsidRDefault="00F91563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0D8968A0" w14:textId="77777777" w:rsidP="009436B6" w:rsidR="006C0C93" w:rsidRDefault="006C0C93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532F3792" w14:textId="77777777" w:rsidP="009436B6" w:rsidR="0055671D" w:rsidRDefault="0055671D" w:rsidRPr="00457A4D">
      <w:pPr>
        <w:spacing w:line="276" w:lineRule="auto"/>
        <w:jc w:val="both"/>
        <w:outlineLvl w:val="0"/>
        <w:rPr>
          <w:rFonts w:ascii="Tahoma" w:cs="Tahoma" w:hAnsi="Tahoma"/>
        </w:rPr>
      </w:pPr>
    </w:p>
    <w:p w14:paraId="323EE466" w14:textId="2C8B6ADD" w:rsidP="009436B6" w:rsidR="009436B6" w:rsidRDefault="009436B6" w:rsidRPr="00457A4D">
      <w:pPr>
        <w:spacing w:line="276" w:lineRule="auto"/>
        <w:jc w:val="both"/>
        <w:outlineLvl w:val="0"/>
        <w:rPr>
          <w:rFonts w:ascii="Tahoma" w:cs="Tahoma" w:hAnsi="Tahoma"/>
          <w:b/>
          <w:u w:val="single"/>
        </w:rPr>
      </w:pPr>
      <w:bookmarkStart w:id="45" w:name="_Toc1578542"/>
      <w:bookmarkStart w:id="46" w:name="_Toc64923225"/>
      <w:bookmarkStart w:id="47" w:name="_Toc70940300"/>
      <w:r w:rsidRPr="00457A4D">
        <w:rPr>
          <w:rFonts w:ascii="Tahoma" w:cs="Tahoma" w:hAnsi="Tahoma"/>
          <w:b/>
          <w:u w:val="single"/>
        </w:rPr>
        <w:t xml:space="preserve">Article </w:t>
      </w:r>
      <w:r w:rsidR="00057DFC">
        <w:rPr>
          <w:rFonts w:ascii="Tahoma" w:cs="Tahoma" w:hAnsi="Tahoma"/>
          <w:b/>
          <w:u w:val="single"/>
        </w:rPr>
        <w:t>7</w:t>
      </w:r>
      <w:r>
        <w:rPr>
          <w:rFonts w:ascii="Tahoma" w:cs="Tahoma" w:hAnsi="Tahoma"/>
          <w:b/>
          <w:u w:val="single"/>
        </w:rPr>
        <w:t xml:space="preserve"> </w:t>
      </w:r>
      <w:r w:rsidRPr="00457A4D">
        <w:rPr>
          <w:rFonts w:ascii="Tahoma" w:cs="Tahoma" w:hAnsi="Tahoma"/>
          <w:b/>
          <w:u w:val="single"/>
        </w:rPr>
        <w:t>– Validité, publicité et dépôt de l’accord</w:t>
      </w:r>
      <w:bookmarkEnd w:id="45"/>
      <w:bookmarkEnd w:id="46"/>
      <w:bookmarkEnd w:id="47"/>
    </w:p>
    <w:p w14:paraId="31CCF818" w14:textId="77777777" w:rsidP="009436B6" w:rsidR="009436B6" w:rsidRDefault="009436B6" w:rsidRPr="00457A4D">
      <w:pPr>
        <w:tabs>
          <w:tab w:pos="1440" w:val="left"/>
        </w:tabs>
        <w:spacing w:line="276" w:lineRule="auto"/>
        <w:jc w:val="both"/>
        <w:rPr>
          <w:rFonts w:ascii="Tahoma" w:cs="Tahoma" w:hAnsi="Tahoma"/>
        </w:rPr>
      </w:pPr>
    </w:p>
    <w:p w14:paraId="1F567ECC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Le présent accord entrera en vigueur à la date de signature du présent accord pour une durée indéterminée.</w:t>
      </w:r>
    </w:p>
    <w:p w14:paraId="544B15ED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Il fera l’objet d’un affichage dans les conditions légales.</w:t>
      </w:r>
    </w:p>
    <w:p w14:paraId="5F94F951" w14:textId="0289FCE6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Ce faisant, les parties signataires confirment que par le présent accord les négociations annuelles obligatoires au titre de l’année 202</w:t>
      </w:r>
      <w:r w:rsidR="00E37D4E">
        <w:rPr>
          <w:rFonts w:ascii="Tahoma" w:cs="Tahoma" w:hAnsi="Tahoma"/>
        </w:rPr>
        <w:t>2</w:t>
      </w:r>
      <w:r w:rsidRPr="00457A4D">
        <w:rPr>
          <w:rFonts w:ascii="Tahoma" w:cs="Tahoma" w:hAnsi="Tahoma"/>
        </w:rPr>
        <w:t xml:space="preserve"> sont closes.</w:t>
      </w:r>
    </w:p>
    <w:p w14:paraId="712D788E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7876E182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Le présent accord est déposé auprès du Secrétariat du Greffe du Conseil des Prud’hommes, en un exemplaire.</w:t>
      </w:r>
    </w:p>
    <w:p w14:paraId="03B6373C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Deux exemplaires dont une version sur support papier signée par les parties et une version sur support électronique seront transmis à la Direction Régionale des Entreprises, de la Concurrence, de la Consommation, du Travail et de l’Emploi (DIRECCTE).</w:t>
      </w:r>
    </w:p>
    <w:p w14:paraId="233E52DD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28FDAC66" w14:textId="3A157B8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 xml:space="preserve">Fait au Mesnil AMELOT, le </w:t>
      </w:r>
      <w:r w:rsidR="00882BAF">
        <w:rPr>
          <w:rFonts w:ascii="Tahoma" w:cs="Tahoma" w:hAnsi="Tahoma"/>
        </w:rPr>
        <w:t>0</w:t>
      </w:r>
      <w:r w:rsidR="00CF6954">
        <w:rPr>
          <w:rFonts w:ascii="Tahoma" w:cs="Tahoma" w:hAnsi="Tahoma"/>
        </w:rPr>
        <w:t>8</w:t>
      </w:r>
      <w:r w:rsidR="00882BAF">
        <w:rPr>
          <w:rFonts w:ascii="Tahoma" w:cs="Tahoma" w:hAnsi="Tahoma"/>
        </w:rPr>
        <w:t xml:space="preserve"> ma</w:t>
      </w:r>
      <w:r w:rsidR="00CF6954">
        <w:rPr>
          <w:rFonts w:ascii="Tahoma" w:cs="Tahoma" w:hAnsi="Tahoma"/>
        </w:rPr>
        <w:t>rs</w:t>
      </w:r>
      <w:r w:rsidRPr="00457A4D">
        <w:rPr>
          <w:rFonts w:ascii="Tahoma" w:cs="Tahoma" w:hAnsi="Tahoma"/>
        </w:rPr>
        <w:t xml:space="preserve"> 202</w:t>
      </w:r>
      <w:r w:rsidR="00CF6954">
        <w:rPr>
          <w:rFonts w:ascii="Tahoma" w:cs="Tahoma" w:hAnsi="Tahoma"/>
        </w:rPr>
        <w:t>2</w:t>
      </w:r>
    </w:p>
    <w:p w14:paraId="26CB884E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6938DFDA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En 6 exemplaires originaux dont un à chaque partie.</w:t>
      </w:r>
    </w:p>
    <w:p w14:paraId="45F0A9A4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6336C54D" w14:textId="77777777" w:rsidP="009436B6" w:rsidR="004D2005" w:rsidRDefault="004D2005">
      <w:pPr>
        <w:spacing w:line="276" w:lineRule="auto"/>
        <w:jc w:val="both"/>
        <w:rPr>
          <w:rFonts w:cs="Tahoma"/>
        </w:rPr>
      </w:pPr>
      <w:r w:rsidRPr="00457A4D">
        <w:rPr>
          <w:rFonts w:cs="Tahoma"/>
        </w:rPr>
        <w:t>M</w:t>
      </w:r>
      <w:r>
        <w:rPr>
          <w:rFonts w:cs="Tahoma"/>
        </w:rPr>
        <w:t>_________________</w:t>
      </w:r>
    </w:p>
    <w:p w14:paraId="323014F8" w14:textId="49588017" w:rsidP="009436B6" w:rsidR="009436B6" w:rsidRDefault="009436B6" w:rsidRPr="00457A4D">
      <w:pPr>
        <w:spacing w:line="276" w:lineRule="auto"/>
        <w:jc w:val="both"/>
        <w:rPr>
          <w:rFonts w:ascii="Tahoma" w:cs="Tahoma" w:hAnsi="Tahoma"/>
          <w:lang w:val="en-US"/>
        </w:rPr>
      </w:pPr>
      <w:r w:rsidRPr="00457A4D">
        <w:rPr>
          <w:rFonts w:ascii="Tahoma" w:cs="Tahoma" w:hAnsi="Tahoma"/>
          <w:lang w:val="en-US"/>
        </w:rPr>
        <w:t>Directeur</w:t>
      </w:r>
    </w:p>
    <w:p w14:paraId="393225F0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  <w:lang w:val="en-US"/>
        </w:rPr>
      </w:pPr>
    </w:p>
    <w:p w14:paraId="53E64D44" w14:textId="19FE21AE" w:rsidP="009436B6" w:rsidR="009436B6" w:rsidRDefault="009436B6">
      <w:pPr>
        <w:spacing w:line="276" w:lineRule="auto"/>
        <w:jc w:val="both"/>
        <w:rPr>
          <w:rFonts w:ascii="Tahoma" w:cs="Tahoma" w:hAnsi="Tahoma"/>
          <w:lang w:val="en-US"/>
        </w:rPr>
      </w:pPr>
    </w:p>
    <w:p w14:paraId="455EBD78" w14:textId="77777777" w:rsidP="009436B6" w:rsidR="00A55F45" w:rsidRDefault="00A55F45" w:rsidRPr="00457A4D">
      <w:pPr>
        <w:spacing w:line="276" w:lineRule="auto"/>
        <w:jc w:val="both"/>
        <w:rPr>
          <w:rFonts w:ascii="Tahoma" w:cs="Tahoma" w:hAnsi="Tahoma"/>
          <w:lang w:val="en-US"/>
        </w:rPr>
      </w:pPr>
    </w:p>
    <w:p w14:paraId="7A78D4FB" w14:textId="61090127" w:rsidP="009436B6" w:rsidR="004D2005" w:rsidRDefault="004D2005">
      <w:pPr>
        <w:spacing w:line="276" w:lineRule="auto"/>
        <w:jc w:val="both"/>
        <w:rPr>
          <w:rFonts w:cs="Tahoma"/>
        </w:rPr>
      </w:pPr>
      <w:r w:rsidRPr="00457A4D">
        <w:rPr>
          <w:rFonts w:cs="Tahoma"/>
        </w:rPr>
        <w:t>M</w:t>
      </w:r>
      <w:r>
        <w:rPr>
          <w:rFonts w:cs="Tahoma"/>
        </w:rPr>
        <w:t>_________________</w:t>
      </w:r>
      <w:r w:rsidR="009436B6" w:rsidRPr="00457A4D">
        <w:rPr>
          <w:rFonts w:ascii="Tahoma" w:cs="Tahoma" w:hAnsi="Tahoma"/>
          <w:lang w:val="en-US"/>
        </w:rPr>
        <w:tab/>
      </w:r>
      <w:r w:rsidR="009436B6" w:rsidRPr="00457A4D">
        <w:rPr>
          <w:rFonts w:ascii="Tahoma" w:cs="Tahoma" w:hAnsi="Tahoma"/>
          <w:lang w:val="en-US"/>
        </w:rPr>
        <w:tab/>
      </w:r>
      <w:r w:rsidR="009436B6" w:rsidRPr="00457A4D">
        <w:rPr>
          <w:rFonts w:ascii="Tahoma" w:cs="Tahoma" w:hAnsi="Tahoma"/>
          <w:lang w:val="en-US"/>
        </w:rPr>
        <w:tab/>
      </w:r>
      <w:r w:rsidR="009436B6" w:rsidRPr="00457A4D">
        <w:rPr>
          <w:rFonts w:ascii="Tahoma" w:cs="Tahoma" w:hAnsi="Tahoma"/>
          <w:lang w:val="en-US"/>
        </w:rPr>
        <w:tab/>
      </w:r>
      <w:r w:rsidR="009436B6" w:rsidRPr="00457A4D">
        <w:rPr>
          <w:rFonts w:ascii="Tahoma" w:cs="Tahoma" w:hAnsi="Tahoma"/>
          <w:lang w:val="en-US"/>
        </w:rPr>
        <w:tab/>
      </w:r>
      <w:r w:rsidR="009436B6" w:rsidRPr="00457A4D">
        <w:rPr>
          <w:rFonts w:ascii="Tahoma" w:cs="Tahoma" w:hAnsi="Tahoma"/>
          <w:lang w:val="en-US"/>
        </w:rPr>
        <w:tab/>
      </w:r>
    </w:p>
    <w:p w14:paraId="37D89AF8" w14:textId="317E1E38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r w:rsidRPr="00457A4D">
        <w:rPr>
          <w:rFonts w:ascii="Tahoma" w:cs="Tahoma" w:hAnsi="Tahoma"/>
        </w:rPr>
        <w:t>Délégué Syndical CFTC</w:t>
      </w:r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</w:p>
    <w:p w14:paraId="0BBDFC28" w14:textId="5E977358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</w:p>
    <w:p w14:paraId="7330CD22" w14:textId="77777777" w:rsidP="009436B6" w:rsidR="00A55F45" w:rsidRDefault="00A55F45" w:rsidRPr="00457A4D">
      <w:pPr>
        <w:spacing w:line="276" w:lineRule="auto"/>
        <w:jc w:val="both"/>
        <w:rPr>
          <w:rFonts w:ascii="Tahoma" w:cs="Tahoma" w:hAnsi="Tahoma"/>
        </w:rPr>
      </w:pPr>
    </w:p>
    <w:p w14:paraId="127F38C4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72C0C218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0D6DD8A7" w14:textId="4E5A229C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  <w:bookmarkStart w:id="48" w:name="_GoBack"/>
      <w:bookmarkEnd w:id="48"/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  <w:r w:rsidRPr="00457A4D">
        <w:rPr>
          <w:rFonts w:ascii="Tahoma" w:cs="Tahoma" w:hAnsi="Tahoma"/>
        </w:rPr>
        <w:tab/>
      </w:r>
    </w:p>
    <w:p w14:paraId="4A1D4925" w14:textId="77777777" w:rsidP="009436B6" w:rsidR="009436B6" w:rsidRDefault="009436B6" w:rsidRPr="00457A4D">
      <w:pPr>
        <w:spacing w:line="276" w:lineRule="auto"/>
        <w:jc w:val="both"/>
        <w:rPr>
          <w:rFonts w:ascii="Tahoma" w:cs="Tahoma" w:hAnsi="Tahoma"/>
        </w:rPr>
      </w:pPr>
    </w:p>
    <w:p w14:paraId="608BFF69" w14:textId="77777777" w:rsidP="009436B6" w:rsidR="009436B6" w:rsidRDefault="009436B6">
      <w:pPr>
        <w:spacing w:line="276" w:lineRule="auto"/>
        <w:jc w:val="both"/>
        <w:rPr>
          <w:rFonts w:ascii="Tahoma" w:cs="Tahoma" w:hAnsi="Tahoma"/>
        </w:rPr>
      </w:pPr>
    </w:p>
    <w:sectPr w:rsidR="009436B6" w:rsidSect="009C09DA">
      <w:headerReference r:id="rId10" w:type="default"/>
      <w:footerReference r:id="rId11" w:type="default"/>
      <w:pgSz w:h="16838" w:w="11906"/>
      <w:pgMar w:bottom="1418" w:footer="708" w:gutter="0" w:header="708" w:left="1418" w:right="1418" w:top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02BF0" w14:textId="77777777" w:rsidR="00E0309D" w:rsidRDefault="00E0309D" w:rsidP="00F36BBD">
      <w:r>
        <w:separator/>
      </w:r>
    </w:p>
  </w:endnote>
  <w:endnote w:type="continuationSeparator" w:id="0">
    <w:p w14:paraId="21BA013A" w14:textId="77777777" w:rsidR="00E0309D" w:rsidRDefault="00E0309D" w:rsidP="00F3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8D3F6E4" w14:textId="77777777" w:rsidR="00F36BBD" w:rsidRDefault="00F36BBD">
    <w:pPr>
      <w:pStyle w:val="Pieddepage"/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59B743D9" wp14:editId="66B2C421">
              <wp:simplePos x="0" y="0"/>
              <wp:positionH relativeFrom="column">
                <wp:posOffset>182855</wp:posOffset>
              </wp:positionH>
              <wp:positionV relativeFrom="paragraph">
                <wp:posOffset>-379095</wp:posOffset>
              </wp:positionV>
              <wp:extent cx="6152083" cy="482803"/>
              <wp:effectExtent b="0" l="0" r="1270" t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2083" cy="48280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E59F3E" w14:textId="164E1279" w:rsidP="00F36BBD" w:rsidR="00F36BBD" w:rsidRDefault="006A655E" w:rsidRPr="004A6BD5">
                          <w:pPr>
                            <w:spacing w:after="100" w:afterAutospacing="1"/>
                            <w:ind w:left="113"/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cs="Arial" w:hAnsi="Arial"/>
                              <w:b/>
                              <w:color w:val="786E64"/>
                              <w:sz w:val="14"/>
                              <w:szCs w:val="14"/>
                            </w:rPr>
                            <w:t xml:space="preserve">34, rue de Guivry –CS 10041 - 77990 Le Mesnil Amelot </w:t>
                          </w:r>
                          <w:r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- 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 Téléphone : +33 </w:t>
                          </w:r>
                          <w:r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>(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>0</w:t>
                          </w:r>
                          <w:r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>)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1 </w:t>
                          </w:r>
                          <w:r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60 03 63 63 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>– F</w:t>
                          </w:r>
                          <w:r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>ax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. : +33 (0)1 </w:t>
                          </w:r>
                          <w:r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>60 03 63 50 – www.keolis-cif.com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br/>
                            <w:t>Société</w:t>
                          </w:r>
                          <w:r w:rsidR="00C52BB8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 par actions simplifiée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 au capital de </w:t>
                          </w:r>
                          <w:r w:rsidR="00C52BB8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343 696  € </w:t>
                          </w:r>
                          <w:r w:rsidR="00F36BBD" w:rsidRPr="004A6BD5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 xml:space="preserve"> </w:t>
                          </w:r>
                          <w:r w:rsidR="00C52BB8">
                            <w:rPr>
                              <w:rFonts w:ascii="Arial" w:cs="Arial" w:hAnsi="Arial"/>
                              <w:color w:val="786E64"/>
                              <w:sz w:val="14"/>
                              <w:szCs w:val="14"/>
                            </w:rPr>
                            <w:t>RCS Meaux B 562 091 132 – SIRET 562 091 132 000 59 – APE 4939A – N°TVA Intracommunautaire : FR 91 562 091 132</w:t>
                          </w:r>
                        </w:p>
                      </w:txbxContent>
                    </wps:txbx>
                    <wps:bodyPr anchor="t" anchorCtr="0" bIns="45720" lIns="91440" rIns="91440" rot="0" tIns="45720" vert="horz"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>
          <w:pict>
            <v:shapetype coordsize="21600,21600" id="_x0000_t202" o:spt="202" path="m,l,21600r21600,l21600,xe" w14:anchorId="59B743D9">
              <v:stroke joinstyle="miter"/>
              <v:path gradientshapeok="t" o:connecttype="rect"/>
            </v:shapetype>
            <v:shape id="Zone de text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lqt6JwIAACIEAAAOAAAAZHJzL2Uyb0RvYy54bWysU01v2zAMvQ/YfxB0X+w4SZsacYouXYYB 3QfQ7bKbLMmxMFnUJCV2+utHyWmabbdhPgikST49PlKr26HT5CCdV2AqOp3klEjDQSizq+i3r9s3 S0p8YEYwDUZW9Cg9vV2/frXqbSkLaEEL6QiCGF/2tqJtCLbMMs9b2TE/ASsNBhtwHQvoul0mHOsR vdNZkedXWQ9OWAdceo9/78cgXSf8ppE8fG4aLwPRFUVuIZ0unXU8s/WKlTvHbKv4iQb7BxYdUwYv PUPds8DI3qm/oDrFHXhowoRDl0HTKC5TD9jNNP+jm8eWWZl6QXG8Pcvk/x8s/3T44ogSFZ3l15QY 1uGQvuOoiJAkyCFIUkSReutLzH20mB2GtzDgsFPD3j4A/+GJgU3LzE7eOQd9K5lAktNYmV2Ujjg+ gtT9RxB4F9sHSEBD47qoIGpCEB2HdTwPCHkQjj+vposiX84o4RibL4tlPktXsPK52jof3kvoSDQq 6nABEjo7PPgQ2bDyOSVe5kErsVVaJ8ft6o125MBwWbbpO6H/lqYN6St6sygWCdlArE971KmAy6xV V9FlHr9Yzsqoxjsjkh2Y0qONTLQ5yRMVGbUJQz1gYtSsBnFEoRyMS4uPDI0W3BMlPS5sRf3PPXOS Ev3BoNg30/k8bnhy5ovrAh13GakvI8xwhKpooGQ0NyG9isjXwB0OpVFJrxcmJ664iEnG06OJm37p p6yXp73+BQAA//8DAFBLAwQUAAYACAAAACEATtndyd4AAAAJAQAADwAAAGRycy9kb3ducmV2Lnht bEyP0U6DQBBF3038h82Y+GLaxWqhIEujJhpfW/sBA0yByM4Sdlvo3zs+2cfJPbn3TL6dba/ONPrO sYHHZQSKuHJ1x42Bw/fHYgPKB+Qae8dk4EIetsXtTY5Z7Sbe0XkfGiUl7DM00IYwZFr7qiWLfukG YsmObrQY5BwbXY84Sbnt9SqKYm2xY1locaD3lqqf/ckaOH5ND+t0Kj/DIdk9x2/YJaW7GHN/N7++ gAo0h38Y/vRFHQpxKt2Ja696A6uNmAcDi3WagBIgTZMYVClk/AS6yPX1B8UvAAAA//8DAFBLAQIt ABQABgAIAAAAIQC2gziS/gAAAOEBAAATAAAAAAAAAAAAAAAAAAAAAABbQ29udGVudF9UeXBlc10u eG1sUEsBAi0AFAAGAAgAAAAhADj9If/WAAAAlAEAAAsAAAAAAAAAAAAAAAAALwEAAF9yZWxzLy5y ZWxzUEsBAi0AFAAGAAgAAAAhAPeWq3onAgAAIgQAAA4AAAAAAAAAAAAAAAAALgIAAGRycy9lMm9E b2MueG1sUEsBAi0AFAAGAAgAAAAhAE7Z3cneAAAACQEAAA8AAAAAAAAAAAAAAAAAgQQAAGRycy9k b3ducmV2LnhtbFBLBQYAAAAABAAEAPMAAACMBQAAAAA= " o:spid="_x0000_s1026" stroked="f" style="position:absolute;margin-left:14.4pt;margin-top:-29.85pt;width:484.4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14:paraId="3EE59F3E" w14:textId="164E1279" w:rsidP="00F36BBD" w:rsidR="00F36BBD" w:rsidRDefault="006A655E" w:rsidRPr="004A6BD5">
                    <w:pPr>
                      <w:spacing w:after="100" w:afterAutospacing="1"/>
                      <w:ind w:left="113"/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</w:pPr>
                    <w:r>
                      <w:rPr>
                        <w:rFonts w:ascii="Arial" w:cs="Arial" w:hAnsi="Arial"/>
                        <w:b/>
                        <w:color w:val="786E64"/>
                        <w:sz w:val="14"/>
                        <w:szCs w:val="14"/>
                      </w:rPr>
                      <w:t xml:space="preserve">34, rue de Guivry –CS 10041 - 77990 Le Mesnil Amelot </w:t>
                    </w:r>
                    <w:proofErr w:type="gramStart"/>
                    <w:r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- 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 Téléphone</w:t>
                    </w:r>
                    <w:proofErr w:type="gramEnd"/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 : +33 </w:t>
                    </w:r>
                    <w:r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>(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>0</w:t>
                    </w:r>
                    <w:r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>)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1 </w:t>
                    </w:r>
                    <w:r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60 03 63 63 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>– F</w:t>
                    </w:r>
                    <w:r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>ax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. : +33 (0)1 </w:t>
                    </w:r>
                    <w:r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>60 03 63 50 – www.keolis-cif.com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br/>
                      <w:t>Société</w:t>
                    </w:r>
                    <w:r w:rsidR="00C52BB8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 par actions simplifiée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 au capital de </w:t>
                    </w:r>
                    <w:r w:rsidR="00C52BB8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343 696  € </w:t>
                    </w:r>
                    <w:r w:rsidR="00F36BBD" w:rsidRPr="004A6BD5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 xml:space="preserve"> </w:t>
                    </w:r>
                    <w:r w:rsidR="00C52BB8">
                      <w:rPr>
                        <w:rFonts w:ascii="Arial" w:cs="Arial" w:hAnsi="Arial"/>
                        <w:color w:val="786E64"/>
                        <w:sz w:val="14"/>
                        <w:szCs w:val="14"/>
                      </w:rPr>
                      <w:t>RCS Meaux B 562 091 132 – SIRET 562 091 132 000 59 – APE 4939A – N°TVA Intracommunautaire : FR 91 562 091 132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allowOverlap="1" behindDoc="0" distB="0" distL="114300" distR="114300" distT="0" layoutInCell="1" locked="0" relativeHeight="251658240" simplePos="0" wp14:anchorId="731B2032" wp14:editId="72AF01D1">
          <wp:simplePos x="0" y="0"/>
          <wp:positionH relativeFrom="column">
            <wp:posOffset>-697230</wp:posOffset>
          </wp:positionH>
          <wp:positionV relativeFrom="paragraph">
            <wp:posOffset>-592931</wp:posOffset>
          </wp:positionV>
          <wp:extent cx="970060" cy="758447"/>
          <wp:effectExtent b="3810" l="0" r="1905" t="0"/>
          <wp:wrapSquare wrapText="bothSides"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_seul_3125C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060" cy="7584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29F1C3D1" w14:textId="77777777" w:rsidP="00F36BBD" w:rsidR="00E0309D" w:rsidRDefault="00E0309D">
      <w:r>
        <w:separator/>
      </w:r>
    </w:p>
  </w:footnote>
  <w:footnote w:id="0" w:type="continuationSeparator">
    <w:p w14:paraId="71836952" w14:textId="77777777" w:rsidP="00F36BBD" w:rsidR="00E0309D" w:rsidRDefault="00E0309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6CEBDC8" w14:textId="77777777" w:rsidR="00F36BBD" w:rsidRDefault="006A655E">
    <w:pPr>
      <w:pStyle w:val="En-tte"/>
    </w:pPr>
    <w:r>
      <w:rPr>
        <w:noProof/>
        <w:lang w:eastAsia="fr-FR"/>
      </w:rPr>
      <w:drawing>
        <wp:inline distB="0" distL="0" distR="0" distT="0" wp14:anchorId="2274546C" wp14:editId="63D767D5">
          <wp:extent cx="2695575" cy="830083"/>
          <wp:effectExtent b="8255" l="0" r="0" t="0"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eolis-CIF-4C-HD.jp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2002" cy="832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CDB5B95"/>
    <w:multiLevelType w:val="hybridMultilevel"/>
    <w:tmpl w:val="5A88932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0AE1E34"/>
    <w:multiLevelType w:val="hybridMultilevel"/>
    <w:tmpl w:val="B37C4762"/>
    <w:lvl w:ilvl="0" w:tplc="E9F86F2C">
      <w:start w:val="2"/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3FA0B16"/>
    <w:multiLevelType w:val="hybridMultilevel"/>
    <w:tmpl w:val="F7EA836C"/>
    <w:lvl w:ilvl="0" w:tplc="83A2492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545CD838"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" w:cs="Arial" w:eastAsia="Times New Roman" w:hAnsi="Arial" w:hint="default"/>
      </w:rPr>
    </w:lvl>
    <w:lvl w:ilvl="2" w:tentative="1" w:tplc="5ECC44E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596E9C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1A78E3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7E82E53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845AFB6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F54181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928260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ADE7BF2"/>
    <w:multiLevelType w:val="hybridMultilevel"/>
    <w:tmpl w:val="8AE2646C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984673C"/>
    <w:multiLevelType w:val="hybridMultilevel"/>
    <w:tmpl w:val="73C02EF4"/>
    <w:lvl w:ilvl="0" w:tplc="B86CB53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06C4AEC"/>
    <w:multiLevelType w:val="hybridMultilevel"/>
    <w:tmpl w:val="494A1A3C"/>
    <w:lvl w:ilvl="0" w:tplc="45D094F0">
      <w:start w:val="1"/>
      <w:numFmt w:val="decimal"/>
      <w:lvlText w:val="%1."/>
      <w:lvlJc w:val="left"/>
      <w:pPr>
        <w:ind w:hanging="360" w:left="720"/>
      </w:pPr>
      <w:rPr>
        <w:rFonts w:hint="default"/>
        <w:b/>
        <w:bCs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32B91916"/>
    <w:multiLevelType w:val="hybridMultilevel"/>
    <w:tmpl w:val="F92E2558"/>
    <w:lvl w:ilvl="0" w:tplc="B2F868A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29A87010"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" w:cs="Arial" w:eastAsia="Times New Roman" w:hAnsi="Arial" w:hint="default"/>
      </w:rPr>
    </w:lvl>
    <w:lvl w:ilvl="2" w:tentative="1" w:tplc="7958A066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9D45B68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2848A2BA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42A8B91A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B21A08C8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448CFB5C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B8A2C45E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7">
    <w:nsid w:val="382812FC"/>
    <w:multiLevelType w:val="hybridMultilevel"/>
    <w:tmpl w:val="183C00E2"/>
    <w:lvl w:ilvl="0" w:tplc="3FF6521A">
      <w:start w:val="5"/>
      <w:numFmt w:val="bullet"/>
      <w:lvlText w:val=""/>
      <w:lvlJc w:val="left"/>
      <w:pPr>
        <w:ind w:hanging="360" w:left="720"/>
      </w:pPr>
      <w:rPr>
        <w:rFonts w:ascii="Wingdings" w:cs="Tahoma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A156520"/>
    <w:multiLevelType w:val="hybridMultilevel"/>
    <w:tmpl w:val="B62C3370"/>
    <w:lvl w:ilvl="0" w:tplc="E9F86F2C">
      <w:start w:val="2"/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6AD1455"/>
    <w:multiLevelType w:val="hybridMultilevel"/>
    <w:tmpl w:val="14F8BC6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FC67E9E"/>
    <w:multiLevelType w:val="hybridMultilevel"/>
    <w:tmpl w:val="6CE871E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60DF19CD"/>
    <w:multiLevelType w:val="hybridMultilevel"/>
    <w:tmpl w:val="3CB0A80A"/>
    <w:lvl w:ilvl="0" w:tplc="3808ED3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plc="F4446B28"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" w:cs="Arial" w:eastAsia="Times New Roman" w:hAnsi="Arial" w:hint="default"/>
      </w:rPr>
    </w:lvl>
    <w:lvl w:ilvl="2" w:tentative="1" w:tplc="45A2A40E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1C6266E4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90489BCA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21EA85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F4C6002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9CE7BEC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A314E300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2">
    <w:nsid w:val="654548BD"/>
    <w:multiLevelType w:val="hybridMultilevel"/>
    <w:tmpl w:val="D748816E"/>
    <w:lvl w:ilvl="0" w:tplc="3CBA03FA">
      <w:start w:val="7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C4148B8"/>
    <w:multiLevelType w:val="hybridMultilevel"/>
    <w:tmpl w:val="9418D446"/>
    <w:lvl w:ilvl="0" w:tplc="AAD414C2">
      <w:start w:val="6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5F04142"/>
    <w:multiLevelType w:val="hybridMultilevel"/>
    <w:tmpl w:val="961067D0"/>
    <w:lvl w:ilvl="0" w:tplc="E5AEEFFE">
      <w:start w:val="4"/>
      <w:numFmt w:val="bullet"/>
      <w:lvlText w:val="-"/>
      <w:lvlJc w:val="left"/>
      <w:pPr>
        <w:ind w:hanging="360" w:left="720"/>
      </w:pPr>
      <w:rPr>
        <w:rFonts w:ascii="Tahoma" w:cs="Tahoma" w:eastAsiaTheme="minorHAnsi" w:hAnsi="Tahom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CFB7456"/>
    <w:multiLevelType w:val="hybridMultilevel"/>
    <w:tmpl w:val="209C685A"/>
    <w:lvl w:ilvl="0" w:tplc="9A00859C">
      <w:start w:val="5"/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15"/>
  </w:num>
  <w:num w:numId="7">
    <w:abstractNumId w:val="11"/>
  </w:num>
  <w:num w:numId="8">
    <w:abstractNumId w:val="2"/>
  </w:num>
  <w:num w:numId="9">
    <w:abstractNumId w:val="6"/>
  </w:num>
  <w:num w:numId="10">
    <w:abstractNumId w:val="13"/>
  </w:num>
  <w:num w:numId="11">
    <w:abstractNumId w:val="5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BD"/>
    <w:rsid w:val="0000179A"/>
    <w:rsid w:val="00001E24"/>
    <w:rsid w:val="00005C01"/>
    <w:rsid w:val="00027175"/>
    <w:rsid w:val="00047AEC"/>
    <w:rsid w:val="00057DFC"/>
    <w:rsid w:val="00060AA2"/>
    <w:rsid w:val="000667C5"/>
    <w:rsid w:val="0006786E"/>
    <w:rsid w:val="000727C6"/>
    <w:rsid w:val="00073FAA"/>
    <w:rsid w:val="00095875"/>
    <w:rsid w:val="000A31F4"/>
    <w:rsid w:val="000A57B2"/>
    <w:rsid w:val="000C16D0"/>
    <w:rsid w:val="000C248C"/>
    <w:rsid w:val="000C7C84"/>
    <w:rsid w:val="000D4812"/>
    <w:rsid w:val="000E28F3"/>
    <w:rsid w:val="000F1B61"/>
    <w:rsid w:val="00101CD3"/>
    <w:rsid w:val="00102164"/>
    <w:rsid w:val="00111828"/>
    <w:rsid w:val="00121BF7"/>
    <w:rsid w:val="00123D6F"/>
    <w:rsid w:val="0013469F"/>
    <w:rsid w:val="00150D9C"/>
    <w:rsid w:val="00151178"/>
    <w:rsid w:val="00163389"/>
    <w:rsid w:val="00165025"/>
    <w:rsid w:val="00165A36"/>
    <w:rsid w:val="00174D33"/>
    <w:rsid w:val="00183179"/>
    <w:rsid w:val="00186B1B"/>
    <w:rsid w:val="00187B71"/>
    <w:rsid w:val="00187C5B"/>
    <w:rsid w:val="001A044E"/>
    <w:rsid w:val="001B2371"/>
    <w:rsid w:val="001B44F4"/>
    <w:rsid w:val="001C32D2"/>
    <w:rsid w:val="001C3C21"/>
    <w:rsid w:val="001E1D9B"/>
    <w:rsid w:val="001E2852"/>
    <w:rsid w:val="001E3C54"/>
    <w:rsid w:val="001E5C2C"/>
    <w:rsid w:val="001E659B"/>
    <w:rsid w:val="001E77F0"/>
    <w:rsid w:val="001F4AA5"/>
    <w:rsid w:val="002033ED"/>
    <w:rsid w:val="00203D1B"/>
    <w:rsid w:val="00245918"/>
    <w:rsid w:val="002A0827"/>
    <w:rsid w:val="002B2F0C"/>
    <w:rsid w:val="002B4853"/>
    <w:rsid w:val="002D20BE"/>
    <w:rsid w:val="002D26BC"/>
    <w:rsid w:val="002E61D6"/>
    <w:rsid w:val="00305F11"/>
    <w:rsid w:val="00306673"/>
    <w:rsid w:val="00341A76"/>
    <w:rsid w:val="00352DBE"/>
    <w:rsid w:val="00362AAB"/>
    <w:rsid w:val="003732C0"/>
    <w:rsid w:val="0037689B"/>
    <w:rsid w:val="00386552"/>
    <w:rsid w:val="003875A0"/>
    <w:rsid w:val="003B62FF"/>
    <w:rsid w:val="003C51C6"/>
    <w:rsid w:val="003C5F6D"/>
    <w:rsid w:val="003D6D5A"/>
    <w:rsid w:val="003E2F1F"/>
    <w:rsid w:val="003F49A5"/>
    <w:rsid w:val="00405BB9"/>
    <w:rsid w:val="00405CD7"/>
    <w:rsid w:val="00416C07"/>
    <w:rsid w:val="00427F5C"/>
    <w:rsid w:val="00435CC4"/>
    <w:rsid w:val="00460A33"/>
    <w:rsid w:val="0046184E"/>
    <w:rsid w:val="00467157"/>
    <w:rsid w:val="004818D8"/>
    <w:rsid w:val="004838B6"/>
    <w:rsid w:val="00485F89"/>
    <w:rsid w:val="004875A3"/>
    <w:rsid w:val="00490695"/>
    <w:rsid w:val="004909DD"/>
    <w:rsid w:val="004A6AAA"/>
    <w:rsid w:val="004C0B1F"/>
    <w:rsid w:val="004C0C5E"/>
    <w:rsid w:val="004C5D6B"/>
    <w:rsid w:val="004C68E6"/>
    <w:rsid w:val="004D2005"/>
    <w:rsid w:val="004D4A30"/>
    <w:rsid w:val="004D5B5D"/>
    <w:rsid w:val="004E2EAC"/>
    <w:rsid w:val="004E42B2"/>
    <w:rsid w:val="004F06DA"/>
    <w:rsid w:val="004F2E5E"/>
    <w:rsid w:val="005320F7"/>
    <w:rsid w:val="00541F05"/>
    <w:rsid w:val="00552551"/>
    <w:rsid w:val="00552904"/>
    <w:rsid w:val="0055605F"/>
    <w:rsid w:val="0055671D"/>
    <w:rsid w:val="00567E30"/>
    <w:rsid w:val="00573599"/>
    <w:rsid w:val="00576C5B"/>
    <w:rsid w:val="00587A62"/>
    <w:rsid w:val="005C0840"/>
    <w:rsid w:val="005C28CA"/>
    <w:rsid w:val="005C4634"/>
    <w:rsid w:val="005C52DD"/>
    <w:rsid w:val="005D1AD7"/>
    <w:rsid w:val="005D218D"/>
    <w:rsid w:val="005D698F"/>
    <w:rsid w:val="005D7681"/>
    <w:rsid w:val="005E088B"/>
    <w:rsid w:val="005E1D15"/>
    <w:rsid w:val="005F1D3A"/>
    <w:rsid w:val="005F36C5"/>
    <w:rsid w:val="00622A55"/>
    <w:rsid w:val="00622F24"/>
    <w:rsid w:val="00623CE1"/>
    <w:rsid w:val="006265E4"/>
    <w:rsid w:val="00635091"/>
    <w:rsid w:val="00650A9B"/>
    <w:rsid w:val="00652B7A"/>
    <w:rsid w:val="006852FC"/>
    <w:rsid w:val="00696A32"/>
    <w:rsid w:val="00697F0F"/>
    <w:rsid w:val="006A573A"/>
    <w:rsid w:val="006A655E"/>
    <w:rsid w:val="006C0C93"/>
    <w:rsid w:val="006D2B3F"/>
    <w:rsid w:val="006D5D67"/>
    <w:rsid w:val="006E3AA1"/>
    <w:rsid w:val="006F1087"/>
    <w:rsid w:val="006F6048"/>
    <w:rsid w:val="006F6684"/>
    <w:rsid w:val="007002ED"/>
    <w:rsid w:val="007179FA"/>
    <w:rsid w:val="0072713C"/>
    <w:rsid w:val="007450A1"/>
    <w:rsid w:val="00752EB7"/>
    <w:rsid w:val="00766739"/>
    <w:rsid w:val="0077635B"/>
    <w:rsid w:val="00782B65"/>
    <w:rsid w:val="0078418B"/>
    <w:rsid w:val="007A152B"/>
    <w:rsid w:val="007A71C8"/>
    <w:rsid w:val="007C173D"/>
    <w:rsid w:val="007C242B"/>
    <w:rsid w:val="007E1018"/>
    <w:rsid w:val="007F54B7"/>
    <w:rsid w:val="00800D17"/>
    <w:rsid w:val="0080545D"/>
    <w:rsid w:val="008229B4"/>
    <w:rsid w:val="0082368C"/>
    <w:rsid w:val="00844AC1"/>
    <w:rsid w:val="0085695D"/>
    <w:rsid w:val="0086336E"/>
    <w:rsid w:val="00865604"/>
    <w:rsid w:val="00865951"/>
    <w:rsid w:val="008666BB"/>
    <w:rsid w:val="008717AE"/>
    <w:rsid w:val="00882BAF"/>
    <w:rsid w:val="00892381"/>
    <w:rsid w:val="008936A7"/>
    <w:rsid w:val="008B723D"/>
    <w:rsid w:val="008C1AEC"/>
    <w:rsid w:val="008C64C6"/>
    <w:rsid w:val="008D2C01"/>
    <w:rsid w:val="008D622B"/>
    <w:rsid w:val="008E551C"/>
    <w:rsid w:val="008F1524"/>
    <w:rsid w:val="009079DE"/>
    <w:rsid w:val="0091413B"/>
    <w:rsid w:val="00914D47"/>
    <w:rsid w:val="00917E00"/>
    <w:rsid w:val="009343EA"/>
    <w:rsid w:val="009407B2"/>
    <w:rsid w:val="009436B6"/>
    <w:rsid w:val="00944E97"/>
    <w:rsid w:val="00955EDB"/>
    <w:rsid w:val="009671EF"/>
    <w:rsid w:val="009824E0"/>
    <w:rsid w:val="009853A8"/>
    <w:rsid w:val="0099083F"/>
    <w:rsid w:val="00995E11"/>
    <w:rsid w:val="009B723A"/>
    <w:rsid w:val="009C09DA"/>
    <w:rsid w:val="009D00CB"/>
    <w:rsid w:val="009D769E"/>
    <w:rsid w:val="009E45FA"/>
    <w:rsid w:val="009E543C"/>
    <w:rsid w:val="009F302F"/>
    <w:rsid w:val="009F45E6"/>
    <w:rsid w:val="009F49FC"/>
    <w:rsid w:val="00A14E88"/>
    <w:rsid w:val="00A15804"/>
    <w:rsid w:val="00A36E36"/>
    <w:rsid w:val="00A41E30"/>
    <w:rsid w:val="00A50AEA"/>
    <w:rsid w:val="00A53A7D"/>
    <w:rsid w:val="00A55F45"/>
    <w:rsid w:val="00A85157"/>
    <w:rsid w:val="00A934BF"/>
    <w:rsid w:val="00AA46F8"/>
    <w:rsid w:val="00AC2121"/>
    <w:rsid w:val="00AC2B04"/>
    <w:rsid w:val="00AD2FBC"/>
    <w:rsid w:val="00AE20BE"/>
    <w:rsid w:val="00AE5F56"/>
    <w:rsid w:val="00B050F7"/>
    <w:rsid w:val="00B20F15"/>
    <w:rsid w:val="00B44C0E"/>
    <w:rsid w:val="00B53D04"/>
    <w:rsid w:val="00B562CB"/>
    <w:rsid w:val="00B713AA"/>
    <w:rsid w:val="00B85CC8"/>
    <w:rsid w:val="00B865ED"/>
    <w:rsid w:val="00B95782"/>
    <w:rsid w:val="00B95A25"/>
    <w:rsid w:val="00B97FD1"/>
    <w:rsid w:val="00BA19CA"/>
    <w:rsid w:val="00BA4AFE"/>
    <w:rsid w:val="00BA6FB4"/>
    <w:rsid w:val="00BC3C2F"/>
    <w:rsid w:val="00BC56A5"/>
    <w:rsid w:val="00BD346C"/>
    <w:rsid w:val="00BF344F"/>
    <w:rsid w:val="00BF6E51"/>
    <w:rsid w:val="00C07D2F"/>
    <w:rsid w:val="00C1531A"/>
    <w:rsid w:val="00C156CD"/>
    <w:rsid w:val="00C235FF"/>
    <w:rsid w:val="00C43FD4"/>
    <w:rsid w:val="00C45FB6"/>
    <w:rsid w:val="00C52BB8"/>
    <w:rsid w:val="00C6577F"/>
    <w:rsid w:val="00C65C4F"/>
    <w:rsid w:val="00C67929"/>
    <w:rsid w:val="00C71FC7"/>
    <w:rsid w:val="00C76CDD"/>
    <w:rsid w:val="00C85DA6"/>
    <w:rsid w:val="00C87A77"/>
    <w:rsid w:val="00CA5BC4"/>
    <w:rsid w:val="00CB5E23"/>
    <w:rsid w:val="00CB71FF"/>
    <w:rsid w:val="00CC6B99"/>
    <w:rsid w:val="00CD0950"/>
    <w:rsid w:val="00CD4B2B"/>
    <w:rsid w:val="00CF0946"/>
    <w:rsid w:val="00CF6954"/>
    <w:rsid w:val="00D03C05"/>
    <w:rsid w:val="00D1311B"/>
    <w:rsid w:val="00D13606"/>
    <w:rsid w:val="00D14E29"/>
    <w:rsid w:val="00D16F36"/>
    <w:rsid w:val="00D25C8C"/>
    <w:rsid w:val="00D30823"/>
    <w:rsid w:val="00D378A1"/>
    <w:rsid w:val="00D426F5"/>
    <w:rsid w:val="00D43D26"/>
    <w:rsid w:val="00D61132"/>
    <w:rsid w:val="00D917E8"/>
    <w:rsid w:val="00DA061E"/>
    <w:rsid w:val="00DA1B33"/>
    <w:rsid w:val="00DB18DE"/>
    <w:rsid w:val="00DC0A28"/>
    <w:rsid w:val="00DD5850"/>
    <w:rsid w:val="00DE2B7F"/>
    <w:rsid w:val="00DE4BBA"/>
    <w:rsid w:val="00DF68EA"/>
    <w:rsid w:val="00DF774C"/>
    <w:rsid w:val="00E0309D"/>
    <w:rsid w:val="00E14EB5"/>
    <w:rsid w:val="00E20AE8"/>
    <w:rsid w:val="00E25990"/>
    <w:rsid w:val="00E37D4E"/>
    <w:rsid w:val="00E451A5"/>
    <w:rsid w:val="00E5324A"/>
    <w:rsid w:val="00E54E78"/>
    <w:rsid w:val="00E60B77"/>
    <w:rsid w:val="00E81ACC"/>
    <w:rsid w:val="00E825D1"/>
    <w:rsid w:val="00E917FB"/>
    <w:rsid w:val="00E9268C"/>
    <w:rsid w:val="00E97C08"/>
    <w:rsid w:val="00EB04C0"/>
    <w:rsid w:val="00ED07F5"/>
    <w:rsid w:val="00ED428E"/>
    <w:rsid w:val="00EE3F66"/>
    <w:rsid w:val="00EE5FA5"/>
    <w:rsid w:val="00F11ECD"/>
    <w:rsid w:val="00F140CE"/>
    <w:rsid w:val="00F26C51"/>
    <w:rsid w:val="00F36BBD"/>
    <w:rsid w:val="00F36CC7"/>
    <w:rsid w:val="00F433E9"/>
    <w:rsid w:val="00F455E2"/>
    <w:rsid w:val="00F6678E"/>
    <w:rsid w:val="00F86F01"/>
    <w:rsid w:val="00F91563"/>
    <w:rsid w:val="00F93854"/>
    <w:rsid w:val="00F94640"/>
    <w:rsid w:val="00FA2B8C"/>
    <w:rsid w:val="00FA5B2A"/>
    <w:rsid w:val="00FA732E"/>
    <w:rsid w:val="00FC4442"/>
    <w:rsid w:val="00FE28E0"/>
    <w:rsid w:val="00FE57AF"/>
    <w:rsid w:val="00FE625C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7608859D"/>
  <w15:docId w15:val="{A9F8DC4B-DBAD-4B4E-A88E-18924C3D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A6AAA"/>
  </w:style>
  <w:style w:styleId="Titre3" w:type="paragraph">
    <w:name w:val="heading 3"/>
    <w:basedOn w:val="Normal"/>
    <w:link w:val="Titre3Car"/>
    <w:uiPriority w:val="9"/>
    <w:qFormat/>
    <w:rsid w:val="005C52DD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fr-FR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427F5C"/>
    <w:pPr>
      <w:keepNext/>
      <w:keepLines/>
      <w:spacing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7E1018"/>
    <w:pPr>
      <w:keepNext/>
      <w:keepLines/>
      <w:spacing w:before="40" w:line="259" w:lineRule="auto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36BBD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F36BBD"/>
  </w:style>
  <w:style w:styleId="Pieddepage" w:type="paragraph">
    <w:name w:val="footer"/>
    <w:basedOn w:val="Normal"/>
    <w:link w:val="PieddepageCar"/>
    <w:uiPriority w:val="99"/>
    <w:unhideWhenUsed/>
    <w:rsid w:val="00F36BB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36BBD"/>
  </w:style>
  <w:style w:styleId="Lienhypertexte" w:type="character">
    <w:name w:val="Hyperlink"/>
    <w:basedOn w:val="Policepardfaut"/>
    <w:uiPriority w:val="99"/>
    <w:unhideWhenUsed/>
    <w:rsid w:val="00F36BBD"/>
    <w:rPr>
      <w:color w:themeColor="hyperlink" w:val="0563C1"/>
      <w:u w:val="single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A655E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A655E"/>
    <w:rPr>
      <w:rFonts w:ascii="Tahoma" w:cs="Tahoma" w:hAnsi="Tahoma"/>
      <w:sz w:val="16"/>
      <w:szCs w:val="16"/>
    </w:rPr>
  </w:style>
  <w:style w:customStyle="1" w:styleId="Titre5Car" w:type="character">
    <w:name w:val="Titre 5 Car"/>
    <w:basedOn w:val="Policepardfaut"/>
    <w:link w:val="Titre5"/>
    <w:uiPriority w:val="9"/>
    <w:semiHidden/>
    <w:rsid w:val="007E1018"/>
    <w:rPr>
      <w:rFonts w:asciiTheme="majorHAnsi" w:cstheme="majorBidi" w:eastAsiaTheme="majorEastAsia" w:hAnsiTheme="majorHAnsi"/>
      <w:color w:themeColor="accent1" w:themeShade="BF" w:val="2E74B5"/>
    </w:rPr>
  </w:style>
  <w:style w:customStyle="1" w:styleId="Titre3Car" w:type="character">
    <w:name w:val="Titre 3 Car"/>
    <w:basedOn w:val="Policepardfaut"/>
    <w:link w:val="Titre3"/>
    <w:uiPriority w:val="9"/>
    <w:rsid w:val="005C52DD"/>
    <w:rPr>
      <w:rFonts w:ascii="Times New Roman" w:cs="Times New Roman" w:eastAsia="Times New Roman" w:hAnsi="Times New Roman"/>
      <w:b/>
      <w:bCs/>
      <w:sz w:val="27"/>
      <w:szCs w:val="27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5C52DD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lev" w:type="character">
    <w:name w:val="Strong"/>
    <w:basedOn w:val="Policepardfaut"/>
    <w:uiPriority w:val="22"/>
    <w:qFormat/>
    <w:rsid w:val="005C52DD"/>
    <w:rPr>
      <w:b/>
      <w:bCs/>
    </w:rPr>
  </w:style>
  <w:style w:styleId="Sansinterligne" w:type="paragraph">
    <w:name w:val="No Spacing"/>
    <w:uiPriority w:val="1"/>
    <w:qFormat/>
    <w:rsid w:val="0091413B"/>
  </w:style>
  <w:style w:styleId="Paragraphedeliste" w:type="paragraph">
    <w:name w:val="List Paragraph"/>
    <w:basedOn w:val="Normal"/>
    <w:uiPriority w:val="34"/>
    <w:qFormat/>
    <w:rsid w:val="00955EDB"/>
    <w:pPr>
      <w:ind w:left="720"/>
    </w:pPr>
    <w:rPr>
      <w:rFonts w:ascii="Calibri" w:cs="Calibri" w:hAnsi="Calibri"/>
    </w:rPr>
  </w:style>
  <w:style w:customStyle="1" w:styleId="Style1" w:type="paragraph">
    <w:name w:val="Style 1"/>
    <w:uiPriority w:val="99"/>
    <w:rsid w:val="00B865ED"/>
    <w:pPr>
      <w:widowControl w:val="0"/>
      <w:autoSpaceDE w:val="0"/>
      <w:autoSpaceDN w:val="0"/>
      <w:adjustRightInd w:val="0"/>
    </w:pPr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Style4" w:type="paragraph">
    <w:name w:val="Style 4"/>
    <w:uiPriority w:val="99"/>
    <w:rsid w:val="00B865ED"/>
    <w:pPr>
      <w:widowControl w:val="0"/>
      <w:autoSpaceDE w:val="0"/>
      <w:autoSpaceDN w:val="0"/>
      <w:spacing w:before="288" w:line="271" w:lineRule="auto"/>
      <w:jc w:val="both"/>
    </w:pPr>
    <w:rPr>
      <w:rFonts w:ascii="Times New Roman" w:cs="Times New Roman" w:eastAsia="Times New Roman" w:hAnsi="Times New Roman"/>
      <w:lang w:eastAsia="fr-FR"/>
    </w:rPr>
  </w:style>
  <w:style w:customStyle="1" w:styleId="CharacterStyle1" w:type="character">
    <w:name w:val="Character Style 1"/>
    <w:uiPriority w:val="99"/>
    <w:rsid w:val="00B865ED"/>
    <w:rPr>
      <w:sz w:val="22"/>
      <w:szCs w:val="22"/>
    </w:rPr>
  </w:style>
  <w:style w:styleId="Marquedecommentaire" w:type="character">
    <w:name w:val="annotation reference"/>
    <w:basedOn w:val="Policepardfaut"/>
    <w:uiPriority w:val="99"/>
    <w:semiHidden/>
    <w:unhideWhenUsed/>
    <w:rsid w:val="005320F7"/>
    <w:rPr>
      <w:sz w:val="16"/>
      <w:szCs w:val="16"/>
    </w:rPr>
  </w:style>
  <w:style w:styleId="Commentaire" w:type="paragraph">
    <w:name w:val="annotation text"/>
    <w:basedOn w:val="Normal"/>
    <w:link w:val="CommentaireCar"/>
    <w:semiHidden/>
    <w:unhideWhenUsed/>
    <w:rsid w:val="005320F7"/>
    <w:pPr>
      <w:spacing w:after="160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5320F7"/>
    <w:rPr>
      <w:sz w:val="20"/>
      <w:szCs w:val="20"/>
    </w:rPr>
  </w:style>
  <w:style w:styleId="Corpsdetexte2" w:type="paragraph">
    <w:name w:val="Body Text 2"/>
    <w:basedOn w:val="Normal"/>
    <w:link w:val="Corpsdetexte2Car"/>
    <w:rsid w:val="00BA19CA"/>
    <w:pPr>
      <w:jc w:val="both"/>
    </w:pPr>
    <w:rPr>
      <w:rFonts w:ascii="Times New Roman" w:cs="Times New Roman" w:eastAsia="Times New Roman" w:hAnsi="Times New Roman"/>
      <w:sz w:val="24"/>
      <w:szCs w:val="20"/>
      <w:lang w:eastAsia="fr-FR"/>
    </w:rPr>
  </w:style>
  <w:style w:customStyle="1" w:styleId="Corpsdetexte2Car" w:type="character">
    <w:name w:val="Corps de texte 2 Car"/>
    <w:basedOn w:val="Policepardfaut"/>
    <w:link w:val="Corpsdetexte2"/>
    <w:rsid w:val="00BA19CA"/>
    <w:rPr>
      <w:rFonts w:ascii="Times New Roman" w:cs="Times New Roman" w:eastAsia="Times New Roman" w:hAnsi="Times New Roman"/>
      <w:sz w:val="24"/>
      <w:szCs w:val="20"/>
      <w:lang w:eastAsia="fr-FR"/>
    </w:rPr>
  </w:style>
  <w:style w:customStyle="1" w:styleId="texteel" w:type="character">
    <w:name w:val="texteel"/>
    <w:basedOn w:val="Policepardfaut"/>
    <w:rsid w:val="00073FAA"/>
  </w:style>
  <w:style w:customStyle="1" w:styleId="Titre4Car" w:type="character">
    <w:name w:val="Titre 4 Car"/>
    <w:basedOn w:val="Policepardfaut"/>
    <w:link w:val="Titre4"/>
    <w:uiPriority w:val="9"/>
    <w:semiHidden/>
    <w:rsid w:val="00427F5C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TM1" w:type="paragraph">
    <w:name w:val="toc 1"/>
    <w:basedOn w:val="Normal"/>
    <w:next w:val="Normal"/>
    <w:autoRedefine/>
    <w:uiPriority w:val="39"/>
    <w:rsid w:val="009436B6"/>
    <w:pPr>
      <w:tabs>
        <w:tab w:leader="dot" w:pos="9628" w:val="right"/>
      </w:tabs>
    </w:pPr>
    <w:rPr>
      <w:rFonts w:ascii="Tahoma" w:cs="Times New Roman" w:eastAsia="Times New Roman" w:hAnsi="Tahoma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90E6C4033284419749001844FF110F" ma:contentTypeVersion="13" ma:contentTypeDescription="Crée un document." ma:contentTypeScope="" ma:versionID="5a9c750a0ed94b1007fc1e6873b914e6">
  <xsd:schema xmlns:xsd="http://www.w3.org/2001/XMLSchema" xmlns:xs="http://www.w3.org/2001/XMLSchema" xmlns:p="http://schemas.microsoft.com/office/2006/metadata/properties" xmlns:ns3="242cf8cf-5773-42e1-b272-260b2a35b2d8" xmlns:ns4="da877aa6-fe04-4e2c-959e-8111dad84eb1" targetNamespace="http://schemas.microsoft.com/office/2006/metadata/properties" ma:root="true" ma:fieldsID="09e5d7ec5e9c9ebe20c4974a2279499d" ns3:_="" ns4:_="">
    <xsd:import namespace="242cf8cf-5773-42e1-b272-260b2a35b2d8"/>
    <xsd:import namespace="da877aa6-fe04-4e2c-959e-8111dad84e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cf8cf-5773-42e1-b272-260b2a35b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77aa6-fe04-4e2c-959e-8111dad84e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FBFB4-E5E6-4593-9DE3-70D865187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F1F41-61C4-450B-98A3-B198EA941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47BBC4-CBB0-4BDA-8CE0-8F0D316DA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cf8cf-5773-42e1-b272-260b2a35b2d8"/>
    <ds:schemaRef ds:uri="da877aa6-fe04-4e2c-959e-8111dad84e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4912</Characters>
  <Application>Microsoft Office Word</Application>
  <DocSecurity>0</DocSecurity>
  <Lines>40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Utilisateur Windows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2022-04-11T12:58:00Z</dcterms:created>
  <cp:lastPrinted>2022-03-09T13:09:00Z</cp:lastPrinted>
  <dcterms:modified xsi:type="dcterms:W3CDTF">2022-04-11T12:58:00Z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0x010100B890E6C4033284419749001844FF110F</vt:lpwstr>
  </property>
</Properties>
</file>