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6BEBF9B8" w14:textId="77777777" w:rsidP="00856EBC" w:rsidR="00856EBC" w:rsidRDefault="00856EBC" w:rsidRPr="00DF7D13">
      <w:pPr>
        <w:pStyle w:val="Title"/>
        <w:pBdr>
          <w:bottom w:color="auto" w:shadow="1" w:space="0" w:sz="4" w:val="single"/>
          <w:right w:color="auto" w:shadow="1" w:space="3" w:sz="4" w:val="single"/>
        </w:pBdr>
        <w:rPr>
          <w:rFonts w:cs="Arial"/>
          <w:sz w:val="20"/>
          <w:lang w:val="fr-FR"/>
        </w:rPr>
      </w:pPr>
      <w:r w:rsidRPr="00DF7D13">
        <w:rPr>
          <w:rFonts w:cs="Arial"/>
          <w:sz w:val="20"/>
          <w:lang w:val="fr-FR"/>
        </w:rPr>
        <w:t>PROTOCOLE D’ACCORD PORTANT SUR LA</w:t>
      </w:r>
    </w:p>
    <w:p w14:paraId="56D800B4" w14:textId="34CB4D6E" w:rsidP="00856EBC" w:rsidR="00856EBC" w:rsidRDefault="00856EBC" w:rsidRPr="00DF7D13">
      <w:pPr>
        <w:pStyle w:val="Title"/>
        <w:pBdr>
          <w:bottom w:color="auto" w:shadow="1" w:space="0" w:sz="4" w:val="single"/>
          <w:right w:color="auto" w:shadow="1" w:space="3" w:sz="4" w:val="single"/>
        </w:pBdr>
        <w:rPr>
          <w:rFonts w:cs="Arial"/>
          <w:sz w:val="20"/>
          <w:lang w:val="fr-FR"/>
        </w:rPr>
      </w:pPr>
      <w:r w:rsidRPr="00DF7D13">
        <w:rPr>
          <w:rFonts w:cs="Arial"/>
          <w:sz w:val="20"/>
          <w:lang w:val="fr-FR"/>
        </w:rPr>
        <w:t>NÉGOCIATION ANNUELLE OBLIGATOIRE 202</w:t>
      </w:r>
      <w:r w:rsidR="00786548" w:rsidRPr="00DF7D13">
        <w:rPr>
          <w:rFonts w:cs="Arial"/>
          <w:sz w:val="20"/>
          <w:lang w:val="fr-FR"/>
        </w:rPr>
        <w:t>3</w:t>
      </w:r>
    </w:p>
    <w:p w14:paraId="379FD2C8" w14:textId="77777777" w:rsidP="00856EBC" w:rsidR="00856EBC" w:rsidRDefault="00856EBC" w:rsidRPr="00DF7D13">
      <w:pPr>
        <w:jc w:val="both"/>
        <w:rPr>
          <w:sz w:val="20"/>
          <w:szCs w:val="20"/>
          <w:lang w:val="fr-FR"/>
        </w:rPr>
      </w:pPr>
    </w:p>
    <w:p w14:paraId="7DABE576" w14:textId="77777777" w:rsidP="00786548" w:rsidR="00786548" w:rsidRDefault="00786548" w:rsidRPr="00DF7D13">
      <w:pPr>
        <w:jc w:val="both"/>
        <w:rPr>
          <w:rFonts w:ascii="Arial" w:cs="Arial" w:hAnsi="Arial"/>
          <w:sz w:val="20"/>
          <w:szCs w:val="20"/>
          <w:lang w:val="fr-FR"/>
        </w:rPr>
      </w:pPr>
      <w:r w:rsidRPr="00DF7D13">
        <w:rPr>
          <w:rFonts w:ascii="Arial" w:cs="Arial" w:hAnsi="Arial"/>
          <w:b/>
          <w:bCs/>
          <w:sz w:val="20"/>
          <w:szCs w:val="20"/>
          <w:u w:val="single"/>
          <w:lang w:val="fr-FR"/>
        </w:rPr>
        <w:t>ENTRE</w:t>
      </w:r>
      <w:r w:rsidRPr="00DF7D13">
        <w:rPr>
          <w:rFonts w:ascii="Arial" w:cs="Arial" w:hAnsi="Arial"/>
          <w:sz w:val="20"/>
          <w:szCs w:val="20"/>
          <w:lang w:val="fr-FR"/>
        </w:rPr>
        <w:t xml:space="preserve"> : </w:t>
      </w:r>
    </w:p>
    <w:p w14:paraId="468ED102" w14:textId="77777777" w:rsidP="00786548" w:rsidR="00786548" w:rsidRDefault="00786548" w:rsidRPr="00DF7D13">
      <w:pPr>
        <w:jc w:val="both"/>
        <w:rPr>
          <w:rFonts w:ascii="Arial" w:cs="Arial" w:hAnsi="Arial"/>
          <w:sz w:val="20"/>
          <w:szCs w:val="20"/>
          <w:lang w:val="fr-FR"/>
        </w:rPr>
      </w:pPr>
    </w:p>
    <w:p w14:paraId="6FF51E5A" w14:textId="77777777" w:rsidP="00786548" w:rsidR="00786548" w:rsidRDefault="00786548" w:rsidRPr="00DF7D13">
      <w:pPr>
        <w:jc w:val="both"/>
        <w:rPr>
          <w:rFonts w:ascii="Arial" w:cs="Arial" w:hAnsi="Arial"/>
          <w:b/>
          <w:bCs/>
          <w:sz w:val="20"/>
          <w:szCs w:val="20"/>
          <w:lang w:val="fr-FR"/>
        </w:rPr>
      </w:pPr>
      <w:r w:rsidRPr="00DF7D13">
        <w:rPr>
          <w:rFonts w:ascii="Arial" w:cs="Arial" w:hAnsi="Arial"/>
          <w:b/>
          <w:bCs/>
          <w:sz w:val="20"/>
          <w:szCs w:val="20"/>
          <w:lang w:val="fr-FR"/>
        </w:rPr>
        <w:t xml:space="preserve">Les Sociétés suivantes composant l’Unité Économique et Sociale (U.E.S.) : </w:t>
      </w:r>
    </w:p>
    <w:p w14:paraId="299A60BA" w14:textId="77777777" w:rsidP="00786548" w:rsidR="00786548" w:rsidRDefault="00786548" w:rsidRPr="00DF7D13">
      <w:pPr>
        <w:jc w:val="both"/>
        <w:rPr>
          <w:rFonts w:ascii="Arial" w:cs="Arial" w:hAnsi="Arial"/>
          <w:sz w:val="20"/>
          <w:szCs w:val="20"/>
          <w:lang w:val="fr-FR"/>
        </w:rPr>
      </w:pPr>
    </w:p>
    <w:p w14:paraId="227D8721" w14:textId="77777777" w:rsidP="00786548" w:rsidR="00786548" w:rsidRDefault="00786548" w:rsidRPr="00DF7D13">
      <w:pPr>
        <w:jc w:val="both"/>
        <w:rPr>
          <w:rFonts w:ascii="Arial" w:cs="Arial" w:hAnsi="Arial"/>
          <w:sz w:val="20"/>
          <w:szCs w:val="20"/>
          <w:lang w:val="fr-FR"/>
        </w:rPr>
      </w:pPr>
      <w:r w:rsidRPr="00DF7D13">
        <w:rPr>
          <w:rFonts w:ascii="Arial" w:cs="Arial" w:hAnsi="Arial"/>
          <w:sz w:val="20"/>
          <w:szCs w:val="20"/>
          <w:lang w:val="fr-FR"/>
        </w:rPr>
        <w:t>La Société Euro Disney Associés S.A.S. au capital de 2.735.978.999,26 euros, sise au 1, rue de la Galmy, 77700 Chessy, inscrite au R.C.S. de Meaux sous le numéro 397.471.822.,</w:t>
      </w:r>
    </w:p>
    <w:p w14:paraId="44B5C25F" w14:textId="77777777" w:rsidP="00786548" w:rsidR="00786548" w:rsidRDefault="00786548" w:rsidRPr="00DF7D13">
      <w:pPr>
        <w:jc w:val="both"/>
        <w:rPr>
          <w:rFonts w:ascii="Arial" w:cs="Arial" w:hAnsi="Arial"/>
          <w:sz w:val="20"/>
          <w:szCs w:val="20"/>
          <w:lang w:val="fr-FR"/>
        </w:rPr>
      </w:pPr>
    </w:p>
    <w:p w14:paraId="0BEE97FF" w14:textId="77777777" w:rsidP="00786548" w:rsidR="00786548" w:rsidRDefault="00786548" w:rsidRPr="00DF7D13">
      <w:pPr>
        <w:jc w:val="both"/>
        <w:rPr>
          <w:rFonts w:ascii="Arial" w:cs="Arial" w:hAnsi="Arial"/>
          <w:sz w:val="20"/>
          <w:szCs w:val="20"/>
          <w:lang w:val="fr-FR"/>
        </w:rPr>
      </w:pPr>
      <w:r w:rsidRPr="00DF7D13">
        <w:rPr>
          <w:rFonts w:ascii="Arial" w:cs="Arial" w:hAnsi="Arial"/>
          <w:sz w:val="20"/>
          <w:szCs w:val="20"/>
          <w:lang w:val="fr-FR"/>
        </w:rPr>
        <w:t>La Société SETEMO Imagineering S.A.R.L. au capital de 7.623 euros, sise au 1, rue de la Galmy, 77700 Chessy, inscrite au R.C.S. de Meaux sous le numéro 388.457.004.,</w:t>
      </w:r>
    </w:p>
    <w:p w14:paraId="5B49D12D" w14:textId="77777777" w:rsidP="00786548" w:rsidR="00786548" w:rsidRDefault="00786548" w:rsidRPr="00DF7D13">
      <w:pPr>
        <w:jc w:val="both"/>
        <w:rPr>
          <w:rFonts w:ascii="Arial" w:cs="Arial" w:hAnsi="Arial"/>
          <w:sz w:val="20"/>
          <w:szCs w:val="20"/>
          <w:lang w:val="fr-FR"/>
        </w:rPr>
      </w:pPr>
    </w:p>
    <w:p w14:paraId="39EA8663" w14:textId="77777777" w:rsidP="00786548" w:rsidR="00786548" w:rsidRDefault="00786548" w:rsidRPr="00DF7D13">
      <w:pPr>
        <w:jc w:val="both"/>
        <w:rPr>
          <w:rFonts w:ascii="Arial" w:cs="Arial" w:hAnsi="Arial"/>
          <w:sz w:val="20"/>
          <w:szCs w:val="20"/>
          <w:lang w:val="fr-FR"/>
        </w:rPr>
      </w:pPr>
      <w:r w:rsidRPr="00DF7D13">
        <w:rPr>
          <w:rFonts w:ascii="Arial" w:cs="Arial" w:hAnsi="Arial"/>
          <w:sz w:val="20"/>
          <w:szCs w:val="20"/>
          <w:lang w:val="fr-FR"/>
        </w:rPr>
        <w:t>La Société EURO DISNEYLAND Imagineering S.A.R.L. au capital de 7.623 euros, sise au 1, rue de la Galmy, 77700 Chessy, inscrite au R.C.S. de Meaux sous le numéro 348.520.669.,</w:t>
      </w:r>
    </w:p>
    <w:p w14:paraId="7532520A" w14:textId="77777777" w:rsidP="00786548" w:rsidR="00786548" w:rsidRDefault="00786548" w:rsidRPr="00DF7D13">
      <w:pPr>
        <w:jc w:val="both"/>
        <w:rPr>
          <w:rFonts w:ascii="Arial" w:cs="Arial" w:hAnsi="Arial"/>
          <w:sz w:val="20"/>
          <w:szCs w:val="20"/>
          <w:lang w:val="fr-FR"/>
        </w:rPr>
      </w:pPr>
    </w:p>
    <w:p w14:paraId="26822DD0" w14:textId="2FA4C736" w:rsidP="00786548" w:rsidR="00786548" w:rsidRDefault="00786548" w:rsidRPr="00DF7D13">
      <w:pPr>
        <w:jc w:val="both"/>
        <w:rPr>
          <w:rFonts w:ascii="Arial" w:cs="Arial" w:hAnsi="Arial"/>
          <w:sz w:val="20"/>
          <w:szCs w:val="20"/>
          <w:lang w:val="fr-FR"/>
        </w:rPr>
      </w:pPr>
      <w:r w:rsidRPr="00DF7D13">
        <w:rPr>
          <w:rFonts w:ascii="Arial" w:cs="Arial" w:hAnsi="Arial"/>
          <w:sz w:val="20"/>
          <w:szCs w:val="20"/>
          <w:lang w:val="fr-FR"/>
        </w:rPr>
        <w:t xml:space="preserve">L’ensemble de ces Sociétés étant représenté par </w:t>
      </w:r>
      <w:r w:rsidR="00EF62BF">
        <w:rPr>
          <w:rFonts w:ascii="Arial" w:cs="Arial" w:hAnsi="Arial"/>
          <w:sz w:val="20"/>
          <w:szCs w:val="20"/>
          <w:lang w:val="fr-FR"/>
        </w:rPr>
        <w:t>XX</w:t>
      </w:r>
      <w:r w:rsidRPr="00DF7D13">
        <w:rPr>
          <w:rFonts w:ascii="Arial" w:cs="Arial" w:hAnsi="Arial"/>
          <w:sz w:val="20"/>
          <w:szCs w:val="20"/>
          <w:lang w:val="fr-FR"/>
        </w:rPr>
        <w:t>, agissant en sa qualité de Directrice Stratégie Sociale et Projets Relations Sociales,</w:t>
      </w:r>
    </w:p>
    <w:p w14:paraId="6B2458DB" w14:textId="77777777" w:rsidP="00786548" w:rsidR="00786548" w:rsidRDefault="00786548" w:rsidRPr="00FB5D29">
      <w:pPr>
        <w:jc w:val="both"/>
        <w:rPr>
          <w:rFonts w:ascii="Arial" w:cs="Arial" w:hAnsi="Arial"/>
          <w:color w:themeColor="accent6" w:themeShade="BF" w:val="538135"/>
          <w:sz w:val="20"/>
          <w:szCs w:val="20"/>
          <w:lang w:val="fr-FR"/>
        </w:rPr>
      </w:pPr>
      <w:r w:rsidRPr="00FB5D29">
        <w:rPr>
          <w:rFonts w:ascii="Arial" w:cs="Arial" w:hAnsi="Arial"/>
          <w:color w:themeColor="accent6" w:themeShade="BF" w:val="538135"/>
          <w:sz w:val="20"/>
          <w:szCs w:val="20"/>
          <w:lang w:val="fr-FR"/>
        </w:rPr>
        <w:tab/>
      </w:r>
    </w:p>
    <w:p w14:paraId="6C71B0A8" w14:textId="3CE523DD" w:rsidP="00786548" w:rsidR="00786548" w:rsidRDefault="00786548" w:rsidRPr="0053016E">
      <w:pPr>
        <w:jc w:val="both"/>
        <w:rPr>
          <w:rFonts w:ascii="Arial" w:cs="Arial" w:hAnsi="Arial"/>
          <w:sz w:val="20"/>
          <w:szCs w:val="20"/>
          <w:lang w:val="fr-FR"/>
        </w:rPr>
      </w:pPr>
      <w:r w:rsidRPr="00FB5D29">
        <w:rPr>
          <w:rFonts w:ascii="Arial" w:cs="Arial" w:hAnsi="Arial"/>
          <w:color w:themeColor="accent6" w:themeShade="BF" w:val="538135"/>
          <w:sz w:val="20"/>
          <w:szCs w:val="20"/>
          <w:lang w:val="fr-FR"/>
        </w:rPr>
        <w:tab/>
      </w:r>
      <w:r w:rsidRPr="00FB5D29">
        <w:rPr>
          <w:rFonts w:ascii="Arial" w:cs="Arial" w:hAnsi="Arial"/>
          <w:color w:themeColor="accent6" w:themeShade="BF" w:val="538135"/>
          <w:sz w:val="20"/>
          <w:szCs w:val="20"/>
          <w:lang w:val="fr-FR"/>
        </w:rPr>
        <w:tab/>
      </w:r>
      <w:r w:rsidRPr="00FB5D29">
        <w:rPr>
          <w:rFonts w:ascii="Arial" w:cs="Arial" w:hAnsi="Arial"/>
          <w:color w:themeColor="accent6" w:themeShade="BF" w:val="538135"/>
          <w:sz w:val="20"/>
          <w:szCs w:val="20"/>
          <w:lang w:val="fr-FR"/>
        </w:rPr>
        <w:tab/>
      </w:r>
      <w:r w:rsidRPr="00FB5D29">
        <w:rPr>
          <w:rFonts w:ascii="Arial" w:cs="Arial" w:hAnsi="Arial"/>
          <w:color w:themeColor="accent6" w:themeShade="BF" w:val="538135"/>
          <w:sz w:val="20"/>
          <w:szCs w:val="20"/>
          <w:lang w:val="fr-FR"/>
        </w:rPr>
        <w:tab/>
      </w:r>
      <w:r w:rsidRPr="00FB5D29">
        <w:rPr>
          <w:rFonts w:ascii="Arial" w:cs="Arial" w:hAnsi="Arial"/>
          <w:color w:themeColor="accent6" w:themeShade="BF" w:val="538135"/>
          <w:sz w:val="20"/>
          <w:szCs w:val="20"/>
          <w:lang w:val="fr-FR"/>
        </w:rPr>
        <w:tab/>
      </w:r>
      <w:r w:rsidRPr="00FB5D29">
        <w:rPr>
          <w:rFonts w:ascii="Arial" w:cs="Arial" w:hAnsi="Arial"/>
          <w:color w:themeColor="accent6" w:themeShade="BF" w:val="538135"/>
          <w:sz w:val="20"/>
          <w:szCs w:val="20"/>
          <w:lang w:val="fr-FR"/>
        </w:rPr>
        <w:tab/>
      </w:r>
      <w:r w:rsidRPr="00FB5D29">
        <w:rPr>
          <w:rFonts w:ascii="Arial" w:cs="Arial" w:hAnsi="Arial"/>
          <w:color w:themeColor="accent6" w:themeShade="BF" w:val="538135"/>
          <w:sz w:val="20"/>
          <w:szCs w:val="20"/>
          <w:lang w:val="fr-FR"/>
        </w:rPr>
        <w:tab/>
      </w:r>
      <w:r w:rsidRPr="00FB5D29">
        <w:rPr>
          <w:rFonts w:ascii="Arial" w:cs="Arial" w:hAnsi="Arial"/>
          <w:color w:themeColor="accent6" w:themeShade="BF" w:val="538135"/>
          <w:sz w:val="20"/>
          <w:szCs w:val="20"/>
          <w:lang w:val="fr-FR"/>
        </w:rPr>
        <w:tab/>
      </w:r>
      <w:r w:rsidRPr="00FB5D29">
        <w:rPr>
          <w:rFonts w:ascii="Arial" w:cs="Arial" w:hAnsi="Arial"/>
          <w:color w:themeColor="accent6" w:themeShade="BF" w:val="538135"/>
          <w:sz w:val="20"/>
          <w:szCs w:val="20"/>
          <w:lang w:val="fr-FR"/>
        </w:rPr>
        <w:tab/>
      </w:r>
      <w:r w:rsidRPr="00FB5D29">
        <w:rPr>
          <w:rFonts w:ascii="Arial" w:cs="Arial" w:hAnsi="Arial"/>
          <w:color w:themeColor="accent6" w:themeShade="BF" w:val="538135"/>
          <w:sz w:val="20"/>
          <w:szCs w:val="20"/>
          <w:lang w:val="fr-FR"/>
        </w:rPr>
        <w:tab/>
      </w:r>
      <w:r w:rsidRPr="00FB5D29">
        <w:rPr>
          <w:rFonts w:ascii="Arial" w:cs="Arial" w:hAnsi="Arial"/>
          <w:color w:themeColor="accent6" w:themeShade="BF" w:val="538135"/>
          <w:sz w:val="20"/>
          <w:szCs w:val="20"/>
          <w:lang w:val="fr-FR"/>
        </w:rPr>
        <w:tab/>
      </w:r>
      <w:r w:rsidRPr="0053016E">
        <w:rPr>
          <w:rFonts w:ascii="Arial" w:cs="Arial" w:hAnsi="Arial"/>
          <w:sz w:val="20"/>
          <w:szCs w:val="20"/>
          <w:lang w:val="fr-FR"/>
        </w:rPr>
        <w:t>D’une part,</w:t>
      </w:r>
    </w:p>
    <w:p w14:paraId="60931AD6" w14:textId="77777777" w:rsidP="00786548" w:rsidR="00786548" w:rsidRDefault="00786548" w:rsidRPr="00DF7D13">
      <w:pPr>
        <w:jc w:val="both"/>
        <w:rPr>
          <w:rFonts w:ascii="Arial" w:cs="Arial" w:hAnsi="Arial"/>
          <w:sz w:val="20"/>
          <w:szCs w:val="20"/>
          <w:lang w:val="fr-FR"/>
        </w:rPr>
      </w:pPr>
      <w:bookmarkStart w:id="0" w:name="_GoBack"/>
      <w:bookmarkEnd w:id="0"/>
    </w:p>
    <w:p w14:paraId="06795CB0" w14:textId="77777777" w:rsidP="00786548" w:rsidR="00786548" w:rsidRDefault="00786548" w:rsidRPr="00DF7D13">
      <w:pPr>
        <w:jc w:val="both"/>
        <w:rPr>
          <w:rFonts w:ascii="Arial" w:cs="Arial" w:hAnsi="Arial"/>
          <w:b/>
          <w:bCs/>
          <w:sz w:val="20"/>
          <w:szCs w:val="20"/>
          <w:u w:val="single"/>
          <w:lang w:val="fr-FR"/>
        </w:rPr>
      </w:pPr>
      <w:r w:rsidRPr="00DF7D13">
        <w:rPr>
          <w:rFonts w:ascii="Arial" w:cs="Arial" w:hAnsi="Arial"/>
          <w:b/>
          <w:bCs/>
          <w:sz w:val="20"/>
          <w:szCs w:val="20"/>
          <w:u w:val="single"/>
          <w:lang w:val="fr-FR"/>
        </w:rPr>
        <w:t xml:space="preserve">ET </w:t>
      </w:r>
    </w:p>
    <w:p w14:paraId="78E57059" w14:textId="77777777" w:rsidP="00786548" w:rsidR="00786548" w:rsidRDefault="00786548" w:rsidRPr="00DF7D13">
      <w:pPr>
        <w:jc w:val="both"/>
        <w:rPr>
          <w:rFonts w:ascii="Arial" w:cs="Arial" w:hAnsi="Arial"/>
          <w:sz w:val="20"/>
          <w:szCs w:val="20"/>
          <w:lang w:val="fr-FR"/>
        </w:rPr>
      </w:pPr>
    </w:p>
    <w:p w14:paraId="1514112D" w14:textId="77777777" w:rsidP="00786548" w:rsidR="00786548" w:rsidRDefault="00786548" w:rsidRPr="00DF7D13">
      <w:pPr>
        <w:jc w:val="both"/>
        <w:rPr>
          <w:rFonts w:ascii="Arial" w:cs="Arial" w:hAnsi="Arial"/>
          <w:sz w:val="20"/>
          <w:szCs w:val="20"/>
          <w:lang w:val="fr-FR"/>
        </w:rPr>
      </w:pPr>
      <w:r w:rsidRPr="00DF7D13">
        <w:rPr>
          <w:rFonts w:ascii="Arial" w:cs="Arial" w:hAnsi="Arial"/>
          <w:b/>
          <w:bCs/>
          <w:sz w:val="20"/>
          <w:szCs w:val="20"/>
          <w:lang w:val="fr-FR"/>
        </w:rPr>
        <w:t>Les Organisations Syndicales Représentatives</w:t>
      </w:r>
      <w:r w:rsidRPr="00DF7D13">
        <w:rPr>
          <w:rFonts w:ascii="Arial" w:cs="Arial" w:hAnsi="Arial"/>
          <w:sz w:val="20"/>
          <w:szCs w:val="20"/>
          <w:lang w:val="fr-FR"/>
        </w:rPr>
        <w:t xml:space="preserve"> : </w:t>
      </w:r>
    </w:p>
    <w:p w14:paraId="3DE3B527" w14:textId="77777777" w:rsidP="00786548" w:rsidR="00786548" w:rsidRDefault="00786548" w:rsidRPr="00DF7D13">
      <w:pPr>
        <w:jc w:val="both"/>
        <w:rPr>
          <w:rFonts w:ascii="Arial" w:cs="Arial" w:hAnsi="Arial"/>
          <w:sz w:val="20"/>
          <w:szCs w:val="20"/>
          <w:lang w:val="fr-FR"/>
        </w:rPr>
      </w:pPr>
    </w:p>
    <w:p w14:paraId="12F53E96" w14:textId="77777777" w:rsidP="00FB5D29" w:rsidR="00FB5D29" w:rsidRDefault="00FB5D29" w:rsidRPr="00DF7D13">
      <w:pPr>
        <w:jc w:val="both"/>
        <w:rPr>
          <w:rFonts w:ascii="Arial" w:cs="Arial" w:hAnsi="Arial"/>
          <w:sz w:val="20"/>
          <w:szCs w:val="20"/>
          <w:lang w:val="fr-FR"/>
        </w:rPr>
      </w:pPr>
    </w:p>
    <w:p w14:paraId="656EC247" w14:textId="77777777" w:rsidP="00FB5D29" w:rsidR="00FB5D29" w:rsidRDefault="00FB5D29" w:rsidRPr="00DF7D13">
      <w:pPr>
        <w:jc w:val="both"/>
        <w:rPr>
          <w:rFonts w:ascii="Arial" w:cs="Arial" w:hAnsi="Arial"/>
          <w:sz w:val="20"/>
          <w:szCs w:val="20"/>
          <w:lang w:val="fr-FR"/>
        </w:rPr>
      </w:pPr>
      <w:r w:rsidRPr="00DF7D13">
        <w:rPr>
          <w:rFonts w:ascii="Arial" w:cs="Arial" w:hAnsi="Arial"/>
          <w:sz w:val="20"/>
          <w:szCs w:val="20"/>
          <w:u w:val="single"/>
          <w:lang w:val="fr-FR"/>
        </w:rPr>
        <w:t>La CFDT</w:t>
      </w:r>
      <w:r w:rsidRPr="00DF7D13">
        <w:rPr>
          <w:rFonts w:ascii="Arial" w:cs="Arial" w:hAnsi="Arial"/>
          <w:sz w:val="20"/>
          <w:szCs w:val="20"/>
          <w:lang w:val="fr-FR"/>
        </w:rPr>
        <w:t xml:space="preserve">, représentée par l’un de ses délégué(e)s syndicaux de l’Unité Économique et Sociale. </w:t>
      </w:r>
    </w:p>
    <w:p w14:paraId="65200A10" w14:textId="77777777" w:rsidP="00FB5D29" w:rsidR="00FB5D29" w:rsidRDefault="00FB5D29" w:rsidRPr="00DF7D13">
      <w:pPr>
        <w:jc w:val="both"/>
        <w:rPr>
          <w:rFonts w:ascii="Arial" w:cs="Arial" w:hAnsi="Arial"/>
          <w:sz w:val="20"/>
          <w:szCs w:val="20"/>
          <w:lang w:val="fr-FR"/>
        </w:rPr>
      </w:pPr>
    </w:p>
    <w:p w14:paraId="192EF3B6" w14:textId="77777777" w:rsidP="00FB5D29" w:rsidR="00FB5D29" w:rsidRDefault="00FB5D29" w:rsidRPr="00DF7D13">
      <w:pPr>
        <w:jc w:val="both"/>
        <w:rPr>
          <w:rFonts w:ascii="Arial" w:cs="Arial" w:hAnsi="Arial"/>
          <w:sz w:val="20"/>
          <w:szCs w:val="20"/>
          <w:lang w:val="fr-FR"/>
        </w:rPr>
      </w:pPr>
      <w:r w:rsidRPr="00DF7D13">
        <w:rPr>
          <w:rFonts w:ascii="Arial" w:cs="Arial" w:hAnsi="Arial"/>
          <w:sz w:val="20"/>
          <w:szCs w:val="20"/>
          <w:u w:val="single"/>
          <w:lang w:val="fr-FR"/>
        </w:rPr>
        <w:t>La CFE-CGC</w:t>
      </w:r>
      <w:r w:rsidRPr="00DF7D13">
        <w:rPr>
          <w:rFonts w:ascii="Arial" w:cs="Arial" w:hAnsi="Arial"/>
          <w:sz w:val="20"/>
          <w:szCs w:val="20"/>
          <w:lang w:val="fr-FR"/>
        </w:rPr>
        <w:t>, représentée par l’un de ses délégué(e)s syndicaux de l’Unité Économique et Sociale.</w:t>
      </w:r>
    </w:p>
    <w:p w14:paraId="3948562C" w14:textId="77777777" w:rsidP="00FB5D29" w:rsidR="00FB5D29" w:rsidRDefault="00FB5D29" w:rsidRPr="00DF7D13">
      <w:pPr>
        <w:jc w:val="both"/>
        <w:rPr>
          <w:rFonts w:ascii="Arial" w:cs="Arial" w:hAnsi="Arial"/>
          <w:sz w:val="20"/>
          <w:szCs w:val="20"/>
          <w:lang w:val="fr-FR"/>
        </w:rPr>
      </w:pPr>
    </w:p>
    <w:p w14:paraId="271EB3A6" w14:textId="77777777" w:rsidP="00FB5D29" w:rsidR="00FB5D29" w:rsidRDefault="00FB5D29" w:rsidRPr="00DF7D13">
      <w:pPr>
        <w:jc w:val="both"/>
        <w:rPr>
          <w:rFonts w:ascii="Arial" w:cs="Arial" w:hAnsi="Arial"/>
          <w:sz w:val="20"/>
          <w:szCs w:val="20"/>
          <w:lang w:val="fr-FR"/>
        </w:rPr>
      </w:pPr>
      <w:r w:rsidRPr="00DF7D13">
        <w:rPr>
          <w:rFonts w:ascii="Arial" w:cs="Arial" w:hAnsi="Arial"/>
          <w:sz w:val="20"/>
          <w:szCs w:val="20"/>
          <w:u w:val="single"/>
          <w:lang w:val="fr-FR"/>
        </w:rPr>
        <w:t>La CFTC</w:t>
      </w:r>
      <w:r w:rsidRPr="00DF7D13">
        <w:rPr>
          <w:rFonts w:ascii="Arial" w:cs="Arial" w:hAnsi="Arial"/>
          <w:sz w:val="20"/>
          <w:szCs w:val="20"/>
          <w:lang w:val="fr-FR"/>
        </w:rPr>
        <w:t>, représentée par l’un de ses délégué(e)s syndicaux de l’Unité Économique et Sociale.</w:t>
      </w:r>
    </w:p>
    <w:p w14:paraId="5FDE9CBA" w14:textId="77777777" w:rsidP="00FB5D29" w:rsidR="00FB5D29" w:rsidRDefault="00FB5D29" w:rsidRPr="00DF7D13">
      <w:pPr>
        <w:jc w:val="both"/>
        <w:rPr>
          <w:rFonts w:ascii="Arial" w:cs="Arial" w:hAnsi="Arial"/>
          <w:sz w:val="20"/>
          <w:szCs w:val="20"/>
          <w:u w:val="single"/>
          <w:lang w:val="fr-FR"/>
        </w:rPr>
      </w:pPr>
    </w:p>
    <w:p w14:paraId="7A2F78F6" w14:textId="77777777" w:rsidP="00FB5D29" w:rsidR="00FB5D29" w:rsidRDefault="00FB5D29" w:rsidRPr="00DF7D13">
      <w:pPr>
        <w:jc w:val="both"/>
        <w:rPr>
          <w:rFonts w:ascii="Arial" w:cs="Arial" w:hAnsi="Arial"/>
          <w:sz w:val="20"/>
          <w:szCs w:val="20"/>
          <w:lang w:val="fr-FR"/>
        </w:rPr>
      </w:pPr>
      <w:r w:rsidRPr="00DF7D13">
        <w:rPr>
          <w:rFonts w:ascii="Arial" w:cs="Arial" w:hAnsi="Arial"/>
          <w:sz w:val="20"/>
          <w:szCs w:val="20"/>
          <w:u w:val="single"/>
          <w:lang w:val="fr-FR"/>
        </w:rPr>
        <w:t>La CGT</w:t>
      </w:r>
      <w:r w:rsidRPr="00DF7D13">
        <w:rPr>
          <w:rFonts w:ascii="Arial" w:cs="Arial" w:hAnsi="Arial"/>
          <w:sz w:val="20"/>
          <w:szCs w:val="20"/>
          <w:lang w:val="fr-FR"/>
        </w:rPr>
        <w:t>, représentée par l’un de ses délégué(e)s syndicaux de l’Unité Économique et Sociale.</w:t>
      </w:r>
    </w:p>
    <w:p w14:paraId="0A407D11" w14:textId="77777777" w:rsidP="00FB5D29" w:rsidR="00FB5D29" w:rsidRDefault="00FB5D29" w:rsidRPr="00DF7D13">
      <w:pPr>
        <w:jc w:val="both"/>
        <w:rPr>
          <w:rFonts w:ascii="Arial" w:cs="Arial" w:hAnsi="Arial"/>
          <w:sz w:val="20"/>
          <w:szCs w:val="20"/>
          <w:lang w:val="fr-FR"/>
        </w:rPr>
      </w:pPr>
    </w:p>
    <w:p w14:paraId="670AA6DA" w14:textId="77777777" w:rsidP="00FB5D29" w:rsidR="00FB5D29" w:rsidRDefault="00FB5D29" w:rsidRPr="00DF7D13">
      <w:pPr>
        <w:jc w:val="both"/>
        <w:rPr>
          <w:rFonts w:ascii="Arial" w:cs="Arial" w:hAnsi="Arial"/>
          <w:sz w:val="20"/>
          <w:szCs w:val="20"/>
          <w:lang w:val="fr-FR"/>
        </w:rPr>
      </w:pPr>
      <w:r w:rsidRPr="00DF7D13">
        <w:rPr>
          <w:rFonts w:ascii="Arial" w:cs="Arial" w:hAnsi="Arial"/>
          <w:sz w:val="20"/>
          <w:szCs w:val="20"/>
          <w:u w:val="single"/>
          <w:lang w:val="fr-FR"/>
        </w:rPr>
        <w:t>L’UNSA</w:t>
      </w:r>
      <w:r w:rsidRPr="00DF7D13">
        <w:rPr>
          <w:rFonts w:ascii="Arial" w:cs="Arial" w:hAnsi="Arial"/>
          <w:sz w:val="20"/>
          <w:szCs w:val="20"/>
          <w:lang w:val="fr-FR"/>
        </w:rPr>
        <w:t>, représentée par l’un de ses délégué(e)s syndicaux de l’Unité Économique et Sociale.</w:t>
      </w:r>
    </w:p>
    <w:p w14:paraId="027BF22C" w14:textId="77777777" w:rsidP="00786548" w:rsidR="00786548" w:rsidRDefault="00786548" w:rsidRPr="00DF7D13">
      <w:pPr>
        <w:jc w:val="both"/>
        <w:rPr>
          <w:rFonts w:ascii="Arial" w:cs="Arial" w:hAnsi="Arial"/>
          <w:sz w:val="20"/>
          <w:szCs w:val="20"/>
          <w:lang w:val="fr-FR"/>
        </w:rPr>
      </w:pPr>
    </w:p>
    <w:p w14:paraId="532F0B2B" w14:textId="68AB1AB8" w:rsidP="00786548" w:rsidR="00786548" w:rsidRDefault="00786548" w:rsidRPr="00DF7D13">
      <w:pPr>
        <w:jc w:val="both"/>
        <w:rPr>
          <w:rFonts w:ascii="Arial" w:cs="Arial" w:hAnsi="Arial"/>
          <w:sz w:val="20"/>
          <w:szCs w:val="20"/>
          <w:lang w:val="fr-FR"/>
        </w:rPr>
      </w:pPr>
      <w:r w:rsidRPr="00DF7D13">
        <w:rPr>
          <w:rFonts w:ascii="Arial" w:cs="Arial" w:hAnsi="Arial"/>
          <w:sz w:val="20"/>
          <w:szCs w:val="20"/>
          <w:lang w:val="fr-FR"/>
        </w:rPr>
        <w:tab/>
      </w:r>
    </w:p>
    <w:p w14:paraId="4ECC4A9C" w14:textId="40F1B537" w:rsidP="00786548" w:rsidR="00786548" w:rsidRDefault="00786548" w:rsidRPr="00DF7D13">
      <w:pPr>
        <w:jc w:val="both"/>
        <w:rPr>
          <w:rFonts w:ascii="Arial" w:cs="Arial" w:hAnsi="Arial"/>
          <w:sz w:val="20"/>
          <w:szCs w:val="20"/>
          <w:lang w:val="fr-FR"/>
        </w:rPr>
      </w:pPr>
      <w:r w:rsidRPr="00DF7D13">
        <w:rPr>
          <w:rFonts w:ascii="Arial" w:cs="Arial" w:hAnsi="Arial"/>
          <w:sz w:val="20"/>
          <w:szCs w:val="20"/>
          <w:lang w:val="fr-FR"/>
        </w:rPr>
        <w:tab/>
      </w:r>
      <w:r w:rsidRPr="00DF7D13">
        <w:rPr>
          <w:rFonts w:ascii="Arial" w:cs="Arial" w:hAnsi="Arial"/>
          <w:sz w:val="20"/>
          <w:szCs w:val="20"/>
          <w:lang w:val="fr-FR"/>
        </w:rPr>
        <w:tab/>
      </w:r>
      <w:r w:rsidRPr="00DF7D13">
        <w:rPr>
          <w:rFonts w:ascii="Arial" w:cs="Arial" w:hAnsi="Arial"/>
          <w:sz w:val="20"/>
          <w:szCs w:val="20"/>
          <w:lang w:val="fr-FR"/>
        </w:rPr>
        <w:tab/>
      </w:r>
      <w:r w:rsidRPr="00DF7D13">
        <w:rPr>
          <w:rFonts w:ascii="Arial" w:cs="Arial" w:hAnsi="Arial"/>
          <w:sz w:val="20"/>
          <w:szCs w:val="20"/>
          <w:lang w:val="fr-FR"/>
        </w:rPr>
        <w:tab/>
      </w:r>
      <w:r w:rsidRPr="00DF7D13">
        <w:rPr>
          <w:rFonts w:ascii="Arial" w:cs="Arial" w:hAnsi="Arial"/>
          <w:sz w:val="20"/>
          <w:szCs w:val="20"/>
          <w:lang w:val="fr-FR"/>
        </w:rPr>
        <w:tab/>
      </w:r>
      <w:r w:rsidRPr="00DF7D13">
        <w:rPr>
          <w:rFonts w:ascii="Arial" w:cs="Arial" w:hAnsi="Arial"/>
          <w:sz w:val="20"/>
          <w:szCs w:val="20"/>
          <w:lang w:val="fr-FR"/>
        </w:rPr>
        <w:tab/>
      </w:r>
      <w:r w:rsidRPr="00DF7D13">
        <w:rPr>
          <w:rFonts w:ascii="Arial" w:cs="Arial" w:hAnsi="Arial"/>
          <w:sz w:val="20"/>
          <w:szCs w:val="20"/>
          <w:lang w:val="fr-FR"/>
        </w:rPr>
        <w:tab/>
      </w:r>
      <w:r w:rsidRPr="00DF7D13">
        <w:rPr>
          <w:rFonts w:ascii="Arial" w:cs="Arial" w:hAnsi="Arial"/>
          <w:sz w:val="20"/>
          <w:szCs w:val="20"/>
          <w:lang w:val="fr-FR"/>
        </w:rPr>
        <w:tab/>
      </w:r>
      <w:r w:rsidRPr="00DF7D13">
        <w:rPr>
          <w:rFonts w:ascii="Arial" w:cs="Arial" w:hAnsi="Arial"/>
          <w:sz w:val="20"/>
          <w:szCs w:val="20"/>
          <w:lang w:val="fr-FR"/>
        </w:rPr>
        <w:tab/>
      </w:r>
      <w:r w:rsidRPr="00DF7D13">
        <w:rPr>
          <w:rFonts w:ascii="Arial" w:cs="Arial" w:hAnsi="Arial"/>
          <w:sz w:val="20"/>
          <w:szCs w:val="20"/>
          <w:lang w:val="fr-FR"/>
        </w:rPr>
        <w:tab/>
      </w:r>
      <w:r w:rsidRPr="00DF7D13">
        <w:rPr>
          <w:rFonts w:ascii="Arial" w:cs="Arial" w:hAnsi="Arial"/>
          <w:sz w:val="20"/>
          <w:szCs w:val="20"/>
          <w:lang w:val="fr-FR"/>
        </w:rPr>
        <w:tab/>
        <w:t>D’autre part,</w:t>
      </w:r>
    </w:p>
    <w:p w14:paraId="0E572249" w14:textId="77777777" w:rsidP="00786548" w:rsidR="00786548" w:rsidRDefault="00786548" w:rsidRPr="00786548">
      <w:pPr>
        <w:jc w:val="both"/>
        <w:rPr>
          <w:rFonts w:ascii="Arial" w:cs="Arial" w:hAnsi="Arial"/>
          <w:sz w:val="20"/>
          <w:szCs w:val="20"/>
          <w:lang w:val="fr-FR"/>
        </w:rPr>
      </w:pPr>
    </w:p>
    <w:p w14:paraId="039698DA" w14:textId="77777777" w:rsidP="00856EBC" w:rsidR="00856EBC" w:rsidRDefault="00856EBC" w:rsidRPr="00CD5D55">
      <w:pPr>
        <w:ind w:left="7920"/>
        <w:jc w:val="both"/>
        <w:rPr>
          <w:rFonts w:ascii="Arial" w:cs="Arial" w:hAnsi="Arial"/>
          <w:sz w:val="20"/>
          <w:szCs w:val="20"/>
          <w:u w:val="single"/>
          <w:lang w:val="fr-FR"/>
        </w:rPr>
      </w:pPr>
    </w:p>
    <w:p w14:paraId="1EBA6E45" w14:textId="77777777" w:rsidP="00856EBC" w:rsidR="00856EBC" w:rsidRDefault="00856EBC" w:rsidRPr="00CD5D55">
      <w:pPr>
        <w:pStyle w:val="Header"/>
        <w:tabs>
          <w:tab w:pos="720" w:val="left"/>
        </w:tabs>
        <w:rPr>
          <w:rFonts w:cs="Arial"/>
          <w:b/>
          <w:sz w:val="20"/>
          <w:lang w:val="fr-FR"/>
        </w:rPr>
      </w:pPr>
    </w:p>
    <w:p w14:paraId="71251140" w14:textId="77777777" w:rsidP="00856EBC" w:rsidR="00856EBC" w:rsidRDefault="00856EBC" w:rsidRPr="00CD5D55">
      <w:pPr>
        <w:pStyle w:val="Header"/>
        <w:tabs>
          <w:tab w:pos="720" w:val="left"/>
        </w:tabs>
        <w:rPr>
          <w:rFonts w:cs="Arial"/>
          <w:b/>
          <w:sz w:val="20"/>
          <w:lang w:val="fr-FR"/>
        </w:rPr>
      </w:pPr>
    </w:p>
    <w:p w14:paraId="3613A954" w14:textId="77777777" w:rsidP="00856EBC" w:rsidR="00856EBC" w:rsidRDefault="00856EBC" w:rsidRPr="00CD5D55">
      <w:pPr>
        <w:pStyle w:val="Header"/>
        <w:tabs>
          <w:tab w:pos="720" w:val="left"/>
        </w:tabs>
        <w:rPr>
          <w:rFonts w:cs="Arial"/>
          <w:b/>
          <w:sz w:val="20"/>
          <w:lang w:val="fr-FR"/>
        </w:rPr>
      </w:pPr>
    </w:p>
    <w:p w14:paraId="2B53D6B4" w14:textId="77777777" w:rsidP="00856EBC" w:rsidR="00856EBC" w:rsidRDefault="00856EBC" w:rsidRPr="00CD5D55">
      <w:pPr>
        <w:pStyle w:val="Header"/>
        <w:tabs>
          <w:tab w:pos="720" w:val="left"/>
        </w:tabs>
        <w:rPr>
          <w:rFonts w:cs="Arial"/>
          <w:b/>
          <w:sz w:val="20"/>
          <w:lang w:val="fr-FR"/>
        </w:rPr>
      </w:pPr>
    </w:p>
    <w:p w14:paraId="4A609367" w14:textId="77777777" w:rsidP="00856EBC" w:rsidR="00856EBC" w:rsidRDefault="00856EBC">
      <w:pPr>
        <w:pStyle w:val="Header"/>
        <w:tabs>
          <w:tab w:pos="720" w:val="left"/>
        </w:tabs>
        <w:rPr>
          <w:rFonts w:cs="Arial"/>
          <w:b/>
          <w:sz w:val="20"/>
          <w:lang w:val="fr-FR"/>
        </w:rPr>
      </w:pPr>
    </w:p>
    <w:p w14:paraId="7603B25A" w14:textId="77777777" w:rsidP="00856EBC" w:rsidR="00856EBC" w:rsidRDefault="00856EBC">
      <w:pPr>
        <w:pStyle w:val="Header"/>
        <w:tabs>
          <w:tab w:pos="720" w:val="left"/>
        </w:tabs>
        <w:rPr>
          <w:rFonts w:cs="Arial"/>
          <w:b/>
          <w:sz w:val="20"/>
          <w:lang w:val="fr-FR"/>
        </w:rPr>
      </w:pPr>
    </w:p>
    <w:p w14:paraId="06DE2208" w14:textId="77777777" w:rsidP="00856EBC" w:rsidR="00856EBC" w:rsidRDefault="00856EBC">
      <w:pPr>
        <w:pStyle w:val="Header"/>
        <w:tabs>
          <w:tab w:pos="720" w:val="left"/>
        </w:tabs>
        <w:rPr>
          <w:rFonts w:cs="Arial"/>
          <w:b/>
          <w:sz w:val="20"/>
          <w:lang w:val="fr-FR"/>
        </w:rPr>
      </w:pPr>
    </w:p>
    <w:p w14:paraId="12CC3FC9" w14:textId="77777777" w:rsidP="00856EBC" w:rsidR="00856EBC" w:rsidRDefault="00856EBC">
      <w:pPr>
        <w:pStyle w:val="Header"/>
        <w:tabs>
          <w:tab w:pos="720" w:val="left"/>
        </w:tabs>
        <w:rPr>
          <w:rFonts w:cs="Arial"/>
          <w:b/>
          <w:sz w:val="20"/>
          <w:lang w:val="fr-FR"/>
        </w:rPr>
      </w:pPr>
    </w:p>
    <w:p w14:paraId="40B7C24F" w14:textId="77777777" w:rsidP="00856EBC" w:rsidR="00856EBC" w:rsidRDefault="00856EBC">
      <w:pPr>
        <w:pStyle w:val="Header"/>
        <w:tabs>
          <w:tab w:pos="720" w:val="left"/>
        </w:tabs>
        <w:rPr>
          <w:rFonts w:cs="Arial"/>
          <w:b/>
          <w:sz w:val="20"/>
          <w:lang w:val="fr-FR"/>
        </w:rPr>
      </w:pPr>
    </w:p>
    <w:p w14:paraId="64A624B1" w14:textId="77777777" w:rsidP="00856EBC" w:rsidR="00856EBC" w:rsidRDefault="00856EBC">
      <w:pPr>
        <w:pStyle w:val="Header"/>
        <w:tabs>
          <w:tab w:pos="720" w:val="left"/>
        </w:tabs>
        <w:rPr>
          <w:rFonts w:cs="Arial"/>
          <w:b/>
          <w:sz w:val="20"/>
          <w:lang w:val="fr-FR"/>
        </w:rPr>
      </w:pPr>
    </w:p>
    <w:p w14:paraId="54DA8BE4" w14:textId="77777777" w:rsidP="00856EBC" w:rsidR="00856EBC" w:rsidRDefault="00856EBC">
      <w:pPr>
        <w:pStyle w:val="Header"/>
        <w:tabs>
          <w:tab w:pos="720" w:val="left"/>
        </w:tabs>
        <w:rPr>
          <w:rFonts w:cs="Arial"/>
          <w:b/>
          <w:sz w:val="20"/>
          <w:lang w:val="fr-FR"/>
        </w:rPr>
      </w:pPr>
    </w:p>
    <w:p w14:paraId="5F3591C1" w14:textId="77777777" w:rsidP="00856EBC" w:rsidR="00856EBC" w:rsidRDefault="00856EBC">
      <w:pPr>
        <w:pStyle w:val="Header"/>
        <w:tabs>
          <w:tab w:pos="720" w:val="left"/>
        </w:tabs>
        <w:rPr>
          <w:rFonts w:cs="Arial"/>
          <w:b/>
          <w:sz w:val="20"/>
          <w:lang w:val="fr-FR"/>
        </w:rPr>
      </w:pPr>
    </w:p>
    <w:p w14:paraId="2525707B" w14:textId="391B0D18" w:rsidP="00856EBC" w:rsidR="00856EBC" w:rsidRDefault="00856EBC">
      <w:pPr>
        <w:pStyle w:val="Header"/>
        <w:tabs>
          <w:tab w:pos="720" w:val="left"/>
        </w:tabs>
        <w:rPr>
          <w:rFonts w:cs="Arial"/>
          <w:b/>
          <w:sz w:val="20"/>
          <w:lang w:val="fr-FR"/>
        </w:rPr>
      </w:pPr>
    </w:p>
    <w:p w14:paraId="5DD21A66" w14:textId="604B9C3C" w:rsidP="00856EBC" w:rsidR="006E294D" w:rsidRDefault="006E294D">
      <w:pPr>
        <w:pStyle w:val="Header"/>
        <w:tabs>
          <w:tab w:pos="720" w:val="left"/>
        </w:tabs>
        <w:rPr>
          <w:rFonts w:cs="Arial"/>
          <w:b/>
          <w:sz w:val="20"/>
          <w:lang w:val="fr-FR"/>
        </w:rPr>
      </w:pPr>
    </w:p>
    <w:p w14:paraId="4FB59A30" w14:textId="77777777" w:rsidP="00856EBC" w:rsidR="006E294D" w:rsidRDefault="006E294D">
      <w:pPr>
        <w:pStyle w:val="Header"/>
        <w:tabs>
          <w:tab w:pos="720" w:val="left"/>
        </w:tabs>
        <w:rPr>
          <w:rFonts w:cs="Arial"/>
          <w:b/>
          <w:sz w:val="20"/>
          <w:lang w:val="fr-FR"/>
        </w:rPr>
      </w:pPr>
    </w:p>
    <w:p w14:paraId="0D4BA783" w14:textId="77777777" w:rsidP="00856EBC" w:rsidR="00865E4B" w:rsidRDefault="00865E4B">
      <w:pPr>
        <w:pStyle w:val="Header"/>
        <w:tabs>
          <w:tab w:pos="720" w:val="left"/>
        </w:tabs>
        <w:rPr>
          <w:rFonts w:cs="Arial"/>
          <w:b/>
          <w:sz w:val="20"/>
          <w:lang w:val="fr-FR"/>
        </w:rPr>
      </w:pPr>
    </w:p>
    <w:p w14:paraId="6C2ABA30" w14:textId="3800AF23" w:rsidP="00856EBC" w:rsidR="00856EBC" w:rsidRDefault="00856EBC" w:rsidRPr="00224A38">
      <w:pPr>
        <w:pStyle w:val="Header"/>
        <w:tabs>
          <w:tab w:pos="720" w:val="left"/>
        </w:tabs>
        <w:rPr>
          <w:rFonts w:cs="Arial"/>
          <w:sz w:val="20"/>
          <w:lang w:val="fr-FR"/>
        </w:rPr>
      </w:pPr>
      <w:r w:rsidRPr="00224A38">
        <w:rPr>
          <w:rFonts w:cs="Arial"/>
          <w:b/>
          <w:sz w:val="20"/>
          <w:lang w:val="fr-FR"/>
        </w:rPr>
        <w:t>IL A ETE CONVENU ET ARRÊTÉ CE QUI SUIT</w:t>
      </w:r>
    </w:p>
    <w:p w14:paraId="2E8E288A" w14:textId="77777777" w:rsidP="00856EBC" w:rsidR="00856EBC" w:rsidRDefault="00856EBC" w:rsidRPr="004F6D81">
      <w:pPr>
        <w:pStyle w:val="Header"/>
        <w:tabs>
          <w:tab w:pos="720" w:val="left"/>
        </w:tabs>
        <w:rPr>
          <w:rFonts w:cs="Arial"/>
          <w:b/>
          <w:color w:themeColor="accent6" w:themeShade="BF" w:val="538135"/>
          <w:sz w:val="20"/>
          <w:u w:val="single"/>
          <w:lang w:val="fr-FR"/>
        </w:rPr>
      </w:pPr>
    </w:p>
    <w:p w14:paraId="1EB5F107" w14:textId="77777777" w:rsidP="00856EBC" w:rsidR="00856EBC" w:rsidRDefault="00856EBC" w:rsidRPr="00DF7D13">
      <w:pPr>
        <w:pStyle w:val="Header"/>
        <w:tabs>
          <w:tab w:pos="720" w:val="left"/>
        </w:tabs>
        <w:rPr>
          <w:rFonts w:cs="Arial"/>
          <w:sz w:val="20"/>
          <w:lang w:val="fr-FR"/>
        </w:rPr>
      </w:pPr>
      <w:r w:rsidRPr="00DF7D13">
        <w:rPr>
          <w:rFonts w:cs="Arial"/>
          <w:b/>
          <w:sz w:val="20"/>
          <w:u w:val="single"/>
          <w:lang w:val="fr-FR"/>
        </w:rPr>
        <w:t>Préambule</w:t>
      </w:r>
      <w:r w:rsidRPr="00DF7D13">
        <w:rPr>
          <w:rFonts w:cs="Arial"/>
          <w:sz w:val="20"/>
          <w:lang w:val="fr-FR"/>
        </w:rPr>
        <w:t xml:space="preserve"> :</w:t>
      </w:r>
    </w:p>
    <w:p w14:paraId="44EC6A8A" w14:textId="77777777" w:rsidP="00856EBC" w:rsidR="00856EBC" w:rsidRDefault="00856EBC" w:rsidRPr="00DF7D13">
      <w:pPr>
        <w:jc w:val="both"/>
        <w:rPr>
          <w:rFonts w:ascii="Arial" w:cs="Arial" w:hAnsi="Arial"/>
          <w:sz w:val="20"/>
          <w:szCs w:val="20"/>
          <w:lang w:val="fr-FR"/>
        </w:rPr>
      </w:pPr>
    </w:p>
    <w:p w14:paraId="3CC01789" w14:textId="762A21A5" w:rsidP="00856EBC" w:rsidR="00856EBC" w:rsidRDefault="00856EBC" w:rsidRPr="00DF7D13">
      <w:pPr>
        <w:jc w:val="both"/>
        <w:rPr>
          <w:rFonts w:ascii="Arial" w:cs="Arial" w:hAnsi="Arial"/>
          <w:sz w:val="20"/>
          <w:szCs w:val="20"/>
          <w:lang w:val="fr-FR"/>
        </w:rPr>
      </w:pPr>
      <w:r w:rsidRPr="00DF7D13">
        <w:rPr>
          <w:rFonts w:ascii="Arial" w:cs="Arial" w:hAnsi="Arial"/>
          <w:sz w:val="20"/>
          <w:szCs w:val="20"/>
          <w:lang w:val="fr-FR"/>
        </w:rPr>
        <w:t xml:space="preserve">Dans le cadre de la Négociation Annuelle Obligatoire prévue aux Articles L.2242-1 et suivants du Code du Travail, la Direction et les Organisations Syndicales </w:t>
      </w:r>
      <w:r w:rsidR="0032565D" w:rsidRPr="00DF7D13">
        <w:rPr>
          <w:rFonts w:ascii="Arial" w:cs="Arial" w:hAnsi="Arial"/>
          <w:sz w:val="20"/>
          <w:szCs w:val="20"/>
          <w:lang w:val="fr-FR"/>
        </w:rPr>
        <w:t>R</w:t>
      </w:r>
      <w:r w:rsidRPr="00DF7D13">
        <w:rPr>
          <w:rFonts w:ascii="Arial" w:cs="Arial" w:hAnsi="Arial"/>
          <w:sz w:val="20"/>
          <w:szCs w:val="20"/>
          <w:lang w:val="fr-FR"/>
        </w:rPr>
        <w:t xml:space="preserve">eprésentatives dans l’Entreprise se sont réunies les </w:t>
      </w:r>
      <w:r w:rsidR="004F6D81" w:rsidRPr="00DF7D13">
        <w:rPr>
          <w:rFonts w:ascii="Arial" w:cs="Arial" w:hAnsi="Arial"/>
          <w:sz w:val="20"/>
          <w:szCs w:val="20"/>
          <w:lang w:val="fr-FR"/>
        </w:rPr>
        <w:t xml:space="preserve">2, 12 et 22 </w:t>
      </w:r>
      <w:r w:rsidR="00A6434D" w:rsidRPr="00DF7D13">
        <w:rPr>
          <w:rFonts w:ascii="Arial" w:cs="Arial" w:hAnsi="Arial"/>
          <w:sz w:val="20"/>
          <w:szCs w:val="20"/>
          <w:lang w:val="fr-FR"/>
        </w:rPr>
        <w:t>septembre</w:t>
      </w:r>
      <w:r w:rsidR="00C33F6B" w:rsidRPr="00DF7D13">
        <w:rPr>
          <w:rFonts w:ascii="Arial" w:cs="Arial" w:hAnsi="Arial"/>
          <w:sz w:val="20"/>
          <w:szCs w:val="20"/>
          <w:lang w:val="fr-FR"/>
        </w:rPr>
        <w:t xml:space="preserve"> </w:t>
      </w:r>
      <w:r w:rsidRPr="00DF7D13">
        <w:rPr>
          <w:rFonts w:ascii="Arial" w:cs="Arial" w:hAnsi="Arial"/>
          <w:sz w:val="20"/>
          <w:szCs w:val="20"/>
          <w:lang w:val="fr-FR"/>
        </w:rPr>
        <w:t>20</w:t>
      </w:r>
      <w:r w:rsidR="00B71CF0" w:rsidRPr="00DF7D13">
        <w:rPr>
          <w:rFonts w:ascii="Arial" w:cs="Arial" w:hAnsi="Arial"/>
          <w:sz w:val="20"/>
          <w:szCs w:val="20"/>
          <w:lang w:val="fr-FR"/>
        </w:rPr>
        <w:t>2</w:t>
      </w:r>
      <w:r w:rsidR="004F6D81" w:rsidRPr="00DF7D13">
        <w:rPr>
          <w:rFonts w:ascii="Arial" w:cs="Arial" w:hAnsi="Arial"/>
          <w:sz w:val="20"/>
          <w:szCs w:val="20"/>
          <w:lang w:val="fr-FR"/>
        </w:rPr>
        <w:t>2</w:t>
      </w:r>
      <w:r w:rsidRPr="00DF7D13">
        <w:rPr>
          <w:rFonts w:ascii="Arial" w:cs="Arial" w:hAnsi="Arial"/>
          <w:sz w:val="20"/>
          <w:szCs w:val="20"/>
          <w:lang w:val="fr-FR"/>
        </w:rPr>
        <w:t xml:space="preserve">. </w:t>
      </w:r>
    </w:p>
    <w:p w14:paraId="3053AFB9" w14:textId="77777777" w:rsidP="00856EBC" w:rsidR="00856EBC" w:rsidRDefault="00856EBC" w:rsidRPr="00DF7D13">
      <w:pPr>
        <w:jc w:val="both"/>
        <w:rPr>
          <w:rFonts w:ascii="Arial" w:cs="Arial" w:hAnsi="Arial"/>
          <w:sz w:val="20"/>
          <w:szCs w:val="20"/>
          <w:lang w:val="fr-FR"/>
        </w:rPr>
      </w:pPr>
    </w:p>
    <w:p w14:paraId="15891497" w14:textId="414C6F1C" w:rsidP="00856EBC" w:rsidR="00856EBC" w:rsidRDefault="00856EBC" w:rsidRPr="00DF7D13">
      <w:pPr>
        <w:numPr>
          <w:ilvl w:val="0"/>
          <w:numId w:val="1"/>
        </w:numPr>
        <w:jc w:val="both"/>
        <w:rPr>
          <w:rFonts w:ascii="Arial" w:cs="Arial" w:hAnsi="Arial"/>
          <w:sz w:val="20"/>
          <w:szCs w:val="20"/>
          <w:lang w:val="fr-FR"/>
        </w:rPr>
      </w:pPr>
      <w:r w:rsidRPr="00DF7D13">
        <w:rPr>
          <w:rFonts w:ascii="Arial" w:cs="Arial" w:hAnsi="Arial"/>
          <w:sz w:val="20"/>
          <w:szCs w:val="20"/>
          <w:u w:val="single"/>
          <w:lang w:val="fr-FR"/>
        </w:rPr>
        <w:t>Lors de la première réunion</w:t>
      </w:r>
      <w:r w:rsidRPr="00DF7D13">
        <w:rPr>
          <w:rFonts w:ascii="Arial" w:cs="Arial" w:hAnsi="Arial"/>
          <w:sz w:val="20"/>
          <w:szCs w:val="20"/>
          <w:lang w:val="fr-FR"/>
        </w:rPr>
        <w:t>, la Direction, après avoir en particulier abordé avec les Organisations Syndicales</w:t>
      </w:r>
      <w:r w:rsidR="00C33F6B" w:rsidRPr="00DF7D13">
        <w:rPr>
          <w:rFonts w:ascii="Arial" w:cs="Arial" w:hAnsi="Arial"/>
          <w:sz w:val="20"/>
          <w:szCs w:val="20"/>
          <w:lang w:val="fr-FR"/>
        </w:rPr>
        <w:t xml:space="preserve"> Représentatives</w:t>
      </w:r>
      <w:r w:rsidRPr="00DF7D13">
        <w:rPr>
          <w:rFonts w:ascii="Arial" w:cs="Arial" w:hAnsi="Arial"/>
          <w:sz w:val="20"/>
          <w:szCs w:val="20"/>
          <w:lang w:val="fr-FR"/>
        </w:rPr>
        <w:t xml:space="preserve"> le calendrier des négociations, a présenté les données macro-économiques</w:t>
      </w:r>
      <w:r w:rsidR="00731C10" w:rsidRPr="00DF7D13">
        <w:rPr>
          <w:rFonts w:ascii="Arial" w:cs="Arial" w:hAnsi="Arial"/>
          <w:sz w:val="20"/>
          <w:szCs w:val="20"/>
          <w:lang w:val="fr-FR"/>
        </w:rPr>
        <w:t>,</w:t>
      </w:r>
      <w:r w:rsidRPr="00DF7D13">
        <w:rPr>
          <w:rFonts w:ascii="Arial" w:cs="Arial" w:hAnsi="Arial"/>
          <w:sz w:val="20"/>
          <w:szCs w:val="20"/>
          <w:lang w:val="fr-FR"/>
        </w:rPr>
        <w:t xml:space="preserve"> les tendances du secteur touristique</w:t>
      </w:r>
      <w:r w:rsidR="00731C10" w:rsidRPr="00DF7D13">
        <w:rPr>
          <w:rFonts w:ascii="Arial" w:cs="Arial" w:hAnsi="Arial"/>
          <w:sz w:val="20"/>
          <w:szCs w:val="20"/>
          <w:lang w:val="fr-FR"/>
        </w:rPr>
        <w:t xml:space="preserve"> et des Parcs de Loisirs en Europe</w:t>
      </w:r>
      <w:r w:rsidR="00B71CF0" w:rsidRPr="00DF7D13">
        <w:rPr>
          <w:rFonts w:ascii="Arial" w:cs="Arial" w:hAnsi="Arial"/>
          <w:sz w:val="20"/>
          <w:szCs w:val="20"/>
          <w:lang w:val="fr-FR"/>
        </w:rPr>
        <w:t>, et celles relatives aux politiques d’augmentation des rémunérations</w:t>
      </w:r>
      <w:r w:rsidRPr="00DF7D13">
        <w:rPr>
          <w:rFonts w:ascii="Arial" w:cs="Arial" w:hAnsi="Arial"/>
          <w:sz w:val="20"/>
          <w:szCs w:val="20"/>
          <w:lang w:val="fr-FR"/>
        </w:rPr>
        <w:t xml:space="preserve">. </w:t>
      </w:r>
    </w:p>
    <w:p w14:paraId="46E7AA2A" w14:textId="77777777" w:rsidP="00856EBC" w:rsidR="00856EBC" w:rsidRDefault="00856EBC" w:rsidRPr="00AC5AAC">
      <w:pPr>
        <w:jc w:val="both"/>
        <w:rPr>
          <w:rFonts w:ascii="Arial" w:cs="Arial" w:hAnsi="Arial"/>
          <w:sz w:val="20"/>
          <w:szCs w:val="20"/>
          <w:lang w:val="fr-FR"/>
        </w:rPr>
      </w:pPr>
    </w:p>
    <w:p w14:paraId="27CC6643" w14:textId="66255750" w:rsidP="00F25782" w:rsidR="00F25782" w:rsidRDefault="00856EBC" w:rsidRPr="00325E6F">
      <w:pPr>
        <w:jc w:val="both"/>
        <w:rPr>
          <w:rFonts w:ascii="Arial" w:cs="Arial" w:hAnsi="Arial"/>
          <w:sz w:val="20"/>
          <w:szCs w:val="20"/>
          <w:lang w:val="fr-FR"/>
        </w:rPr>
      </w:pPr>
      <w:r w:rsidRPr="00A5225C">
        <w:rPr>
          <w:rFonts w:ascii="Arial" w:cs="Arial" w:hAnsi="Arial"/>
          <w:sz w:val="20"/>
          <w:szCs w:val="20"/>
          <w:lang w:val="fr-FR"/>
        </w:rPr>
        <w:t xml:space="preserve">S’agissant des données macro-économiques, </w:t>
      </w:r>
      <w:r w:rsidR="005E3141" w:rsidRPr="00A5225C">
        <w:rPr>
          <w:rFonts w:ascii="Arial" w:cs="Arial" w:hAnsi="Arial"/>
          <w:sz w:val="20"/>
          <w:szCs w:val="20"/>
          <w:lang w:val="fr-FR"/>
        </w:rPr>
        <w:t>après</w:t>
      </w:r>
      <w:r w:rsidR="005E3141" w:rsidRPr="00325E6F">
        <w:rPr>
          <w:rFonts w:ascii="Arial" w:cs="Arial" w:hAnsi="Arial"/>
          <w:sz w:val="20"/>
          <w:szCs w:val="20"/>
          <w:lang w:val="fr-FR"/>
        </w:rPr>
        <w:t xml:space="preserve"> une récession économique sans précédent en Europe en 2020, l</w:t>
      </w:r>
      <w:r w:rsidR="00F25782" w:rsidRPr="00325E6F">
        <w:rPr>
          <w:rFonts w:ascii="Arial" w:cs="Arial" w:hAnsi="Arial"/>
          <w:sz w:val="20"/>
          <w:szCs w:val="20"/>
          <w:lang w:val="fr-FR"/>
        </w:rPr>
        <w:t>’année 2021 a été marquée par un</w:t>
      </w:r>
      <w:r w:rsidR="00325E6F">
        <w:rPr>
          <w:rFonts w:ascii="Arial" w:cs="Arial" w:hAnsi="Arial"/>
          <w:sz w:val="20"/>
          <w:szCs w:val="20"/>
          <w:lang w:val="fr-FR"/>
        </w:rPr>
        <w:t xml:space="preserve"> rebond économique </w:t>
      </w:r>
      <w:r w:rsidR="0053016E">
        <w:rPr>
          <w:rFonts w:ascii="Arial" w:cs="Arial" w:hAnsi="Arial"/>
          <w:sz w:val="20"/>
          <w:szCs w:val="20"/>
          <w:lang w:val="fr-FR"/>
        </w:rPr>
        <w:t>lié à une</w:t>
      </w:r>
      <w:r w:rsidR="00F25782" w:rsidRPr="00325E6F">
        <w:rPr>
          <w:rFonts w:ascii="Arial" w:cs="Arial" w:hAnsi="Arial"/>
          <w:sz w:val="20"/>
          <w:szCs w:val="20"/>
          <w:lang w:val="fr-FR"/>
        </w:rPr>
        <w:t xml:space="preserve"> reprise progressive de</w:t>
      </w:r>
      <w:r w:rsidR="00416F73">
        <w:rPr>
          <w:rFonts w:ascii="Arial" w:cs="Arial" w:hAnsi="Arial"/>
          <w:sz w:val="20"/>
          <w:szCs w:val="20"/>
          <w:lang w:val="fr-FR"/>
        </w:rPr>
        <w:t>s activités et de la consommation</w:t>
      </w:r>
      <w:r w:rsidR="00325E6F">
        <w:rPr>
          <w:rFonts w:ascii="Arial" w:cs="Arial" w:hAnsi="Arial"/>
          <w:sz w:val="20"/>
          <w:szCs w:val="20"/>
          <w:lang w:val="fr-FR"/>
        </w:rPr>
        <w:t xml:space="preserve">. Cette reprise reste </w:t>
      </w:r>
      <w:r w:rsidR="00F82FFF">
        <w:rPr>
          <w:rFonts w:ascii="Arial" w:cs="Arial" w:hAnsi="Arial"/>
          <w:sz w:val="20"/>
          <w:szCs w:val="20"/>
          <w:lang w:val="fr-FR"/>
        </w:rPr>
        <w:t xml:space="preserve">toujours </w:t>
      </w:r>
      <w:r w:rsidR="00F25782" w:rsidRPr="00325E6F">
        <w:rPr>
          <w:rFonts w:ascii="Arial" w:cs="Arial" w:hAnsi="Arial"/>
          <w:sz w:val="20"/>
          <w:szCs w:val="20"/>
          <w:lang w:val="fr-FR"/>
        </w:rPr>
        <w:t>impactée par la crise sanitaire</w:t>
      </w:r>
      <w:r w:rsidR="00325E6F">
        <w:rPr>
          <w:rFonts w:ascii="Arial" w:cs="Arial" w:hAnsi="Arial"/>
          <w:sz w:val="20"/>
          <w:szCs w:val="20"/>
          <w:lang w:val="fr-FR"/>
        </w:rPr>
        <w:t xml:space="preserve">, </w:t>
      </w:r>
      <w:r w:rsidR="00F25782" w:rsidRPr="00325E6F">
        <w:rPr>
          <w:rFonts w:ascii="Arial" w:cs="Arial" w:hAnsi="Arial"/>
          <w:sz w:val="20"/>
          <w:szCs w:val="20"/>
          <w:lang w:val="fr-FR"/>
        </w:rPr>
        <w:t xml:space="preserve">notamment </w:t>
      </w:r>
      <w:r w:rsidR="00325E6F">
        <w:rPr>
          <w:rFonts w:ascii="Arial" w:cs="Arial" w:hAnsi="Arial"/>
          <w:sz w:val="20"/>
          <w:szCs w:val="20"/>
          <w:lang w:val="fr-FR"/>
        </w:rPr>
        <w:t>sur</w:t>
      </w:r>
      <w:r w:rsidR="00F25782" w:rsidRPr="00325E6F">
        <w:rPr>
          <w:rFonts w:ascii="Arial" w:cs="Arial" w:hAnsi="Arial"/>
          <w:sz w:val="20"/>
          <w:szCs w:val="20"/>
          <w:lang w:val="fr-FR"/>
        </w:rPr>
        <w:t xml:space="preserve"> </w:t>
      </w:r>
      <w:r w:rsidR="00325E6F">
        <w:rPr>
          <w:rFonts w:ascii="Arial" w:cs="Arial" w:hAnsi="Arial"/>
          <w:sz w:val="20"/>
          <w:szCs w:val="20"/>
          <w:lang w:val="fr-FR"/>
        </w:rPr>
        <w:t>le premier</w:t>
      </w:r>
      <w:r w:rsidR="00F25782" w:rsidRPr="00325E6F">
        <w:rPr>
          <w:rFonts w:ascii="Arial" w:cs="Arial" w:hAnsi="Arial"/>
          <w:sz w:val="20"/>
          <w:szCs w:val="20"/>
          <w:lang w:val="fr-FR"/>
        </w:rPr>
        <w:t xml:space="preserve"> trimestre</w:t>
      </w:r>
      <w:r w:rsidR="005E3141" w:rsidRPr="00325E6F">
        <w:rPr>
          <w:rFonts w:ascii="Arial" w:cs="Arial" w:hAnsi="Arial"/>
          <w:sz w:val="20"/>
          <w:szCs w:val="20"/>
          <w:lang w:val="fr-FR"/>
        </w:rPr>
        <w:t xml:space="preserve"> 2021</w:t>
      </w:r>
      <w:r w:rsidR="00302489">
        <w:rPr>
          <w:rFonts w:ascii="Arial" w:cs="Arial" w:hAnsi="Arial"/>
          <w:sz w:val="20"/>
          <w:szCs w:val="20"/>
          <w:lang w:val="fr-FR"/>
        </w:rPr>
        <w:t xml:space="preserve">, </w:t>
      </w:r>
      <w:r w:rsidR="005E3141" w:rsidRPr="00325E6F">
        <w:rPr>
          <w:rFonts w:ascii="Arial" w:cs="Arial" w:hAnsi="Arial"/>
          <w:sz w:val="20"/>
          <w:szCs w:val="20"/>
          <w:lang w:val="fr-FR"/>
        </w:rPr>
        <w:t>avec une contraction économique liée à la seconde vague de pandémie.</w:t>
      </w:r>
      <w:r w:rsidR="00302489" w:rsidRPr="00302489">
        <w:rPr>
          <w:rFonts w:ascii="Arial" w:cs="Arial" w:hAnsi="Arial"/>
          <w:sz w:val="20"/>
          <w:szCs w:val="20"/>
          <w:lang w:val="fr-FR"/>
        </w:rPr>
        <w:t xml:space="preserve"> Les pays Européens ont rebondi différemment en 2021, la Belgique, les Pays-Bas et la France ayant récupéré dès 2021 leur niveau d’activité, à la différence du Royaume Uni, de l’Italie, de l’</w:t>
      </w:r>
      <w:r w:rsidR="0053016E">
        <w:rPr>
          <w:rFonts w:ascii="Arial" w:cs="Arial" w:hAnsi="Arial"/>
          <w:sz w:val="20"/>
          <w:szCs w:val="20"/>
          <w:lang w:val="fr-FR"/>
        </w:rPr>
        <w:t>Allemagne,</w:t>
      </w:r>
      <w:r w:rsidR="00302489" w:rsidRPr="00302489">
        <w:rPr>
          <w:rFonts w:ascii="Arial" w:cs="Arial" w:hAnsi="Arial"/>
          <w:sz w:val="20"/>
          <w:szCs w:val="20"/>
          <w:lang w:val="fr-FR"/>
        </w:rPr>
        <w:t xml:space="preserve"> et surtout de l’</w:t>
      </w:r>
      <w:r w:rsidR="0053016E">
        <w:rPr>
          <w:rFonts w:ascii="Arial" w:cs="Arial" w:hAnsi="Arial"/>
          <w:sz w:val="20"/>
          <w:szCs w:val="20"/>
          <w:lang w:val="fr-FR"/>
        </w:rPr>
        <w:t>Espagne,</w:t>
      </w:r>
      <w:r w:rsidR="00302489" w:rsidRPr="00302489">
        <w:rPr>
          <w:rFonts w:ascii="Arial" w:cs="Arial" w:hAnsi="Arial"/>
          <w:sz w:val="20"/>
          <w:szCs w:val="20"/>
          <w:lang w:val="fr-FR"/>
        </w:rPr>
        <w:t xml:space="preserve"> qui n’ont </w:t>
      </w:r>
      <w:r w:rsidR="002874FD">
        <w:rPr>
          <w:rFonts w:ascii="Arial" w:cs="Arial" w:hAnsi="Arial"/>
          <w:sz w:val="20"/>
          <w:szCs w:val="20"/>
          <w:lang w:val="fr-FR"/>
        </w:rPr>
        <w:t>retrouvé</w:t>
      </w:r>
      <w:r w:rsidR="00302489" w:rsidRPr="00302489">
        <w:rPr>
          <w:rFonts w:ascii="Arial" w:cs="Arial" w:hAnsi="Arial"/>
          <w:sz w:val="20"/>
          <w:szCs w:val="20"/>
          <w:lang w:val="fr-FR"/>
        </w:rPr>
        <w:t xml:space="preserve"> que partiellement leur niveau pré-covid.</w:t>
      </w:r>
    </w:p>
    <w:p w14:paraId="677BDFBF" w14:textId="77777777" w:rsidP="00F25782" w:rsidR="00F25782" w:rsidRDefault="00F25782" w:rsidRPr="00F25782">
      <w:pPr>
        <w:jc w:val="both"/>
        <w:rPr>
          <w:rFonts w:ascii="Arial" w:cs="Arial" w:hAnsi="Arial"/>
          <w:sz w:val="20"/>
          <w:szCs w:val="20"/>
          <w:highlight w:val="cyan"/>
          <w:lang w:val="fr-FR"/>
        </w:rPr>
      </w:pPr>
    </w:p>
    <w:p w14:paraId="20B26843" w14:textId="13197EF0" w:rsidP="00F25782" w:rsidR="00F25782" w:rsidRDefault="00A747D0" w:rsidRPr="00467579">
      <w:pPr>
        <w:jc w:val="both"/>
        <w:rPr>
          <w:rFonts w:ascii="Arial" w:cs="Arial" w:hAnsi="Arial"/>
          <w:sz w:val="20"/>
          <w:szCs w:val="20"/>
          <w:lang w:val="fr-FR"/>
        </w:rPr>
      </w:pPr>
      <w:r w:rsidRPr="00467579">
        <w:rPr>
          <w:rFonts w:ascii="Arial" w:cs="Arial" w:hAnsi="Arial"/>
          <w:sz w:val="20"/>
          <w:szCs w:val="20"/>
          <w:lang w:val="fr-FR"/>
        </w:rPr>
        <w:t>Les premières tendances p</w:t>
      </w:r>
      <w:r w:rsidR="00F25782" w:rsidRPr="00467579">
        <w:rPr>
          <w:rFonts w:ascii="Arial" w:cs="Arial" w:hAnsi="Arial"/>
          <w:sz w:val="20"/>
          <w:szCs w:val="20"/>
          <w:lang w:val="fr-FR"/>
        </w:rPr>
        <w:t xml:space="preserve">our </w:t>
      </w:r>
      <w:r w:rsidR="00446C70">
        <w:rPr>
          <w:rFonts w:ascii="Arial" w:cs="Arial" w:hAnsi="Arial"/>
          <w:sz w:val="20"/>
          <w:szCs w:val="20"/>
          <w:lang w:val="fr-FR"/>
        </w:rPr>
        <w:t xml:space="preserve">l’année </w:t>
      </w:r>
      <w:r w:rsidR="00F25782" w:rsidRPr="00467579">
        <w:rPr>
          <w:rFonts w:ascii="Arial" w:cs="Arial" w:hAnsi="Arial"/>
          <w:sz w:val="20"/>
          <w:szCs w:val="20"/>
          <w:lang w:val="fr-FR"/>
        </w:rPr>
        <w:t>2022</w:t>
      </w:r>
      <w:r w:rsidRPr="00467579">
        <w:rPr>
          <w:rFonts w:ascii="Arial" w:cs="Arial" w:hAnsi="Arial"/>
          <w:sz w:val="20"/>
          <w:szCs w:val="20"/>
          <w:lang w:val="fr-FR"/>
        </w:rPr>
        <w:t xml:space="preserve"> </w:t>
      </w:r>
      <w:r w:rsidR="00446C70">
        <w:rPr>
          <w:rFonts w:ascii="Arial" w:cs="Arial" w:hAnsi="Arial"/>
          <w:sz w:val="20"/>
          <w:szCs w:val="20"/>
          <w:lang w:val="fr-FR"/>
        </w:rPr>
        <w:t xml:space="preserve">s’orientent sur </w:t>
      </w:r>
      <w:r w:rsidR="000D5DE8" w:rsidRPr="00467579">
        <w:rPr>
          <w:rFonts w:ascii="Arial" w:cs="Arial" w:hAnsi="Arial"/>
          <w:sz w:val="20"/>
          <w:szCs w:val="20"/>
          <w:lang w:val="fr-FR"/>
        </w:rPr>
        <w:t xml:space="preserve">la </w:t>
      </w:r>
      <w:r w:rsidRPr="00467579">
        <w:rPr>
          <w:rFonts w:ascii="Arial" w:cs="Arial" w:hAnsi="Arial"/>
          <w:sz w:val="20"/>
          <w:szCs w:val="20"/>
          <w:lang w:val="fr-FR"/>
        </w:rPr>
        <w:t xml:space="preserve">poursuite de </w:t>
      </w:r>
      <w:r w:rsidR="00F25782" w:rsidRPr="00467579">
        <w:rPr>
          <w:rFonts w:ascii="Arial" w:cs="Arial" w:hAnsi="Arial"/>
          <w:sz w:val="20"/>
          <w:szCs w:val="20"/>
          <w:lang w:val="fr-FR"/>
        </w:rPr>
        <w:t xml:space="preserve">la reprise économique </w:t>
      </w:r>
      <w:r w:rsidRPr="00467579">
        <w:rPr>
          <w:rFonts w:ascii="Arial" w:cs="Arial" w:hAnsi="Arial"/>
          <w:sz w:val="20"/>
          <w:szCs w:val="20"/>
          <w:lang w:val="fr-FR"/>
        </w:rPr>
        <w:t>en Europe</w:t>
      </w:r>
      <w:r w:rsidR="00632F1A" w:rsidRPr="00467579">
        <w:rPr>
          <w:rFonts w:ascii="Arial" w:cs="Arial" w:hAnsi="Arial"/>
          <w:sz w:val="20"/>
          <w:szCs w:val="20"/>
          <w:lang w:val="fr-FR"/>
        </w:rPr>
        <w:t>,</w:t>
      </w:r>
      <w:r w:rsidRPr="00467579">
        <w:rPr>
          <w:rFonts w:ascii="Arial" w:cs="Arial" w:hAnsi="Arial"/>
          <w:sz w:val="20"/>
          <w:szCs w:val="20"/>
          <w:lang w:val="fr-FR"/>
        </w:rPr>
        <w:t xml:space="preserve"> </w:t>
      </w:r>
      <w:r w:rsidR="00126B9A" w:rsidRPr="00467579">
        <w:rPr>
          <w:rFonts w:ascii="Arial" w:cs="Arial" w:hAnsi="Arial"/>
          <w:sz w:val="20"/>
          <w:szCs w:val="20"/>
          <w:lang w:val="fr-FR"/>
        </w:rPr>
        <w:t xml:space="preserve">qui est </w:t>
      </w:r>
      <w:r w:rsidR="001F3898" w:rsidRPr="00467579">
        <w:rPr>
          <w:rFonts w:ascii="Arial" w:cs="Arial" w:hAnsi="Arial"/>
          <w:sz w:val="20"/>
          <w:szCs w:val="20"/>
          <w:lang w:val="fr-FR"/>
        </w:rPr>
        <w:t>toutefois</w:t>
      </w:r>
      <w:r w:rsidR="00BC7799" w:rsidRPr="00467579">
        <w:rPr>
          <w:rFonts w:ascii="Arial" w:cs="Arial" w:hAnsi="Arial"/>
          <w:sz w:val="20"/>
          <w:szCs w:val="20"/>
          <w:lang w:val="fr-FR"/>
        </w:rPr>
        <w:t xml:space="preserve"> </w:t>
      </w:r>
      <w:r w:rsidR="00126B9A" w:rsidRPr="00467579">
        <w:rPr>
          <w:rFonts w:ascii="Arial" w:cs="Arial" w:hAnsi="Arial"/>
          <w:sz w:val="20"/>
          <w:szCs w:val="20"/>
          <w:lang w:val="fr-FR"/>
        </w:rPr>
        <w:t>freinée par le conflit en Ukraine</w:t>
      </w:r>
      <w:r w:rsidR="00430826">
        <w:rPr>
          <w:rFonts w:ascii="Arial" w:cs="Arial" w:hAnsi="Arial"/>
          <w:sz w:val="20"/>
          <w:szCs w:val="20"/>
          <w:lang w:val="fr-FR"/>
        </w:rPr>
        <w:t xml:space="preserve">. </w:t>
      </w:r>
      <w:r w:rsidR="00446C70">
        <w:rPr>
          <w:rFonts w:ascii="Arial" w:cs="Arial" w:hAnsi="Arial"/>
          <w:sz w:val="20"/>
          <w:szCs w:val="20"/>
          <w:lang w:val="fr-FR"/>
        </w:rPr>
        <w:t>Ce</w:t>
      </w:r>
      <w:r w:rsidR="00430826">
        <w:rPr>
          <w:rFonts w:ascii="Arial" w:cs="Arial" w:hAnsi="Arial"/>
          <w:sz w:val="20"/>
          <w:szCs w:val="20"/>
          <w:lang w:val="fr-FR"/>
        </w:rPr>
        <w:t xml:space="preserve"> conflit </w:t>
      </w:r>
      <w:r w:rsidR="00126B9A" w:rsidRPr="00467579">
        <w:rPr>
          <w:rFonts w:ascii="Arial" w:cs="Arial" w:hAnsi="Arial"/>
          <w:sz w:val="20"/>
          <w:szCs w:val="20"/>
          <w:lang w:val="fr-FR"/>
        </w:rPr>
        <w:t>accentue</w:t>
      </w:r>
      <w:r w:rsidR="00522BE2">
        <w:rPr>
          <w:rFonts w:ascii="Arial" w:cs="Arial" w:hAnsi="Arial"/>
          <w:sz w:val="20"/>
          <w:szCs w:val="20"/>
          <w:lang w:val="fr-FR"/>
        </w:rPr>
        <w:t xml:space="preserve"> les perturbations du commerce international ainsi que </w:t>
      </w:r>
      <w:r w:rsidR="00126B9A" w:rsidRPr="00467579">
        <w:rPr>
          <w:rFonts w:ascii="Arial" w:cs="Arial" w:hAnsi="Arial"/>
          <w:sz w:val="20"/>
          <w:szCs w:val="20"/>
          <w:lang w:val="fr-FR"/>
        </w:rPr>
        <w:t>l</w:t>
      </w:r>
      <w:r w:rsidR="00522BE2">
        <w:rPr>
          <w:rFonts w:ascii="Arial" w:cs="Arial" w:hAnsi="Arial"/>
          <w:sz w:val="20"/>
          <w:szCs w:val="20"/>
          <w:lang w:val="fr-FR"/>
        </w:rPr>
        <w:t>a pression sur l</w:t>
      </w:r>
      <w:r w:rsidR="00126B9A" w:rsidRPr="00467579">
        <w:rPr>
          <w:rFonts w:ascii="Arial" w:cs="Arial" w:hAnsi="Arial"/>
          <w:sz w:val="20"/>
          <w:szCs w:val="20"/>
          <w:lang w:val="fr-FR"/>
        </w:rPr>
        <w:t xml:space="preserve">’inflation </w:t>
      </w:r>
      <w:r w:rsidR="00522BE2">
        <w:rPr>
          <w:rFonts w:ascii="Arial" w:cs="Arial" w:hAnsi="Arial"/>
          <w:sz w:val="20"/>
          <w:szCs w:val="20"/>
          <w:lang w:val="fr-FR"/>
        </w:rPr>
        <w:t>des</w:t>
      </w:r>
      <w:r w:rsidR="000D5DE8" w:rsidRPr="00467579">
        <w:rPr>
          <w:rFonts w:ascii="Arial" w:cs="Arial" w:hAnsi="Arial"/>
          <w:sz w:val="20"/>
          <w:szCs w:val="20"/>
          <w:lang w:val="fr-FR"/>
        </w:rPr>
        <w:t xml:space="preserve"> matières premières </w:t>
      </w:r>
      <w:r w:rsidR="00126B9A" w:rsidRPr="00467579">
        <w:rPr>
          <w:rFonts w:ascii="Arial" w:cs="Arial" w:hAnsi="Arial"/>
          <w:sz w:val="20"/>
          <w:szCs w:val="20"/>
          <w:lang w:val="fr-FR"/>
        </w:rPr>
        <w:t xml:space="preserve">constatée </w:t>
      </w:r>
      <w:r w:rsidR="000D5DE8" w:rsidRPr="00467579">
        <w:rPr>
          <w:rFonts w:ascii="Arial" w:cs="Arial" w:hAnsi="Arial"/>
          <w:sz w:val="20"/>
          <w:szCs w:val="20"/>
          <w:lang w:val="fr-FR"/>
        </w:rPr>
        <w:t>au second semestre 2</w:t>
      </w:r>
      <w:r w:rsidR="00126B9A" w:rsidRPr="00467579">
        <w:rPr>
          <w:rFonts w:ascii="Arial" w:cs="Arial" w:hAnsi="Arial"/>
          <w:sz w:val="20"/>
          <w:szCs w:val="20"/>
          <w:lang w:val="fr-FR"/>
        </w:rPr>
        <w:t>021</w:t>
      </w:r>
      <w:r w:rsidR="000D5DE8" w:rsidRPr="00467579">
        <w:rPr>
          <w:rFonts w:ascii="Arial" w:cs="Arial" w:hAnsi="Arial"/>
          <w:sz w:val="20"/>
          <w:szCs w:val="20"/>
          <w:lang w:val="fr-FR"/>
        </w:rPr>
        <w:t>,</w:t>
      </w:r>
      <w:r w:rsidR="00611CBD" w:rsidRPr="00467579">
        <w:rPr>
          <w:rFonts w:ascii="Arial" w:cs="Arial" w:hAnsi="Arial"/>
          <w:sz w:val="20"/>
          <w:szCs w:val="20"/>
          <w:lang w:val="fr-FR"/>
        </w:rPr>
        <w:t xml:space="preserve"> </w:t>
      </w:r>
      <w:r w:rsidR="00430826">
        <w:rPr>
          <w:rFonts w:ascii="Arial" w:cs="Arial" w:hAnsi="Arial"/>
          <w:sz w:val="20"/>
          <w:szCs w:val="20"/>
          <w:lang w:val="fr-FR"/>
        </w:rPr>
        <w:t xml:space="preserve">avec un </w:t>
      </w:r>
      <w:r w:rsidR="00F25782" w:rsidRPr="00467579">
        <w:rPr>
          <w:rFonts w:ascii="Arial" w:cs="Arial" w:hAnsi="Arial"/>
          <w:sz w:val="20"/>
          <w:szCs w:val="20"/>
          <w:lang w:val="fr-FR"/>
        </w:rPr>
        <w:t xml:space="preserve">impact différent suivant </w:t>
      </w:r>
      <w:r w:rsidR="003F4D9B">
        <w:rPr>
          <w:rFonts w:ascii="Arial" w:cs="Arial" w:hAnsi="Arial"/>
          <w:sz w:val="20"/>
          <w:szCs w:val="20"/>
          <w:lang w:val="fr-FR"/>
        </w:rPr>
        <w:t xml:space="preserve">les pays selon leurs dépendances </w:t>
      </w:r>
      <w:r w:rsidR="00044CFF">
        <w:rPr>
          <w:rFonts w:ascii="Arial" w:cs="Arial" w:hAnsi="Arial"/>
          <w:sz w:val="20"/>
          <w:szCs w:val="20"/>
          <w:lang w:val="fr-FR"/>
        </w:rPr>
        <w:t xml:space="preserve">à l’importation russe </w:t>
      </w:r>
      <w:r w:rsidR="003F4D9B">
        <w:rPr>
          <w:rFonts w:ascii="Arial" w:cs="Arial" w:hAnsi="Arial"/>
          <w:sz w:val="20"/>
          <w:szCs w:val="20"/>
          <w:lang w:val="fr-FR"/>
        </w:rPr>
        <w:t xml:space="preserve">et les </w:t>
      </w:r>
      <w:r w:rsidR="0085570F" w:rsidRPr="00467579">
        <w:rPr>
          <w:rFonts w:ascii="Arial" w:cs="Arial" w:hAnsi="Arial"/>
          <w:sz w:val="20"/>
          <w:szCs w:val="20"/>
          <w:lang w:val="fr-FR"/>
        </w:rPr>
        <w:t xml:space="preserve">mesures </w:t>
      </w:r>
      <w:r w:rsidR="00F25782" w:rsidRPr="00467579">
        <w:rPr>
          <w:rFonts w:ascii="Arial" w:cs="Arial" w:hAnsi="Arial"/>
          <w:sz w:val="20"/>
          <w:szCs w:val="20"/>
          <w:lang w:val="fr-FR"/>
        </w:rPr>
        <w:t xml:space="preserve">de protection </w:t>
      </w:r>
      <w:r w:rsidR="0085570F" w:rsidRPr="00467579">
        <w:rPr>
          <w:rFonts w:ascii="Arial" w:cs="Arial" w:hAnsi="Arial"/>
          <w:sz w:val="20"/>
          <w:szCs w:val="20"/>
          <w:lang w:val="fr-FR"/>
        </w:rPr>
        <w:t>prises</w:t>
      </w:r>
      <w:r w:rsidR="00446C70">
        <w:rPr>
          <w:rFonts w:ascii="Arial" w:cs="Arial" w:hAnsi="Arial"/>
          <w:sz w:val="20"/>
          <w:szCs w:val="20"/>
          <w:lang w:val="fr-FR"/>
        </w:rPr>
        <w:t>.</w:t>
      </w:r>
      <w:r w:rsidR="0085570F" w:rsidRPr="00467579">
        <w:rPr>
          <w:rFonts w:ascii="Arial" w:cs="Arial" w:hAnsi="Arial"/>
          <w:sz w:val="20"/>
          <w:szCs w:val="20"/>
          <w:lang w:val="fr-FR"/>
        </w:rPr>
        <w:t xml:space="preserve"> </w:t>
      </w:r>
      <w:r w:rsidR="00F25782" w:rsidRPr="00467579">
        <w:rPr>
          <w:rFonts w:ascii="Arial" w:cs="Arial" w:hAnsi="Arial"/>
          <w:sz w:val="20"/>
          <w:szCs w:val="20"/>
          <w:lang w:val="fr-FR"/>
        </w:rPr>
        <w:t xml:space="preserve">La confiance des ménages est impactée par </w:t>
      </w:r>
      <w:r w:rsidR="00522BE2">
        <w:rPr>
          <w:rFonts w:ascii="Arial" w:cs="Arial" w:hAnsi="Arial"/>
          <w:sz w:val="20"/>
          <w:szCs w:val="20"/>
          <w:lang w:val="fr-FR"/>
        </w:rPr>
        <w:t>c</w:t>
      </w:r>
      <w:r w:rsidR="00F25782" w:rsidRPr="00467579">
        <w:rPr>
          <w:rFonts w:ascii="Arial" w:cs="Arial" w:hAnsi="Arial"/>
          <w:sz w:val="20"/>
          <w:szCs w:val="20"/>
          <w:lang w:val="fr-FR"/>
        </w:rPr>
        <w:t>e</w:t>
      </w:r>
      <w:r w:rsidR="00044CFF">
        <w:rPr>
          <w:rFonts w:ascii="Arial" w:cs="Arial" w:hAnsi="Arial"/>
          <w:sz w:val="20"/>
          <w:szCs w:val="20"/>
          <w:lang w:val="fr-FR"/>
        </w:rPr>
        <w:t xml:space="preserve"> contexte</w:t>
      </w:r>
      <w:r w:rsidR="00522BE2">
        <w:rPr>
          <w:rFonts w:ascii="Arial" w:cs="Arial" w:hAnsi="Arial"/>
          <w:sz w:val="20"/>
          <w:szCs w:val="20"/>
          <w:lang w:val="fr-FR"/>
        </w:rPr>
        <w:t xml:space="preserve">, </w:t>
      </w:r>
      <w:r w:rsidR="00F25782" w:rsidRPr="00467579">
        <w:rPr>
          <w:rFonts w:ascii="Arial" w:cs="Arial" w:hAnsi="Arial"/>
          <w:sz w:val="20"/>
          <w:szCs w:val="20"/>
          <w:lang w:val="fr-FR"/>
        </w:rPr>
        <w:t xml:space="preserve">les ménages allant certainement devoir </w:t>
      </w:r>
      <w:r w:rsidR="008D1903">
        <w:rPr>
          <w:rFonts w:ascii="Arial" w:cs="Arial" w:hAnsi="Arial"/>
          <w:sz w:val="20"/>
          <w:szCs w:val="20"/>
          <w:lang w:val="fr-FR"/>
        </w:rPr>
        <w:t>réaliser</w:t>
      </w:r>
      <w:r w:rsidR="00F25782" w:rsidRPr="00467579">
        <w:rPr>
          <w:rFonts w:ascii="Arial" w:cs="Arial" w:hAnsi="Arial"/>
          <w:sz w:val="20"/>
          <w:szCs w:val="20"/>
          <w:lang w:val="fr-FR"/>
        </w:rPr>
        <w:t xml:space="preserve"> des arbitrages</w:t>
      </w:r>
      <w:r w:rsidR="008D1903">
        <w:rPr>
          <w:rFonts w:ascii="Arial" w:cs="Arial" w:hAnsi="Arial"/>
          <w:sz w:val="20"/>
          <w:szCs w:val="20"/>
          <w:lang w:val="fr-FR"/>
        </w:rPr>
        <w:t>,</w:t>
      </w:r>
      <w:r w:rsidR="00F25782" w:rsidRPr="00467579">
        <w:rPr>
          <w:rFonts w:ascii="Arial" w:cs="Arial" w:hAnsi="Arial"/>
          <w:sz w:val="20"/>
          <w:szCs w:val="20"/>
          <w:lang w:val="fr-FR"/>
        </w:rPr>
        <w:t xml:space="preserve"> malgré le niveau d’épargne élevé et les aides mises en place par les différents gouvernements pour maintenir le pouvoir d’achat.</w:t>
      </w:r>
      <w:r w:rsidR="00424939" w:rsidRPr="00424939">
        <w:rPr>
          <w:rFonts w:ascii="Arial" w:cs="Arial" w:hAnsi="Arial"/>
          <w:sz w:val="20"/>
          <w:szCs w:val="20"/>
          <w:lang w:val="fr-FR"/>
        </w:rPr>
        <w:t xml:space="preserve"> </w:t>
      </w:r>
      <w:r w:rsidR="00424939">
        <w:rPr>
          <w:rFonts w:ascii="Arial" w:cs="Arial" w:hAnsi="Arial"/>
          <w:sz w:val="20"/>
          <w:szCs w:val="20"/>
          <w:lang w:val="fr-FR"/>
        </w:rPr>
        <w:t>Toutefois, la plupart des marchés clefs européens devraient retrouver leur niveau</w:t>
      </w:r>
      <w:r w:rsidR="008D1903">
        <w:rPr>
          <w:rFonts w:ascii="Arial" w:cs="Arial" w:hAnsi="Arial"/>
          <w:sz w:val="20"/>
          <w:szCs w:val="20"/>
          <w:lang w:val="fr-FR"/>
        </w:rPr>
        <w:t xml:space="preserve"> </w:t>
      </w:r>
      <w:r w:rsidR="00044CFF">
        <w:rPr>
          <w:rFonts w:ascii="Arial" w:cs="Arial" w:hAnsi="Arial"/>
          <w:sz w:val="20"/>
          <w:szCs w:val="20"/>
          <w:lang w:val="fr-FR"/>
        </w:rPr>
        <w:t>pré-crise</w:t>
      </w:r>
      <w:r w:rsidR="00424939">
        <w:rPr>
          <w:rFonts w:ascii="Arial" w:cs="Arial" w:hAnsi="Arial"/>
          <w:sz w:val="20"/>
          <w:szCs w:val="20"/>
          <w:lang w:val="fr-FR"/>
        </w:rPr>
        <w:t xml:space="preserve"> en 2022</w:t>
      </w:r>
      <w:r w:rsidR="008D1903">
        <w:rPr>
          <w:rFonts w:ascii="Arial" w:cs="Arial" w:hAnsi="Arial"/>
          <w:sz w:val="20"/>
          <w:szCs w:val="20"/>
          <w:lang w:val="fr-FR"/>
        </w:rPr>
        <w:t>, à l’exception de l’Espagne.</w:t>
      </w:r>
    </w:p>
    <w:p w14:paraId="7756A223" w14:textId="7FCB8AA8" w:rsidP="00F25782" w:rsidR="00F25782" w:rsidRDefault="00F25782" w:rsidRPr="00467579">
      <w:pPr>
        <w:jc w:val="both"/>
        <w:rPr>
          <w:rFonts w:ascii="Arial" w:cs="Arial" w:hAnsi="Arial"/>
          <w:sz w:val="20"/>
          <w:szCs w:val="20"/>
          <w:lang w:val="fr-FR"/>
        </w:rPr>
      </w:pPr>
    </w:p>
    <w:p w14:paraId="3E935865" w14:textId="3BEA3E7E" w:rsidP="00F25782" w:rsidR="001F3898" w:rsidRDefault="001F3898">
      <w:pPr>
        <w:jc w:val="both"/>
        <w:rPr>
          <w:rFonts w:ascii="Arial" w:cs="Arial" w:hAnsi="Arial"/>
          <w:sz w:val="20"/>
          <w:szCs w:val="20"/>
          <w:lang w:val="fr-FR"/>
        </w:rPr>
      </w:pPr>
      <w:r w:rsidRPr="00467579">
        <w:rPr>
          <w:rFonts w:ascii="Arial" w:cs="Arial" w:hAnsi="Arial"/>
          <w:sz w:val="20"/>
          <w:szCs w:val="20"/>
          <w:lang w:val="fr-FR"/>
        </w:rPr>
        <w:t>En termes de prévisions</w:t>
      </w:r>
      <w:r w:rsidR="001633B8">
        <w:rPr>
          <w:rFonts w:ascii="Arial" w:cs="Arial" w:hAnsi="Arial"/>
          <w:sz w:val="20"/>
          <w:szCs w:val="20"/>
          <w:lang w:val="fr-FR"/>
        </w:rPr>
        <w:t xml:space="preserve"> sur </w:t>
      </w:r>
      <w:r w:rsidR="00DC5E35">
        <w:rPr>
          <w:rFonts w:ascii="Arial" w:cs="Arial" w:hAnsi="Arial"/>
          <w:sz w:val="20"/>
          <w:szCs w:val="20"/>
          <w:lang w:val="fr-FR"/>
        </w:rPr>
        <w:t xml:space="preserve">l’année </w:t>
      </w:r>
      <w:r w:rsidR="001633B8">
        <w:rPr>
          <w:rFonts w:ascii="Arial" w:cs="Arial" w:hAnsi="Arial"/>
          <w:sz w:val="20"/>
          <w:szCs w:val="20"/>
          <w:lang w:val="fr-FR"/>
        </w:rPr>
        <w:t>2023</w:t>
      </w:r>
      <w:r w:rsidRPr="00467579">
        <w:rPr>
          <w:rFonts w:ascii="Arial" w:cs="Arial" w:hAnsi="Arial"/>
          <w:sz w:val="20"/>
          <w:szCs w:val="20"/>
          <w:lang w:val="fr-FR"/>
        </w:rPr>
        <w:t xml:space="preserve">, </w:t>
      </w:r>
      <w:r w:rsidR="000F7F35">
        <w:rPr>
          <w:rFonts w:ascii="Arial" w:cs="Arial" w:hAnsi="Arial"/>
          <w:sz w:val="20"/>
          <w:szCs w:val="20"/>
          <w:lang w:val="fr-FR"/>
        </w:rPr>
        <w:t xml:space="preserve">dans ce contexte de fortes incertitudes, </w:t>
      </w:r>
      <w:r w:rsidR="00F154B7">
        <w:rPr>
          <w:rFonts w:ascii="Arial" w:cs="Arial" w:hAnsi="Arial"/>
          <w:sz w:val="20"/>
          <w:szCs w:val="20"/>
          <w:lang w:val="fr-FR"/>
        </w:rPr>
        <w:t xml:space="preserve">un net </w:t>
      </w:r>
      <w:r w:rsidR="00F154B7" w:rsidRPr="00467579">
        <w:rPr>
          <w:rFonts w:ascii="Arial" w:cs="Arial" w:hAnsi="Arial"/>
          <w:sz w:val="20"/>
          <w:szCs w:val="20"/>
          <w:lang w:val="fr-FR"/>
        </w:rPr>
        <w:t xml:space="preserve">ralentissement de la croissance européenne est attendu </w:t>
      </w:r>
      <w:r w:rsidR="001633B8">
        <w:rPr>
          <w:rFonts w:ascii="Arial" w:cs="Arial" w:hAnsi="Arial"/>
          <w:sz w:val="20"/>
          <w:szCs w:val="20"/>
          <w:lang w:val="fr-FR"/>
        </w:rPr>
        <w:t xml:space="preserve">du fait de </w:t>
      </w:r>
      <w:r w:rsidR="00076F27" w:rsidRPr="00467579">
        <w:rPr>
          <w:rFonts w:ascii="Arial" w:cs="Arial" w:hAnsi="Arial"/>
          <w:sz w:val="20"/>
          <w:szCs w:val="20"/>
          <w:lang w:val="fr-FR"/>
        </w:rPr>
        <w:t xml:space="preserve">l’inflation alimentée par le conflit en Ukraine, même </w:t>
      </w:r>
      <w:r w:rsidR="00F07E2A" w:rsidRPr="00467579">
        <w:rPr>
          <w:rFonts w:ascii="Arial" w:cs="Arial" w:hAnsi="Arial"/>
          <w:sz w:val="20"/>
          <w:szCs w:val="20"/>
          <w:lang w:val="fr-FR"/>
        </w:rPr>
        <w:t>s’il</w:t>
      </w:r>
      <w:r w:rsidR="00076F27" w:rsidRPr="00467579">
        <w:rPr>
          <w:rFonts w:ascii="Arial" w:cs="Arial" w:hAnsi="Arial"/>
          <w:sz w:val="20"/>
          <w:szCs w:val="20"/>
          <w:lang w:val="fr-FR"/>
        </w:rPr>
        <w:t xml:space="preserve"> est prévu un recul </w:t>
      </w:r>
      <w:r w:rsidR="00F57AE8">
        <w:rPr>
          <w:rFonts w:ascii="Arial" w:cs="Arial" w:hAnsi="Arial"/>
          <w:sz w:val="20"/>
          <w:szCs w:val="20"/>
          <w:lang w:val="fr-FR"/>
        </w:rPr>
        <w:t xml:space="preserve">de cette inflation </w:t>
      </w:r>
      <w:r w:rsidR="00076F27" w:rsidRPr="00467579">
        <w:rPr>
          <w:rFonts w:ascii="Arial" w:cs="Arial" w:hAnsi="Arial"/>
          <w:sz w:val="20"/>
          <w:szCs w:val="20"/>
          <w:lang w:val="fr-FR"/>
        </w:rPr>
        <w:t>courant 2023</w:t>
      </w:r>
      <w:r w:rsidR="005F0DBD">
        <w:rPr>
          <w:rFonts w:ascii="Arial" w:cs="Arial" w:hAnsi="Arial"/>
          <w:sz w:val="20"/>
          <w:szCs w:val="20"/>
          <w:lang w:val="fr-FR"/>
        </w:rPr>
        <w:t>,</w:t>
      </w:r>
      <w:r w:rsidR="00076F27" w:rsidRPr="00467579">
        <w:rPr>
          <w:rFonts w:ascii="Arial" w:cs="Arial" w:hAnsi="Arial"/>
          <w:sz w:val="20"/>
          <w:szCs w:val="20"/>
          <w:lang w:val="fr-FR"/>
        </w:rPr>
        <w:t xml:space="preserve"> en lien avec la réduction de la pression sur les prix de l’énergie et de l’alimentation.</w:t>
      </w:r>
      <w:r w:rsidR="00076F27" w:rsidRPr="00F25782">
        <w:rPr>
          <w:rFonts w:ascii="Arial" w:cs="Arial" w:hAnsi="Arial"/>
          <w:sz w:val="20"/>
          <w:szCs w:val="20"/>
          <w:lang w:val="fr-FR"/>
        </w:rPr>
        <w:t xml:space="preserve">  </w:t>
      </w:r>
    </w:p>
    <w:p w14:paraId="6F6C794F" w14:textId="40BE31F1" w:rsidP="00F25782" w:rsidR="007D5EFA" w:rsidRDefault="007D5EFA">
      <w:pPr>
        <w:jc w:val="both"/>
        <w:rPr>
          <w:rFonts w:ascii="Arial" w:cs="Arial" w:hAnsi="Arial"/>
          <w:sz w:val="20"/>
          <w:szCs w:val="20"/>
          <w:lang w:val="fr-FR"/>
        </w:rPr>
      </w:pPr>
    </w:p>
    <w:p w14:paraId="5B8ECD15" w14:textId="7AAA5D75" w:rsidP="00F25782" w:rsidR="00B6707D" w:rsidRDefault="00B6707D">
      <w:pPr>
        <w:jc w:val="both"/>
        <w:rPr>
          <w:rFonts w:ascii="Arial" w:cs="Arial" w:hAnsi="Arial"/>
          <w:sz w:val="20"/>
          <w:szCs w:val="20"/>
          <w:lang w:val="fr-FR"/>
        </w:rPr>
      </w:pPr>
      <w:r w:rsidRPr="006C4C79">
        <w:rPr>
          <w:rFonts w:ascii="Arial" w:cs="Arial" w:hAnsi="Arial"/>
          <w:sz w:val="20"/>
          <w:szCs w:val="20"/>
          <w:lang w:val="fr-FR"/>
        </w:rPr>
        <w:t xml:space="preserve">S’agissant de l’environnement sectoriel, après une </w:t>
      </w:r>
      <w:r w:rsidR="00966749" w:rsidRPr="006C4C79">
        <w:rPr>
          <w:rFonts w:ascii="Arial" w:cs="Arial" w:hAnsi="Arial"/>
          <w:sz w:val="20"/>
          <w:szCs w:val="20"/>
          <w:lang w:val="fr-FR"/>
        </w:rPr>
        <w:t xml:space="preserve">lente reprise en </w:t>
      </w:r>
      <w:r w:rsidRPr="006C4C79">
        <w:rPr>
          <w:rFonts w:ascii="Arial" w:cs="Arial" w:hAnsi="Arial"/>
          <w:sz w:val="20"/>
          <w:szCs w:val="20"/>
          <w:lang w:val="fr-FR"/>
        </w:rPr>
        <w:t>2021, les secteurs de l’Industrie du</w:t>
      </w:r>
      <w:r>
        <w:rPr>
          <w:rFonts w:ascii="Arial" w:cs="Arial" w:hAnsi="Arial"/>
          <w:sz w:val="20"/>
          <w:szCs w:val="20"/>
          <w:lang w:val="fr-FR"/>
        </w:rPr>
        <w:t xml:space="preserve"> Commerce en France devraient retrouv</w:t>
      </w:r>
      <w:r w:rsidR="00A47CFF">
        <w:rPr>
          <w:rFonts w:ascii="Arial" w:cs="Arial" w:hAnsi="Arial"/>
          <w:sz w:val="20"/>
          <w:szCs w:val="20"/>
          <w:lang w:val="fr-FR"/>
        </w:rPr>
        <w:t>er</w:t>
      </w:r>
      <w:r>
        <w:rPr>
          <w:rFonts w:ascii="Arial" w:cs="Arial" w:hAnsi="Arial"/>
          <w:sz w:val="20"/>
          <w:szCs w:val="20"/>
          <w:lang w:val="fr-FR"/>
        </w:rPr>
        <w:t xml:space="preserve"> leur niveau pré-crise en 2022</w:t>
      </w:r>
      <w:r w:rsidR="00CA26D4">
        <w:rPr>
          <w:rFonts w:ascii="Arial" w:cs="Arial" w:hAnsi="Arial"/>
          <w:sz w:val="20"/>
          <w:szCs w:val="20"/>
          <w:lang w:val="fr-FR"/>
        </w:rPr>
        <w:t xml:space="preserve">, </w:t>
      </w:r>
      <w:r w:rsidR="00CA26D4" w:rsidRPr="00A373E6">
        <w:rPr>
          <w:rFonts w:ascii="Arial" w:cs="Arial" w:hAnsi="Arial"/>
          <w:sz w:val="20"/>
          <w:szCs w:val="20"/>
          <w:lang w:val="fr-FR"/>
        </w:rPr>
        <w:t xml:space="preserve">la reprise </w:t>
      </w:r>
      <w:r w:rsidR="006C4C79">
        <w:rPr>
          <w:rFonts w:ascii="Arial" w:cs="Arial" w:hAnsi="Arial"/>
          <w:sz w:val="20"/>
          <w:szCs w:val="20"/>
          <w:lang w:val="fr-FR"/>
        </w:rPr>
        <w:t xml:space="preserve">de l’activité </w:t>
      </w:r>
      <w:r w:rsidR="00CA26D4" w:rsidRPr="00A373E6">
        <w:rPr>
          <w:rFonts w:ascii="Arial" w:cs="Arial" w:hAnsi="Arial"/>
          <w:sz w:val="20"/>
          <w:szCs w:val="20"/>
          <w:lang w:val="fr-FR"/>
        </w:rPr>
        <w:t xml:space="preserve">étant notamment </w:t>
      </w:r>
      <w:r w:rsidR="006C4C79">
        <w:rPr>
          <w:rFonts w:ascii="Arial" w:cs="Arial" w:hAnsi="Arial"/>
          <w:sz w:val="20"/>
          <w:szCs w:val="20"/>
          <w:lang w:val="fr-FR"/>
        </w:rPr>
        <w:t>portée</w:t>
      </w:r>
      <w:r w:rsidR="00CA26D4" w:rsidRPr="00A373E6">
        <w:rPr>
          <w:rFonts w:ascii="Arial" w:cs="Arial" w:hAnsi="Arial"/>
          <w:sz w:val="20"/>
          <w:szCs w:val="20"/>
          <w:lang w:val="fr-FR"/>
        </w:rPr>
        <w:t xml:space="preserve"> par la fréquentation des touristes Français mais également</w:t>
      </w:r>
      <w:r w:rsidR="006C4C79">
        <w:rPr>
          <w:rFonts w:ascii="Arial" w:cs="Arial" w:hAnsi="Arial"/>
          <w:sz w:val="20"/>
          <w:szCs w:val="20"/>
          <w:lang w:val="fr-FR"/>
        </w:rPr>
        <w:t xml:space="preserve"> par</w:t>
      </w:r>
      <w:r w:rsidR="00CA26D4" w:rsidRPr="00A373E6">
        <w:rPr>
          <w:rFonts w:ascii="Arial" w:cs="Arial" w:hAnsi="Arial"/>
          <w:sz w:val="20"/>
          <w:szCs w:val="20"/>
          <w:lang w:val="fr-FR"/>
        </w:rPr>
        <w:t xml:space="preserve"> le retour des touristes européens et américains. Le secteur des voyages d’affaires et la fréquentation touristique internationale ne</w:t>
      </w:r>
      <w:r w:rsidR="00DD4CA9" w:rsidRPr="00A373E6">
        <w:rPr>
          <w:rFonts w:ascii="Arial" w:cs="Arial" w:hAnsi="Arial"/>
          <w:sz w:val="20"/>
          <w:szCs w:val="20"/>
          <w:lang w:val="fr-FR"/>
        </w:rPr>
        <w:t xml:space="preserve"> </w:t>
      </w:r>
      <w:r w:rsidR="00CA26D4" w:rsidRPr="00A373E6">
        <w:rPr>
          <w:rFonts w:ascii="Arial" w:cs="Arial" w:hAnsi="Arial"/>
          <w:sz w:val="20"/>
          <w:szCs w:val="20"/>
          <w:lang w:val="fr-FR"/>
        </w:rPr>
        <w:t>devraient</w:t>
      </w:r>
      <w:r w:rsidR="006C4C79">
        <w:rPr>
          <w:rFonts w:ascii="Arial" w:cs="Arial" w:hAnsi="Arial"/>
          <w:sz w:val="20"/>
          <w:szCs w:val="20"/>
          <w:lang w:val="fr-FR"/>
        </w:rPr>
        <w:t>,</w:t>
      </w:r>
      <w:r w:rsidR="00CA26D4" w:rsidRPr="00A373E6">
        <w:rPr>
          <w:rFonts w:ascii="Arial" w:cs="Arial" w:hAnsi="Arial"/>
          <w:sz w:val="20"/>
          <w:szCs w:val="20"/>
          <w:lang w:val="fr-FR"/>
        </w:rPr>
        <w:t xml:space="preserve"> </w:t>
      </w:r>
      <w:r w:rsidR="00DD4CA9" w:rsidRPr="00A373E6">
        <w:rPr>
          <w:rFonts w:ascii="Arial" w:cs="Arial" w:hAnsi="Arial"/>
          <w:sz w:val="20"/>
          <w:szCs w:val="20"/>
          <w:lang w:val="fr-FR"/>
        </w:rPr>
        <w:t>pour leur part</w:t>
      </w:r>
      <w:r w:rsidR="006C4C79">
        <w:rPr>
          <w:rFonts w:ascii="Arial" w:cs="Arial" w:hAnsi="Arial"/>
          <w:sz w:val="20"/>
          <w:szCs w:val="20"/>
          <w:lang w:val="fr-FR"/>
        </w:rPr>
        <w:t>,</w:t>
      </w:r>
      <w:r w:rsidR="00DD4CA9" w:rsidRPr="00A373E6">
        <w:rPr>
          <w:rFonts w:ascii="Arial" w:cs="Arial" w:hAnsi="Arial"/>
          <w:sz w:val="20"/>
          <w:szCs w:val="20"/>
          <w:lang w:val="fr-FR"/>
        </w:rPr>
        <w:t xml:space="preserve"> </w:t>
      </w:r>
      <w:r w:rsidR="00CA26D4" w:rsidRPr="00A373E6">
        <w:rPr>
          <w:rFonts w:ascii="Arial" w:cs="Arial" w:hAnsi="Arial"/>
          <w:sz w:val="20"/>
          <w:szCs w:val="20"/>
          <w:lang w:val="fr-FR"/>
        </w:rPr>
        <w:t>retrouver leur niveau de pré-crise qu’en 2024.</w:t>
      </w:r>
    </w:p>
    <w:p w14:paraId="74A1F94A" w14:textId="77777777" w:rsidP="00856EBC" w:rsidR="00F25782" w:rsidRDefault="00F25782">
      <w:pPr>
        <w:jc w:val="both"/>
        <w:rPr>
          <w:rFonts w:ascii="Arial" w:cs="Arial" w:hAnsi="Arial"/>
          <w:sz w:val="20"/>
          <w:lang w:val="fr-FR"/>
        </w:rPr>
      </w:pPr>
    </w:p>
    <w:p w14:paraId="4E20355D" w14:textId="53AFA434" w:rsidP="00F25782" w:rsidR="00F25782" w:rsidRDefault="00F25782" w:rsidRPr="00AB635F">
      <w:pPr>
        <w:jc w:val="both"/>
        <w:rPr>
          <w:rFonts w:ascii="Arial" w:cs="Arial" w:hAnsi="Arial"/>
          <w:sz w:val="20"/>
          <w:lang w:val="fr-FR"/>
        </w:rPr>
      </w:pPr>
      <w:r w:rsidRPr="00653AA6">
        <w:rPr>
          <w:rFonts w:ascii="Arial" w:cs="Arial" w:hAnsi="Arial"/>
          <w:sz w:val="20"/>
          <w:lang w:val="fr-FR"/>
        </w:rPr>
        <w:t xml:space="preserve">Pour ce qui concerne l’environnement concurrentiel, après deux années très difficiles liées </w:t>
      </w:r>
      <w:r w:rsidR="00B51ED9" w:rsidRPr="00653AA6">
        <w:rPr>
          <w:rFonts w:ascii="Arial" w:cs="Arial" w:hAnsi="Arial"/>
          <w:sz w:val="20"/>
          <w:lang w:val="fr-FR"/>
        </w:rPr>
        <w:t>au contexte</w:t>
      </w:r>
      <w:r w:rsidR="00B51ED9" w:rsidRPr="00AB635F">
        <w:rPr>
          <w:rFonts w:ascii="Arial" w:cs="Arial" w:hAnsi="Arial"/>
          <w:sz w:val="20"/>
          <w:lang w:val="fr-FR"/>
        </w:rPr>
        <w:t xml:space="preserve"> sanitaire</w:t>
      </w:r>
      <w:r w:rsidR="00F368E9">
        <w:rPr>
          <w:rFonts w:ascii="Arial" w:cs="Arial" w:hAnsi="Arial"/>
          <w:sz w:val="20"/>
          <w:lang w:val="fr-FR"/>
        </w:rPr>
        <w:t xml:space="preserve">, </w:t>
      </w:r>
      <w:r w:rsidR="00BB2710">
        <w:rPr>
          <w:rFonts w:ascii="Arial" w:cs="Arial" w:hAnsi="Arial"/>
          <w:sz w:val="20"/>
          <w:lang w:val="fr-FR"/>
        </w:rPr>
        <w:t>les</w:t>
      </w:r>
      <w:r w:rsidR="00544A0C">
        <w:rPr>
          <w:rFonts w:ascii="Arial" w:cs="Arial" w:hAnsi="Arial"/>
          <w:sz w:val="20"/>
          <w:lang w:val="fr-FR"/>
        </w:rPr>
        <w:t xml:space="preserve"> perspectives de reprise du secteur des loisirs en Europe</w:t>
      </w:r>
      <w:r w:rsidR="00BB2710">
        <w:rPr>
          <w:rFonts w:ascii="Arial" w:cs="Arial" w:hAnsi="Arial"/>
          <w:sz w:val="20"/>
          <w:lang w:val="fr-FR"/>
        </w:rPr>
        <w:t xml:space="preserve"> en 2022 et 2023</w:t>
      </w:r>
      <w:r w:rsidR="00BB2710" w:rsidRPr="00BB2710">
        <w:rPr>
          <w:rFonts w:ascii="Arial" w:cs="Arial" w:hAnsi="Arial"/>
          <w:sz w:val="20"/>
          <w:lang w:val="fr-FR"/>
        </w:rPr>
        <w:t xml:space="preserve"> </w:t>
      </w:r>
      <w:r w:rsidR="00BB2710">
        <w:rPr>
          <w:rFonts w:ascii="Arial" w:cs="Arial" w:hAnsi="Arial"/>
          <w:sz w:val="20"/>
          <w:lang w:val="fr-FR"/>
        </w:rPr>
        <w:t>sont encourageantes</w:t>
      </w:r>
      <w:r w:rsidR="00B9102F">
        <w:rPr>
          <w:rFonts w:ascii="Arial" w:cs="Arial" w:hAnsi="Arial"/>
          <w:sz w:val="20"/>
          <w:lang w:val="fr-FR"/>
        </w:rPr>
        <w:t>,</w:t>
      </w:r>
      <w:r w:rsidR="00544A0C">
        <w:rPr>
          <w:rFonts w:ascii="Arial" w:cs="Arial" w:hAnsi="Arial"/>
          <w:sz w:val="20"/>
          <w:lang w:val="fr-FR"/>
        </w:rPr>
        <w:t xml:space="preserve"> </w:t>
      </w:r>
      <w:r w:rsidRPr="00AB635F">
        <w:rPr>
          <w:rFonts w:ascii="Arial" w:cs="Arial" w:hAnsi="Arial"/>
          <w:sz w:val="20"/>
          <w:lang w:val="fr-FR"/>
        </w:rPr>
        <w:t>en lien avec le retour des voyages touristiques et le désir de voyager des Européens.</w:t>
      </w:r>
      <w:r w:rsidR="00494F39">
        <w:rPr>
          <w:rFonts w:ascii="Arial" w:cs="Arial" w:hAnsi="Arial"/>
          <w:sz w:val="20"/>
          <w:lang w:val="fr-FR"/>
        </w:rPr>
        <w:t xml:space="preserve"> Ce</w:t>
      </w:r>
      <w:r w:rsidR="00D92F5D">
        <w:rPr>
          <w:rFonts w:ascii="Arial" w:cs="Arial" w:hAnsi="Arial"/>
          <w:sz w:val="20"/>
          <w:lang w:val="fr-FR"/>
        </w:rPr>
        <w:t xml:space="preserve">tte dynamique est </w:t>
      </w:r>
      <w:r w:rsidR="00494F39">
        <w:rPr>
          <w:rFonts w:ascii="Arial" w:cs="Arial" w:hAnsi="Arial"/>
          <w:sz w:val="20"/>
          <w:lang w:val="fr-FR"/>
        </w:rPr>
        <w:t>appuyée par la poursuite des programmes d’investissements des parcs Européens et de nouvelles destinations en devenir</w:t>
      </w:r>
      <w:r w:rsidR="00DA3513">
        <w:rPr>
          <w:rFonts w:ascii="Arial" w:cs="Arial" w:hAnsi="Arial"/>
          <w:sz w:val="20"/>
          <w:lang w:val="fr-FR"/>
        </w:rPr>
        <w:t xml:space="preserve"> qui renforcent l’attractivité des différents Parcs.</w:t>
      </w:r>
    </w:p>
    <w:p w14:paraId="44AC0C1F" w14:textId="77777777" w:rsidP="00F25782" w:rsidR="00F25782" w:rsidRDefault="00F25782" w:rsidRPr="00F25782">
      <w:pPr>
        <w:jc w:val="both"/>
        <w:rPr>
          <w:rFonts w:ascii="Arial" w:cs="Arial" w:hAnsi="Arial"/>
          <w:sz w:val="20"/>
          <w:highlight w:val="cyan"/>
          <w:lang w:val="fr-FR"/>
        </w:rPr>
      </w:pPr>
    </w:p>
    <w:p w14:paraId="5F998866" w14:textId="59534D8E" w:rsidP="00F25782" w:rsidR="00793FA2" w:rsidRDefault="00856EBC">
      <w:pPr>
        <w:jc w:val="both"/>
        <w:rPr>
          <w:rFonts w:ascii="Arial" w:cs="Arial" w:hAnsi="Arial"/>
          <w:sz w:val="20"/>
          <w:szCs w:val="20"/>
          <w:lang w:val="fr-FR"/>
        </w:rPr>
      </w:pPr>
      <w:r w:rsidRPr="00AC5AAC">
        <w:rPr>
          <w:rFonts w:ascii="Arial" w:cs="Arial" w:hAnsi="Arial"/>
          <w:sz w:val="20"/>
          <w:lang w:val="fr-FR"/>
        </w:rPr>
        <w:t xml:space="preserve">La Direction a ensuite présenté les premières tendances et pratiques </w:t>
      </w:r>
      <w:r w:rsidR="009C202C">
        <w:rPr>
          <w:rFonts w:ascii="Arial" w:cs="Arial" w:hAnsi="Arial"/>
          <w:sz w:val="20"/>
          <w:lang w:val="fr-FR"/>
        </w:rPr>
        <w:t xml:space="preserve">du </w:t>
      </w:r>
      <w:r w:rsidRPr="00AC5AAC">
        <w:rPr>
          <w:rFonts w:ascii="Arial" w:cs="Arial" w:hAnsi="Arial"/>
          <w:sz w:val="20"/>
          <w:lang w:val="fr-FR"/>
        </w:rPr>
        <w:t xml:space="preserve">marché concernant les politiques salariales des entreprises en France </w:t>
      </w:r>
      <w:r w:rsidR="009C202C">
        <w:rPr>
          <w:rFonts w:ascii="Arial" w:cs="Arial" w:hAnsi="Arial"/>
          <w:sz w:val="20"/>
          <w:lang w:val="fr-FR"/>
        </w:rPr>
        <w:t xml:space="preserve">pour 2023, </w:t>
      </w:r>
      <w:r w:rsidR="009C202C" w:rsidRPr="002B2420">
        <w:rPr>
          <w:rFonts w:ascii="Arial" w:cs="Arial" w:hAnsi="Arial"/>
          <w:sz w:val="20"/>
          <w:lang w:val="fr-FR"/>
        </w:rPr>
        <w:t xml:space="preserve">avec </w:t>
      </w:r>
      <w:r w:rsidR="005301FB" w:rsidRPr="002B2420">
        <w:rPr>
          <w:rFonts w:ascii="Arial" w:cs="Arial" w:hAnsi="Arial"/>
          <w:sz w:val="20"/>
          <w:lang w:val="fr-FR"/>
        </w:rPr>
        <w:t xml:space="preserve">un niveau de </w:t>
      </w:r>
      <w:r w:rsidR="009C202C" w:rsidRPr="002B2420">
        <w:rPr>
          <w:rFonts w:ascii="Arial" w:cs="Arial" w:hAnsi="Arial"/>
          <w:sz w:val="20"/>
          <w:lang w:val="fr-FR"/>
        </w:rPr>
        <w:t xml:space="preserve">prévisions budgétaires </w:t>
      </w:r>
      <w:r w:rsidR="005301FB" w:rsidRPr="002B2420">
        <w:rPr>
          <w:rFonts w:ascii="Arial" w:cs="Arial" w:hAnsi="Arial"/>
          <w:sz w:val="20"/>
          <w:lang w:val="fr-FR"/>
        </w:rPr>
        <w:t>lié a</w:t>
      </w:r>
      <w:r w:rsidR="009C202C" w:rsidRPr="002B2420">
        <w:rPr>
          <w:rFonts w:ascii="Arial" w:cs="Arial" w:hAnsi="Arial"/>
          <w:sz w:val="20"/>
          <w:lang w:val="fr-FR"/>
        </w:rPr>
        <w:t>u contexte, notamment l’inflation et la tension sur le marché du travail</w:t>
      </w:r>
      <w:r w:rsidR="001C6328" w:rsidRPr="002B2420">
        <w:rPr>
          <w:rFonts w:ascii="Arial" w:cs="Arial" w:hAnsi="Arial"/>
          <w:sz w:val="20"/>
          <w:lang w:val="fr-FR"/>
        </w:rPr>
        <w:t>.</w:t>
      </w:r>
    </w:p>
    <w:p w14:paraId="077A8A69" w14:textId="6FC768D8" w:rsidP="00856EBC" w:rsidR="00793FA2" w:rsidRDefault="00793FA2">
      <w:pPr>
        <w:jc w:val="both"/>
        <w:rPr>
          <w:rFonts w:ascii="Arial" w:cs="Arial" w:hAnsi="Arial"/>
          <w:sz w:val="20"/>
          <w:szCs w:val="20"/>
          <w:lang w:val="fr-FR"/>
        </w:rPr>
      </w:pPr>
    </w:p>
    <w:p w14:paraId="500E1031" w14:textId="77777777" w:rsidP="00856EBC" w:rsidR="00F25782" w:rsidRDefault="00F25782">
      <w:pPr>
        <w:jc w:val="both"/>
        <w:rPr>
          <w:rFonts w:ascii="Arial" w:cs="Arial" w:hAnsi="Arial"/>
          <w:sz w:val="20"/>
          <w:szCs w:val="20"/>
          <w:lang w:val="fr-FR"/>
        </w:rPr>
      </w:pPr>
    </w:p>
    <w:p w14:paraId="7D66E672" w14:textId="77777777" w:rsidP="00856EBC" w:rsidR="00F25782" w:rsidRDefault="00F25782" w:rsidRPr="00AC5AAC">
      <w:pPr>
        <w:jc w:val="both"/>
        <w:rPr>
          <w:rFonts w:ascii="Arial" w:cs="Arial" w:hAnsi="Arial"/>
          <w:sz w:val="20"/>
          <w:szCs w:val="20"/>
          <w:lang w:val="fr-FR"/>
        </w:rPr>
      </w:pPr>
    </w:p>
    <w:p w14:paraId="0DBF72FA" w14:textId="77777777" w:rsidP="007B2613" w:rsidR="0077204A" w:rsidRDefault="0077204A">
      <w:pPr>
        <w:jc w:val="both"/>
        <w:rPr>
          <w:rFonts w:ascii="Arial" w:cs="Arial" w:hAnsi="Arial"/>
          <w:sz w:val="20"/>
          <w:lang w:val="fr-FR"/>
        </w:rPr>
      </w:pPr>
    </w:p>
    <w:p w14:paraId="21F357A9" w14:textId="77777777" w:rsidP="007B2613" w:rsidR="0077204A" w:rsidRDefault="0077204A">
      <w:pPr>
        <w:jc w:val="both"/>
        <w:rPr>
          <w:rFonts w:ascii="Arial" w:cs="Arial" w:hAnsi="Arial"/>
          <w:sz w:val="20"/>
          <w:lang w:val="fr-FR"/>
        </w:rPr>
      </w:pPr>
    </w:p>
    <w:p w14:paraId="3ECA20CF" w14:textId="529EA6AE" w:rsidP="007B2613" w:rsidR="007B2613" w:rsidRDefault="001618B7" w:rsidRPr="0044309D">
      <w:pPr>
        <w:jc w:val="both"/>
        <w:rPr>
          <w:rFonts w:ascii="Arial" w:cs="Arial" w:hAnsi="Arial"/>
          <w:sz w:val="20"/>
          <w:lang w:val="fr-FR"/>
        </w:rPr>
      </w:pPr>
      <w:r w:rsidRPr="00AC5AAC">
        <w:rPr>
          <w:rFonts w:ascii="Arial" w:cs="Arial" w:hAnsi="Arial"/>
          <w:sz w:val="20"/>
          <w:lang w:val="fr-FR"/>
        </w:rPr>
        <w:t>Lors de cette réunion, les Organisations Syndicales Représentatives ont été attentives aux éléments présentés</w:t>
      </w:r>
      <w:r w:rsidR="002F78B6">
        <w:rPr>
          <w:rFonts w:ascii="Arial" w:cs="Arial" w:hAnsi="Arial"/>
          <w:sz w:val="20"/>
          <w:lang w:val="fr-FR"/>
        </w:rPr>
        <w:t xml:space="preserve">, soulignant que le contexte d’inflation </w:t>
      </w:r>
      <w:r w:rsidR="005B76EB">
        <w:rPr>
          <w:rFonts w:ascii="Arial" w:cs="Arial" w:hAnsi="Arial"/>
          <w:sz w:val="20"/>
          <w:lang w:val="fr-FR"/>
        </w:rPr>
        <w:t>orientait nécessairement sur</w:t>
      </w:r>
      <w:r w:rsidR="002F78B6" w:rsidRPr="0044309D">
        <w:rPr>
          <w:rFonts w:ascii="Arial" w:cs="Arial" w:hAnsi="Arial"/>
          <w:sz w:val="20"/>
          <w:lang w:val="fr-FR"/>
        </w:rPr>
        <w:t xml:space="preserve"> une politique salariale axée </w:t>
      </w:r>
      <w:r w:rsidR="00A672BD">
        <w:rPr>
          <w:rFonts w:ascii="Arial" w:cs="Arial" w:hAnsi="Arial"/>
          <w:sz w:val="20"/>
          <w:lang w:val="fr-FR"/>
        </w:rPr>
        <w:t xml:space="preserve">sur </w:t>
      </w:r>
      <w:r w:rsidR="002F78B6" w:rsidRPr="0044309D">
        <w:rPr>
          <w:rFonts w:ascii="Arial" w:cs="Arial" w:hAnsi="Arial"/>
          <w:sz w:val="20"/>
          <w:lang w:val="fr-FR"/>
        </w:rPr>
        <w:t>des mesures d’augmentations générales permettant ainsi de soutenir le pouvoir d’achat de l’ensemble des salariés</w:t>
      </w:r>
      <w:r w:rsidRPr="0044309D">
        <w:rPr>
          <w:rFonts w:ascii="Arial" w:cs="Arial" w:hAnsi="Arial"/>
          <w:sz w:val="20"/>
          <w:lang w:val="fr-FR"/>
        </w:rPr>
        <w:t>.</w:t>
      </w:r>
      <w:r w:rsidR="007B2613" w:rsidRPr="0044309D">
        <w:rPr>
          <w:rFonts w:ascii="Arial" w:cs="Arial" w:hAnsi="Arial"/>
          <w:sz w:val="20"/>
          <w:lang w:val="fr-FR"/>
        </w:rPr>
        <w:t xml:space="preserve"> </w:t>
      </w:r>
      <w:r w:rsidR="00B27D09" w:rsidRPr="0044309D">
        <w:rPr>
          <w:rFonts w:ascii="Arial" w:cs="Arial" w:hAnsi="Arial"/>
          <w:sz w:val="20"/>
          <w:lang w:val="fr-FR"/>
        </w:rPr>
        <w:t>Pour sa part, la</w:t>
      </w:r>
      <w:r w:rsidR="007B2613" w:rsidRPr="0044309D">
        <w:rPr>
          <w:rFonts w:ascii="Arial" w:cs="Arial" w:hAnsi="Arial"/>
          <w:sz w:val="20"/>
          <w:lang w:val="fr-FR"/>
        </w:rPr>
        <w:t xml:space="preserve"> Direction a indiqué qu’il était également important</w:t>
      </w:r>
      <w:r w:rsidR="00A672BD">
        <w:rPr>
          <w:rFonts w:ascii="Arial" w:cs="Arial" w:hAnsi="Arial"/>
          <w:sz w:val="20"/>
          <w:lang w:val="fr-FR"/>
        </w:rPr>
        <w:t xml:space="preserve"> de revenir à des mesures d’augmentations individuelle</w:t>
      </w:r>
      <w:r w:rsidR="00170CBE">
        <w:rPr>
          <w:rFonts w:ascii="Arial" w:cs="Arial" w:hAnsi="Arial"/>
          <w:sz w:val="20"/>
          <w:lang w:val="fr-FR"/>
        </w:rPr>
        <w:t>s</w:t>
      </w:r>
      <w:r w:rsidR="007B2613" w:rsidRPr="0044309D">
        <w:rPr>
          <w:rFonts w:ascii="Arial" w:cs="Arial" w:hAnsi="Arial"/>
          <w:sz w:val="20"/>
          <w:lang w:val="fr-FR"/>
        </w:rPr>
        <w:t xml:space="preserve">, après deux années consécutives sans </w:t>
      </w:r>
      <w:r w:rsidR="007751A3">
        <w:rPr>
          <w:rFonts w:ascii="Arial" w:cs="Arial" w:hAnsi="Arial"/>
          <w:sz w:val="20"/>
          <w:lang w:val="fr-FR"/>
        </w:rPr>
        <w:t>cette mesure,</w:t>
      </w:r>
      <w:r w:rsidR="007B2613" w:rsidRPr="0044309D">
        <w:rPr>
          <w:rFonts w:ascii="Arial" w:cs="Arial" w:hAnsi="Arial"/>
          <w:sz w:val="20"/>
          <w:lang w:val="fr-FR"/>
        </w:rPr>
        <w:t xml:space="preserve"> afin de reconnaitre les performances individuelles des salariés</w:t>
      </w:r>
      <w:r w:rsidR="009B1EA8">
        <w:rPr>
          <w:rFonts w:ascii="Arial" w:cs="Arial" w:hAnsi="Arial"/>
          <w:sz w:val="20"/>
          <w:lang w:val="fr-FR"/>
        </w:rPr>
        <w:t xml:space="preserve">. Par ailleurs, elle </w:t>
      </w:r>
      <w:r w:rsidR="005A14CB">
        <w:rPr>
          <w:rFonts w:ascii="Arial" w:cs="Arial" w:hAnsi="Arial"/>
          <w:sz w:val="20"/>
          <w:lang w:val="fr-FR"/>
        </w:rPr>
        <w:t>a rappelé</w:t>
      </w:r>
      <w:r w:rsidR="009B1EA8">
        <w:rPr>
          <w:rFonts w:ascii="Arial" w:cs="Arial" w:hAnsi="Arial"/>
          <w:sz w:val="20"/>
          <w:lang w:val="fr-FR"/>
        </w:rPr>
        <w:t xml:space="preserve"> que </w:t>
      </w:r>
      <w:r w:rsidR="0009029B">
        <w:rPr>
          <w:rFonts w:ascii="Arial" w:cs="Arial" w:hAnsi="Arial"/>
          <w:sz w:val="20"/>
          <w:lang w:val="fr-FR"/>
        </w:rPr>
        <w:t xml:space="preserve">l’inflation n’impacte pas les salariés de la même manière </w:t>
      </w:r>
      <w:r w:rsidR="00D5158C">
        <w:rPr>
          <w:rFonts w:ascii="Arial" w:cs="Arial" w:hAnsi="Arial"/>
          <w:sz w:val="20"/>
          <w:lang w:val="fr-FR"/>
        </w:rPr>
        <w:t>a</w:t>
      </w:r>
      <w:r w:rsidR="0009029B">
        <w:rPr>
          <w:rFonts w:ascii="Arial" w:cs="Arial" w:hAnsi="Arial"/>
          <w:sz w:val="20"/>
          <w:lang w:val="fr-FR"/>
        </w:rPr>
        <w:t xml:space="preserve">u regard </w:t>
      </w:r>
      <w:r w:rsidR="00D5158C">
        <w:rPr>
          <w:rFonts w:ascii="Arial" w:cs="Arial" w:hAnsi="Arial"/>
          <w:sz w:val="20"/>
          <w:lang w:val="fr-FR"/>
        </w:rPr>
        <w:t>des</w:t>
      </w:r>
      <w:r w:rsidR="0009029B">
        <w:rPr>
          <w:rFonts w:ascii="Arial" w:cs="Arial" w:hAnsi="Arial"/>
          <w:sz w:val="20"/>
          <w:lang w:val="fr-FR"/>
        </w:rPr>
        <w:t xml:space="preserve"> niveaux de rémunération</w:t>
      </w:r>
      <w:r w:rsidR="009B1EA8">
        <w:rPr>
          <w:rFonts w:ascii="Arial" w:cs="Arial" w:hAnsi="Arial"/>
          <w:sz w:val="20"/>
          <w:lang w:val="fr-FR"/>
        </w:rPr>
        <w:t xml:space="preserve"> </w:t>
      </w:r>
      <w:r w:rsidR="00D5158C">
        <w:rPr>
          <w:rFonts w:ascii="Arial" w:cs="Arial" w:hAnsi="Arial"/>
          <w:sz w:val="20"/>
          <w:lang w:val="fr-FR"/>
        </w:rPr>
        <w:t xml:space="preserve">de chacun </w:t>
      </w:r>
      <w:r w:rsidR="009B1EA8">
        <w:rPr>
          <w:rFonts w:ascii="Arial" w:cs="Arial" w:hAnsi="Arial"/>
          <w:sz w:val="20"/>
          <w:lang w:val="fr-FR"/>
        </w:rPr>
        <w:t>et qu’elle sera</w:t>
      </w:r>
      <w:r w:rsidR="00170CBE">
        <w:rPr>
          <w:rFonts w:ascii="Arial" w:cs="Arial" w:hAnsi="Arial"/>
          <w:sz w:val="20"/>
          <w:lang w:val="fr-FR"/>
        </w:rPr>
        <w:t>it</w:t>
      </w:r>
      <w:r w:rsidR="009B1EA8">
        <w:rPr>
          <w:rFonts w:ascii="Arial" w:cs="Arial" w:hAnsi="Arial"/>
          <w:sz w:val="20"/>
          <w:lang w:val="fr-FR"/>
        </w:rPr>
        <w:t xml:space="preserve"> moins importante </w:t>
      </w:r>
      <w:r w:rsidR="00D5158C">
        <w:rPr>
          <w:rFonts w:ascii="Arial" w:cs="Arial" w:hAnsi="Arial"/>
          <w:sz w:val="20"/>
          <w:lang w:val="fr-FR"/>
        </w:rPr>
        <w:t>en 2023 a</w:t>
      </w:r>
      <w:r w:rsidR="00184B31">
        <w:rPr>
          <w:rFonts w:ascii="Arial" w:cs="Arial" w:hAnsi="Arial"/>
          <w:sz w:val="20"/>
          <w:lang w:val="fr-FR"/>
        </w:rPr>
        <w:t xml:space="preserve">u </w:t>
      </w:r>
      <w:r w:rsidR="00D5158C">
        <w:rPr>
          <w:rFonts w:ascii="Arial" w:cs="Arial" w:hAnsi="Arial"/>
          <w:sz w:val="20"/>
          <w:lang w:val="fr-FR"/>
        </w:rPr>
        <w:t>regard des</w:t>
      </w:r>
      <w:r w:rsidR="00184B31">
        <w:rPr>
          <w:rFonts w:ascii="Arial" w:cs="Arial" w:hAnsi="Arial"/>
          <w:sz w:val="20"/>
          <w:lang w:val="fr-FR"/>
        </w:rPr>
        <w:t xml:space="preserve"> prévisions</w:t>
      </w:r>
      <w:r w:rsidR="00D5158C">
        <w:rPr>
          <w:rFonts w:ascii="Arial" w:cs="Arial" w:hAnsi="Arial"/>
          <w:sz w:val="20"/>
          <w:lang w:val="fr-FR"/>
        </w:rPr>
        <w:t xml:space="preserve"> présentées</w:t>
      </w:r>
      <w:r w:rsidR="009B1EA8">
        <w:rPr>
          <w:rFonts w:ascii="Arial" w:cs="Arial" w:hAnsi="Arial"/>
          <w:sz w:val="20"/>
          <w:lang w:val="fr-FR"/>
        </w:rPr>
        <w:t>, qui est l’année durant laquelle la politique salariale négociée sera appliquée.</w:t>
      </w:r>
    </w:p>
    <w:p w14:paraId="2C6E9D62" w14:textId="77777777" w:rsidP="009B1EA8" w:rsidR="009B1EA8" w:rsidRDefault="009B1EA8">
      <w:pPr>
        <w:ind w:left="720"/>
        <w:jc w:val="both"/>
        <w:rPr>
          <w:rFonts w:ascii="Arial" w:cs="Arial" w:hAnsi="Arial"/>
          <w:sz w:val="20"/>
          <w:lang w:val="fr-FR"/>
        </w:rPr>
      </w:pPr>
    </w:p>
    <w:p w14:paraId="601945A3" w14:textId="4D6C9C53" w:rsidP="00856EBC" w:rsidR="00856EBC" w:rsidRDefault="00856EBC" w:rsidRPr="00AC5AAC">
      <w:pPr>
        <w:numPr>
          <w:ilvl w:val="0"/>
          <w:numId w:val="2"/>
        </w:numPr>
        <w:jc w:val="both"/>
        <w:rPr>
          <w:rFonts w:ascii="Arial" w:cs="Arial" w:hAnsi="Arial"/>
          <w:sz w:val="20"/>
          <w:lang w:val="fr-FR"/>
        </w:rPr>
      </w:pPr>
      <w:r w:rsidRPr="00AC5AAC">
        <w:rPr>
          <w:rFonts w:ascii="Arial" w:cs="Arial" w:hAnsi="Arial"/>
          <w:sz w:val="20"/>
          <w:lang w:val="fr-FR"/>
        </w:rPr>
        <w:t xml:space="preserve">Au cours </w:t>
      </w:r>
      <w:r w:rsidRPr="00AC5AAC">
        <w:rPr>
          <w:rFonts w:ascii="Arial" w:cs="Arial" w:hAnsi="Arial"/>
          <w:sz w:val="20"/>
          <w:u w:val="single"/>
          <w:lang w:val="fr-FR"/>
        </w:rPr>
        <w:t xml:space="preserve">de la </w:t>
      </w:r>
      <w:r w:rsidR="005835D1">
        <w:rPr>
          <w:rFonts w:ascii="Arial" w:cs="Arial" w:hAnsi="Arial"/>
          <w:sz w:val="20"/>
          <w:u w:val="single"/>
          <w:lang w:val="fr-FR"/>
        </w:rPr>
        <w:t>deuxième</w:t>
      </w:r>
      <w:r w:rsidRPr="00AC5AAC">
        <w:rPr>
          <w:rFonts w:ascii="Arial" w:cs="Arial" w:hAnsi="Arial"/>
          <w:sz w:val="20"/>
          <w:u w:val="single"/>
          <w:lang w:val="fr-FR"/>
        </w:rPr>
        <w:t xml:space="preserve"> réunion de négociation</w:t>
      </w:r>
      <w:r w:rsidRPr="00AC5AAC">
        <w:rPr>
          <w:rFonts w:ascii="Arial" w:cs="Arial" w:hAnsi="Arial"/>
          <w:sz w:val="20"/>
          <w:lang w:val="fr-FR"/>
        </w:rPr>
        <w:t xml:space="preserve">, la Direction a commenté les éléments statistiques adressés préalablement aux Organisations Syndicales </w:t>
      </w:r>
      <w:r w:rsidR="00596DFB" w:rsidRPr="00AC5AAC">
        <w:rPr>
          <w:rFonts w:ascii="Arial" w:cs="Arial" w:hAnsi="Arial"/>
          <w:sz w:val="20"/>
          <w:lang w:val="fr-FR"/>
        </w:rPr>
        <w:t xml:space="preserve">Représentatives </w:t>
      </w:r>
      <w:r w:rsidRPr="00AC5AAC">
        <w:rPr>
          <w:rFonts w:ascii="Arial" w:cs="Arial" w:hAnsi="Arial"/>
          <w:sz w:val="20"/>
          <w:lang w:val="fr-FR"/>
        </w:rPr>
        <w:t>portant sur l’évolution des effectifs et des rémunérations.</w:t>
      </w:r>
    </w:p>
    <w:p w14:paraId="4491640B" w14:textId="2D821BF0" w:rsidP="00856EBC" w:rsidR="00856EBC" w:rsidRDefault="00856EBC">
      <w:pPr>
        <w:jc w:val="both"/>
        <w:rPr>
          <w:rFonts w:ascii="Arial" w:cs="Arial" w:hAnsi="Arial"/>
          <w:sz w:val="20"/>
          <w:lang w:val="fr-FR"/>
        </w:rPr>
      </w:pPr>
    </w:p>
    <w:p w14:paraId="0A9089F5" w14:textId="33570E27" w:rsidP="00B62006" w:rsidR="00B62006" w:rsidRDefault="00B62006" w:rsidRPr="00B62006">
      <w:pPr>
        <w:jc w:val="both"/>
        <w:rPr>
          <w:rFonts w:ascii="Arial" w:cs="Arial" w:hAnsi="Arial"/>
          <w:sz w:val="20"/>
          <w:lang w:val="fr-FR"/>
        </w:rPr>
      </w:pPr>
      <w:r w:rsidRPr="00DF2DDA">
        <w:rPr>
          <w:rFonts w:ascii="Arial" w:cs="Arial" w:hAnsi="Arial"/>
          <w:sz w:val="20"/>
          <w:u w:val="single"/>
          <w:lang w:val="fr-FR"/>
        </w:rPr>
        <w:t>S’agissant de l’effectif au 31 Juillet 2022</w:t>
      </w:r>
      <w:r>
        <w:rPr>
          <w:rFonts w:ascii="Arial" w:cs="Arial" w:hAnsi="Arial"/>
          <w:sz w:val="20"/>
          <w:lang w:val="fr-FR"/>
        </w:rPr>
        <w:t xml:space="preserve">, </w:t>
      </w:r>
      <w:r w:rsidR="0053761C">
        <w:rPr>
          <w:rFonts w:ascii="Arial" w:cs="Arial" w:hAnsi="Arial"/>
          <w:sz w:val="20"/>
          <w:lang w:val="fr-FR"/>
        </w:rPr>
        <w:t>en raison</w:t>
      </w:r>
      <w:r w:rsidR="00EC5D1C">
        <w:rPr>
          <w:rFonts w:ascii="Arial" w:cs="Arial" w:hAnsi="Arial"/>
          <w:sz w:val="20"/>
          <w:lang w:val="fr-FR"/>
        </w:rPr>
        <w:t xml:space="preserve"> </w:t>
      </w:r>
      <w:r w:rsidRPr="00B62006">
        <w:rPr>
          <w:rFonts w:ascii="Arial" w:cs="Arial" w:hAnsi="Arial"/>
          <w:sz w:val="20"/>
          <w:lang w:val="fr-FR"/>
        </w:rPr>
        <w:t xml:space="preserve">de la reprise soutenue de l’activité </w:t>
      </w:r>
      <w:r w:rsidR="00EC5D1C" w:rsidRPr="00B62006">
        <w:rPr>
          <w:rFonts w:ascii="Arial" w:cs="Arial" w:hAnsi="Arial"/>
          <w:sz w:val="20"/>
          <w:lang w:val="fr-FR"/>
        </w:rPr>
        <w:t>porté</w:t>
      </w:r>
      <w:r w:rsidR="00EC5D1C">
        <w:rPr>
          <w:rFonts w:ascii="Arial" w:cs="Arial" w:hAnsi="Arial"/>
          <w:sz w:val="20"/>
          <w:lang w:val="fr-FR"/>
        </w:rPr>
        <w:t>e</w:t>
      </w:r>
      <w:r w:rsidR="00EC5D1C" w:rsidRPr="00B62006">
        <w:rPr>
          <w:rFonts w:ascii="Arial" w:cs="Arial" w:hAnsi="Arial"/>
          <w:sz w:val="20"/>
          <w:lang w:val="fr-FR"/>
        </w:rPr>
        <w:t xml:space="preserve"> par un allègement progressif des contraintes sanitaires</w:t>
      </w:r>
      <w:r w:rsidR="00EC5D1C">
        <w:rPr>
          <w:rFonts w:ascii="Arial" w:cs="Arial" w:hAnsi="Arial"/>
          <w:sz w:val="20"/>
          <w:lang w:val="fr-FR"/>
        </w:rPr>
        <w:t xml:space="preserve"> </w:t>
      </w:r>
      <w:r w:rsidR="00EC5D1C" w:rsidRPr="00B62006">
        <w:rPr>
          <w:rFonts w:ascii="Arial" w:cs="Arial" w:hAnsi="Arial"/>
          <w:sz w:val="20"/>
          <w:lang w:val="fr-FR"/>
        </w:rPr>
        <w:t>permettant le retour des spectacles</w:t>
      </w:r>
      <w:r w:rsidR="0053761C">
        <w:rPr>
          <w:rFonts w:ascii="Arial" w:cs="Arial" w:hAnsi="Arial"/>
          <w:sz w:val="20"/>
          <w:lang w:val="fr-FR"/>
        </w:rPr>
        <w:t xml:space="preserve"> et des différentes </w:t>
      </w:r>
      <w:r w:rsidR="00EC5D1C" w:rsidRPr="00B62006">
        <w:rPr>
          <w:rFonts w:ascii="Arial" w:cs="Arial" w:hAnsi="Arial"/>
          <w:sz w:val="20"/>
          <w:lang w:val="fr-FR"/>
        </w:rPr>
        <w:t>saisons</w:t>
      </w:r>
      <w:r w:rsidR="008511E9">
        <w:rPr>
          <w:rFonts w:ascii="Arial" w:cs="Arial" w:hAnsi="Arial"/>
          <w:sz w:val="20"/>
          <w:lang w:val="fr-FR"/>
        </w:rPr>
        <w:t xml:space="preserve"> qui s’accompagne d’une</w:t>
      </w:r>
      <w:r w:rsidRPr="00B62006">
        <w:rPr>
          <w:rFonts w:ascii="Arial" w:cs="Arial" w:hAnsi="Arial"/>
          <w:sz w:val="20"/>
          <w:lang w:val="fr-FR"/>
        </w:rPr>
        <w:t xml:space="preserve"> dynamique d’emploi de l’Entreprise</w:t>
      </w:r>
      <w:r w:rsidR="0053761C" w:rsidRPr="0053761C">
        <w:rPr>
          <w:rFonts w:ascii="Arial" w:cs="Arial" w:hAnsi="Arial"/>
          <w:sz w:val="20"/>
          <w:lang w:val="fr-FR"/>
        </w:rPr>
        <w:t xml:space="preserve"> </w:t>
      </w:r>
      <w:r w:rsidR="0053761C">
        <w:rPr>
          <w:rFonts w:ascii="Arial" w:cs="Arial" w:hAnsi="Arial"/>
          <w:sz w:val="20"/>
          <w:lang w:val="fr-FR"/>
        </w:rPr>
        <w:t>reprise dès le mois d’aout 2021</w:t>
      </w:r>
      <w:r w:rsidR="00EC5D1C">
        <w:rPr>
          <w:rFonts w:ascii="Arial" w:cs="Arial" w:hAnsi="Arial"/>
          <w:sz w:val="20"/>
          <w:lang w:val="fr-FR"/>
        </w:rPr>
        <w:t>, notamment pour l’emploi permanent,</w:t>
      </w:r>
      <w:r w:rsidRPr="00B62006">
        <w:rPr>
          <w:rFonts w:ascii="Arial" w:cs="Arial" w:hAnsi="Arial"/>
          <w:sz w:val="20"/>
          <w:lang w:val="fr-FR"/>
        </w:rPr>
        <w:t xml:space="preserve"> l’effectif est en hausse de + 34.14%. Cette hausse concerne tous les statuts, elle est particulièrement significative pour la population NCA </w:t>
      </w:r>
      <w:r w:rsidR="000005BC">
        <w:rPr>
          <w:rFonts w:ascii="Arial" w:cs="Arial" w:hAnsi="Arial"/>
          <w:sz w:val="20"/>
          <w:lang w:val="fr-FR"/>
        </w:rPr>
        <w:t>(</w:t>
      </w:r>
      <w:r w:rsidRPr="00B62006">
        <w:rPr>
          <w:rFonts w:ascii="Arial" w:cs="Arial" w:hAnsi="Arial"/>
          <w:sz w:val="20"/>
          <w:lang w:val="fr-FR"/>
        </w:rPr>
        <w:t>+ 43.88%</w:t>
      </w:r>
      <w:r w:rsidR="000005BC">
        <w:rPr>
          <w:rFonts w:ascii="Arial" w:cs="Arial" w:hAnsi="Arial"/>
          <w:sz w:val="20"/>
          <w:lang w:val="fr-FR"/>
        </w:rPr>
        <w:t>)</w:t>
      </w:r>
      <w:r w:rsidRPr="00B62006">
        <w:rPr>
          <w:rFonts w:ascii="Arial" w:cs="Arial" w:hAnsi="Arial"/>
          <w:sz w:val="20"/>
          <w:lang w:val="fr-FR"/>
        </w:rPr>
        <w:t>. La structure des effectifs reste toujours majoritairement en faveur des non-cadres</w:t>
      </w:r>
      <w:r>
        <w:rPr>
          <w:rFonts w:ascii="Arial" w:cs="Arial" w:hAnsi="Arial"/>
          <w:sz w:val="20"/>
          <w:lang w:val="fr-FR"/>
        </w:rPr>
        <w:t xml:space="preserve">, </w:t>
      </w:r>
      <w:r w:rsidRPr="00B62006">
        <w:rPr>
          <w:rFonts w:ascii="Arial" w:cs="Arial" w:hAnsi="Arial"/>
          <w:sz w:val="20"/>
          <w:lang w:val="fr-FR"/>
        </w:rPr>
        <w:t xml:space="preserve">prédominance plus prononcée cette année du fait des embauches CDI/CDD </w:t>
      </w:r>
      <w:r w:rsidR="00AA1B67">
        <w:rPr>
          <w:rFonts w:ascii="Arial" w:cs="Arial" w:hAnsi="Arial"/>
          <w:sz w:val="20"/>
          <w:lang w:val="fr-FR"/>
        </w:rPr>
        <w:t xml:space="preserve">sur </w:t>
      </w:r>
      <w:r w:rsidRPr="00B62006">
        <w:rPr>
          <w:rFonts w:ascii="Arial" w:cs="Arial" w:hAnsi="Arial"/>
          <w:sz w:val="20"/>
          <w:lang w:val="fr-FR"/>
        </w:rPr>
        <w:t>cette population</w:t>
      </w:r>
      <w:r w:rsidR="00325262">
        <w:rPr>
          <w:rFonts w:ascii="Arial" w:cs="Arial" w:hAnsi="Arial"/>
          <w:sz w:val="20"/>
          <w:lang w:val="fr-FR"/>
        </w:rPr>
        <w:t xml:space="preserve"> </w:t>
      </w:r>
      <w:r w:rsidRPr="00B62006">
        <w:rPr>
          <w:rFonts w:ascii="Arial" w:cs="Arial" w:hAnsi="Arial"/>
          <w:sz w:val="20"/>
          <w:lang w:val="fr-FR"/>
        </w:rPr>
        <w:t xml:space="preserve">au profit des secteurs opérationnels. </w:t>
      </w:r>
    </w:p>
    <w:p w14:paraId="660934F3" w14:textId="77777777" w:rsidP="00B62006" w:rsidR="00B62006" w:rsidRDefault="00B62006" w:rsidRPr="00B62006">
      <w:pPr>
        <w:jc w:val="both"/>
        <w:rPr>
          <w:rFonts w:ascii="Arial" w:cs="Arial" w:hAnsi="Arial"/>
          <w:sz w:val="20"/>
          <w:lang w:val="fr-FR"/>
        </w:rPr>
      </w:pPr>
    </w:p>
    <w:p w14:paraId="62D632BE" w14:textId="538D8754" w:rsidP="00B62006" w:rsidR="00B62006" w:rsidRDefault="00B62006" w:rsidRPr="00B62006">
      <w:pPr>
        <w:jc w:val="both"/>
        <w:rPr>
          <w:rFonts w:ascii="Arial" w:cs="Arial" w:hAnsi="Arial"/>
          <w:sz w:val="20"/>
          <w:lang w:val="fr-FR"/>
        </w:rPr>
      </w:pPr>
      <w:r w:rsidRPr="00B62006">
        <w:rPr>
          <w:rFonts w:ascii="Arial" w:cs="Arial" w:hAnsi="Arial"/>
          <w:sz w:val="20"/>
          <w:lang w:val="fr-FR"/>
        </w:rPr>
        <w:t xml:space="preserve">L’effectif CDI a </w:t>
      </w:r>
      <w:r w:rsidR="000616D5">
        <w:rPr>
          <w:rFonts w:ascii="Arial" w:cs="Arial" w:hAnsi="Arial"/>
          <w:sz w:val="20"/>
          <w:lang w:val="fr-FR"/>
        </w:rPr>
        <w:t xml:space="preserve">également </w:t>
      </w:r>
      <w:r w:rsidRPr="00B62006">
        <w:rPr>
          <w:rFonts w:ascii="Arial" w:cs="Arial" w:hAnsi="Arial"/>
          <w:sz w:val="20"/>
          <w:lang w:val="fr-FR"/>
        </w:rPr>
        <w:t>augmenté de +9.55%</w:t>
      </w:r>
      <w:r w:rsidR="000616D5">
        <w:rPr>
          <w:rFonts w:ascii="Arial" w:cs="Arial" w:hAnsi="Arial"/>
          <w:sz w:val="20"/>
          <w:lang w:val="fr-FR"/>
        </w:rPr>
        <w:t>, u</w:t>
      </w:r>
      <w:r w:rsidRPr="00B62006">
        <w:rPr>
          <w:rFonts w:ascii="Arial" w:cs="Arial" w:hAnsi="Arial"/>
          <w:sz w:val="20"/>
          <w:lang w:val="fr-FR"/>
        </w:rPr>
        <w:t xml:space="preserve">n niveau d’effectifs supérieur au niveau pré-Covid </w:t>
      </w:r>
      <w:r w:rsidR="000616D5">
        <w:rPr>
          <w:rFonts w:ascii="Arial" w:cs="Arial" w:hAnsi="Arial"/>
          <w:sz w:val="20"/>
          <w:lang w:val="fr-FR"/>
        </w:rPr>
        <w:t xml:space="preserve">et </w:t>
      </w:r>
      <w:r w:rsidRPr="00B62006">
        <w:rPr>
          <w:rFonts w:ascii="Arial" w:cs="Arial" w:hAnsi="Arial"/>
          <w:sz w:val="20"/>
          <w:lang w:val="fr-FR"/>
        </w:rPr>
        <w:t xml:space="preserve">toujours en lien avec </w:t>
      </w:r>
      <w:r w:rsidR="0026495A">
        <w:rPr>
          <w:rFonts w:ascii="Arial" w:cs="Arial" w:hAnsi="Arial"/>
          <w:sz w:val="20"/>
          <w:lang w:val="fr-FR"/>
        </w:rPr>
        <w:t>la</w:t>
      </w:r>
      <w:r w:rsidRPr="00B62006">
        <w:rPr>
          <w:rFonts w:ascii="Arial" w:cs="Arial" w:hAnsi="Arial"/>
          <w:sz w:val="20"/>
          <w:lang w:val="fr-FR"/>
        </w:rPr>
        <w:t xml:space="preserve"> dynamique de recrutements. </w:t>
      </w:r>
      <w:r w:rsidR="000616D5">
        <w:rPr>
          <w:rFonts w:ascii="Arial" w:cs="Arial" w:hAnsi="Arial"/>
          <w:sz w:val="20"/>
          <w:lang w:val="fr-FR"/>
        </w:rPr>
        <w:t xml:space="preserve"> </w:t>
      </w:r>
      <w:r w:rsidR="00187DF4">
        <w:rPr>
          <w:rFonts w:ascii="Arial" w:cs="Arial" w:hAnsi="Arial"/>
          <w:sz w:val="20"/>
          <w:lang w:val="fr-FR"/>
        </w:rPr>
        <w:t>Là encore, c</w:t>
      </w:r>
      <w:r w:rsidRPr="00B62006">
        <w:rPr>
          <w:rFonts w:ascii="Arial" w:cs="Arial" w:hAnsi="Arial"/>
          <w:sz w:val="20"/>
          <w:lang w:val="fr-FR"/>
        </w:rPr>
        <w:t xml:space="preserve">ette hausse concerne l’ensemble des statuts </w:t>
      </w:r>
      <w:r w:rsidR="000616D5">
        <w:rPr>
          <w:rFonts w:ascii="Arial" w:cs="Arial" w:hAnsi="Arial"/>
          <w:sz w:val="20"/>
          <w:lang w:val="fr-FR"/>
        </w:rPr>
        <w:t xml:space="preserve">et de manière plus prononcée </w:t>
      </w:r>
      <w:r w:rsidRPr="00B62006">
        <w:rPr>
          <w:rFonts w:ascii="Arial" w:cs="Arial" w:hAnsi="Arial"/>
          <w:sz w:val="20"/>
          <w:lang w:val="fr-FR"/>
        </w:rPr>
        <w:t>pour la population NCA</w:t>
      </w:r>
      <w:r w:rsidR="00C65154">
        <w:rPr>
          <w:rFonts w:ascii="Arial" w:cs="Arial" w:hAnsi="Arial"/>
          <w:sz w:val="20"/>
          <w:lang w:val="fr-FR"/>
        </w:rPr>
        <w:t xml:space="preserve"> </w:t>
      </w:r>
      <w:r w:rsidRPr="00B62006">
        <w:rPr>
          <w:rFonts w:ascii="Arial" w:cs="Arial" w:hAnsi="Arial"/>
          <w:sz w:val="20"/>
          <w:lang w:val="fr-FR"/>
        </w:rPr>
        <w:t>(68% de l’effectif CDI supplémentaire est NCA)</w:t>
      </w:r>
      <w:r w:rsidR="00C65154">
        <w:rPr>
          <w:rFonts w:ascii="Arial" w:cs="Arial" w:hAnsi="Arial"/>
          <w:sz w:val="20"/>
          <w:lang w:val="fr-FR"/>
        </w:rPr>
        <w:t>. Pour sa part, l</w:t>
      </w:r>
      <w:r w:rsidRPr="00B62006">
        <w:rPr>
          <w:rFonts w:ascii="Arial" w:cs="Arial" w:hAnsi="Arial"/>
          <w:sz w:val="20"/>
          <w:lang w:val="fr-FR"/>
        </w:rPr>
        <w:t>’effectif CDD a connu un net rebond du fait du retour des CDD saisonniers</w:t>
      </w:r>
      <w:r w:rsidR="00C65154">
        <w:rPr>
          <w:rFonts w:ascii="Arial" w:cs="Arial" w:hAnsi="Arial"/>
          <w:sz w:val="20"/>
          <w:lang w:val="fr-FR"/>
        </w:rPr>
        <w:t xml:space="preserve">, des intermittents et de </w:t>
      </w:r>
      <w:r w:rsidR="00C65154" w:rsidRPr="00B62006">
        <w:rPr>
          <w:rFonts w:ascii="Arial" w:cs="Arial" w:hAnsi="Arial"/>
          <w:sz w:val="20"/>
          <w:lang w:val="fr-FR"/>
        </w:rPr>
        <w:t>la nouvelle dynamique de l’offre Entertainment accentuée par les célébrations (30ème anniversaire et Avengers Campus)</w:t>
      </w:r>
      <w:r w:rsidR="00C65154">
        <w:rPr>
          <w:rFonts w:ascii="Arial" w:cs="Arial" w:hAnsi="Arial"/>
          <w:sz w:val="20"/>
          <w:lang w:val="fr-FR"/>
        </w:rPr>
        <w:t xml:space="preserve">. </w:t>
      </w:r>
      <w:r w:rsidRPr="00B62006">
        <w:rPr>
          <w:rFonts w:ascii="Arial" w:cs="Arial" w:hAnsi="Arial"/>
          <w:sz w:val="20"/>
          <w:lang w:val="fr-FR"/>
        </w:rPr>
        <w:t xml:space="preserve">La répartition CDI/CDD est toujours en faveur de l’emploi permanent avec une proportion CDI moins importante </w:t>
      </w:r>
      <w:r w:rsidR="00C65154">
        <w:rPr>
          <w:rFonts w:ascii="Arial" w:cs="Arial" w:hAnsi="Arial"/>
          <w:sz w:val="20"/>
          <w:lang w:val="fr-FR"/>
        </w:rPr>
        <w:t>en 2022 du fait de</w:t>
      </w:r>
      <w:r w:rsidRPr="00B62006">
        <w:rPr>
          <w:rFonts w:ascii="Arial" w:cs="Arial" w:hAnsi="Arial"/>
          <w:sz w:val="20"/>
          <w:lang w:val="fr-FR"/>
        </w:rPr>
        <w:t xml:space="preserve"> la dynamique de recrutement en CDD.</w:t>
      </w:r>
    </w:p>
    <w:p w14:paraId="4E65A027" w14:textId="77777777" w:rsidP="00B62006" w:rsidR="00B62006" w:rsidRDefault="00B62006" w:rsidRPr="00B62006">
      <w:pPr>
        <w:jc w:val="both"/>
        <w:rPr>
          <w:rFonts w:ascii="Arial" w:cs="Arial" w:hAnsi="Arial"/>
          <w:sz w:val="20"/>
          <w:lang w:val="fr-FR"/>
        </w:rPr>
      </w:pPr>
    </w:p>
    <w:p w14:paraId="73767F0E" w14:textId="69893C28" w:rsidP="00B62006" w:rsidR="00B62006" w:rsidRDefault="00EC5D1C">
      <w:pPr>
        <w:jc w:val="both"/>
        <w:rPr>
          <w:rFonts w:ascii="Arial" w:cs="Arial" w:hAnsi="Arial"/>
          <w:sz w:val="20"/>
          <w:lang w:val="fr-FR"/>
        </w:rPr>
      </w:pPr>
      <w:r>
        <w:rPr>
          <w:rFonts w:ascii="Arial" w:cs="Arial" w:hAnsi="Arial"/>
          <w:sz w:val="20"/>
          <w:lang w:val="fr-FR"/>
        </w:rPr>
        <w:t xml:space="preserve">Ainsi et en synthèse, une </w:t>
      </w:r>
      <w:r w:rsidR="00B62006" w:rsidRPr="00B62006">
        <w:rPr>
          <w:rFonts w:ascii="Arial" w:cs="Arial" w:hAnsi="Arial"/>
          <w:sz w:val="20"/>
          <w:lang w:val="fr-FR"/>
        </w:rPr>
        <w:t>dynamique d’emploi significative au regard des niveaux d’effectifs</w:t>
      </w:r>
      <w:r w:rsidR="00042A4D">
        <w:rPr>
          <w:rFonts w:ascii="Arial" w:cs="Arial" w:hAnsi="Arial"/>
          <w:sz w:val="20"/>
          <w:lang w:val="fr-FR"/>
        </w:rPr>
        <w:t xml:space="preserve"> CDI et CDD, </w:t>
      </w:r>
      <w:r w:rsidR="00B62006" w:rsidRPr="00B62006">
        <w:rPr>
          <w:rFonts w:ascii="Arial" w:cs="Arial" w:hAnsi="Arial"/>
          <w:sz w:val="20"/>
          <w:lang w:val="fr-FR"/>
        </w:rPr>
        <w:t>qui sont bien supérieurs à ceux constatés avant la période pré-covid</w:t>
      </w:r>
      <w:r w:rsidR="00042A4D">
        <w:rPr>
          <w:rFonts w:ascii="Arial" w:cs="Arial" w:hAnsi="Arial"/>
          <w:sz w:val="20"/>
          <w:lang w:val="fr-FR"/>
        </w:rPr>
        <w:t>,</w:t>
      </w:r>
      <w:r w:rsidR="00B62006" w:rsidRPr="00B62006">
        <w:rPr>
          <w:rFonts w:ascii="Arial" w:cs="Arial" w:hAnsi="Arial"/>
          <w:sz w:val="20"/>
          <w:lang w:val="fr-FR"/>
        </w:rPr>
        <w:t xml:space="preserve"> et accentue la structure des effectifs en faveur de la population non encadrante et opérationnelle, </w:t>
      </w:r>
      <w:r w:rsidR="00DF2DDA">
        <w:rPr>
          <w:rFonts w:ascii="Arial" w:cs="Arial" w:hAnsi="Arial"/>
          <w:sz w:val="20"/>
          <w:lang w:val="fr-FR"/>
        </w:rPr>
        <w:t xml:space="preserve">mais également </w:t>
      </w:r>
      <w:r w:rsidR="00B62006" w:rsidRPr="00B62006">
        <w:rPr>
          <w:rFonts w:ascii="Arial" w:cs="Arial" w:hAnsi="Arial"/>
          <w:sz w:val="20"/>
          <w:lang w:val="fr-FR"/>
        </w:rPr>
        <w:t>de la population féminine.</w:t>
      </w:r>
    </w:p>
    <w:p w14:paraId="11505DA2" w14:textId="3AB6F640" w:rsidP="00856EBC" w:rsidR="00B62006" w:rsidRDefault="00B62006">
      <w:pPr>
        <w:jc w:val="both"/>
        <w:rPr>
          <w:rFonts w:ascii="Arial" w:cs="Arial" w:hAnsi="Arial"/>
          <w:sz w:val="20"/>
          <w:lang w:val="fr-FR"/>
        </w:rPr>
      </w:pPr>
    </w:p>
    <w:p w14:paraId="637E47CA" w14:textId="1D33E2DF" w:rsidP="00B62006" w:rsidR="00FE7E4D" w:rsidRDefault="00DF2DDA" w:rsidRPr="00722931">
      <w:pPr>
        <w:jc w:val="both"/>
        <w:rPr>
          <w:rFonts w:ascii="Arial" w:cs="Arial" w:hAnsi="Arial"/>
          <w:sz w:val="20"/>
          <w:lang w:val="fr-FR"/>
        </w:rPr>
      </w:pPr>
      <w:r w:rsidRPr="00722931">
        <w:rPr>
          <w:rFonts w:ascii="Arial" w:cs="Arial" w:hAnsi="Arial"/>
          <w:sz w:val="20"/>
          <w:u w:val="single"/>
          <w:lang w:val="fr-FR"/>
        </w:rPr>
        <w:t>S’agissant de la rémunération</w:t>
      </w:r>
      <w:r w:rsidRPr="00722931">
        <w:rPr>
          <w:rFonts w:ascii="Arial" w:cs="Arial" w:hAnsi="Arial"/>
          <w:sz w:val="20"/>
          <w:lang w:val="fr-FR"/>
        </w:rPr>
        <w:t>, l</w:t>
      </w:r>
      <w:r w:rsidR="00FE7E4D" w:rsidRPr="00722931">
        <w:rPr>
          <w:rFonts w:ascii="Arial" w:cs="Arial" w:hAnsi="Arial"/>
          <w:sz w:val="20"/>
          <w:lang w:val="fr-FR"/>
        </w:rPr>
        <w:t xml:space="preserve">’évolution du </w:t>
      </w:r>
      <w:r w:rsidRPr="00722931">
        <w:rPr>
          <w:rFonts w:ascii="Arial" w:cs="Arial" w:hAnsi="Arial"/>
          <w:sz w:val="20"/>
          <w:lang w:val="fr-FR"/>
        </w:rPr>
        <w:t>salaire de base moyen mensuel</w:t>
      </w:r>
      <w:r w:rsidR="00B62006" w:rsidRPr="00722931">
        <w:rPr>
          <w:rFonts w:ascii="Arial" w:cs="Arial" w:hAnsi="Arial"/>
          <w:sz w:val="20"/>
          <w:lang w:val="fr-FR"/>
        </w:rPr>
        <w:t xml:space="preserve"> </w:t>
      </w:r>
      <w:r w:rsidR="00FE7E4D" w:rsidRPr="00722931">
        <w:rPr>
          <w:rFonts w:ascii="Arial" w:cs="Arial" w:hAnsi="Arial"/>
          <w:sz w:val="20"/>
          <w:lang w:val="fr-FR"/>
        </w:rPr>
        <w:t>est de 4.1% et 4.3% pour le salaire de base annuel avec le 13</w:t>
      </w:r>
      <w:r w:rsidR="00FE7E4D" w:rsidRPr="00722931">
        <w:rPr>
          <w:rFonts w:ascii="Arial" w:cs="Arial" w:hAnsi="Arial"/>
          <w:sz w:val="20"/>
          <w:vertAlign w:val="superscript"/>
          <w:lang w:val="fr-FR"/>
        </w:rPr>
        <w:t>ème</w:t>
      </w:r>
      <w:r w:rsidR="00FE7E4D" w:rsidRPr="00722931">
        <w:rPr>
          <w:rFonts w:ascii="Arial" w:cs="Arial" w:hAnsi="Arial"/>
          <w:sz w:val="20"/>
          <w:lang w:val="fr-FR"/>
        </w:rPr>
        <w:t xml:space="preserve"> mois et la prime d’ancienneté</w:t>
      </w:r>
      <w:r w:rsidR="002E52C5">
        <w:rPr>
          <w:rFonts w:ascii="Arial" w:cs="Arial" w:hAnsi="Arial"/>
          <w:sz w:val="20"/>
          <w:lang w:val="fr-FR"/>
        </w:rPr>
        <w:t>.</w:t>
      </w:r>
    </w:p>
    <w:p w14:paraId="353A583B" w14:textId="77777777" w:rsidP="00B62006" w:rsidR="00FE7E4D" w:rsidRDefault="00FE7E4D" w:rsidRPr="00722931">
      <w:pPr>
        <w:jc w:val="both"/>
        <w:rPr>
          <w:rFonts w:ascii="Arial" w:cs="Arial" w:hAnsi="Arial"/>
          <w:sz w:val="20"/>
          <w:lang w:val="fr-FR"/>
        </w:rPr>
      </w:pPr>
    </w:p>
    <w:p w14:paraId="100DC400" w14:textId="0059EADD" w:rsidP="00B62006" w:rsidR="00FE7E4D" w:rsidRDefault="00DF2DDA" w:rsidRPr="00722931">
      <w:pPr>
        <w:jc w:val="both"/>
        <w:rPr>
          <w:rFonts w:ascii="Arial" w:cs="Arial" w:hAnsi="Arial"/>
          <w:sz w:val="20"/>
          <w:lang w:val="fr-FR"/>
        </w:rPr>
      </w:pPr>
      <w:r w:rsidRPr="00722931">
        <w:rPr>
          <w:rFonts w:ascii="Arial" w:cs="Arial" w:hAnsi="Arial"/>
          <w:sz w:val="20"/>
          <w:lang w:val="fr-FR"/>
        </w:rPr>
        <w:t xml:space="preserve">Les niveaux d’augmentation ont été très bons eu égard au contexte, </w:t>
      </w:r>
      <w:r w:rsidR="00B62006" w:rsidRPr="00722931">
        <w:rPr>
          <w:rFonts w:ascii="Arial" w:cs="Arial" w:hAnsi="Arial"/>
          <w:sz w:val="20"/>
          <w:lang w:val="fr-FR"/>
        </w:rPr>
        <w:t>96</w:t>
      </w:r>
      <w:r w:rsidRPr="00722931">
        <w:rPr>
          <w:rFonts w:ascii="Arial" w:cs="Arial" w:hAnsi="Arial"/>
          <w:sz w:val="20"/>
          <w:lang w:val="fr-FR"/>
        </w:rPr>
        <w:t>.</w:t>
      </w:r>
      <w:r w:rsidR="00B62006" w:rsidRPr="00722931">
        <w:rPr>
          <w:rFonts w:ascii="Arial" w:cs="Arial" w:hAnsi="Arial"/>
          <w:sz w:val="20"/>
          <w:lang w:val="fr-FR"/>
        </w:rPr>
        <w:t xml:space="preserve">2% des salariés </w:t>
      </w:r>
      <w:r w:rsidRPr="00722931">
        <w:rPr>
          <w:rFonts w:ascii="Arial" w:cs="Arial" w:hAnsi="Arial"/>
          <w:sz w:val="20"/>
          <w:lang w:val="fr-FR"/>
        </w:rPr>
        <w:t xml:space="preserve">ayant perçu des niveaux d’augmentation </w:t>
      </w:r>
      <w:r w:rsidR="00B62006" w:rsidRPr="00722931">
        <w:rPr>
          <w:rFonts w:ascii="Arial" w:cs="Arial" w:hAnsi="Arial"/>
          <w:sz w:val="20"/>
          <w:lang w:val="fr-FR"/>
        </w:rPr>
        <w:t>supérieur</w:t>
      </w:r>
      <w:r w:rsidRPr="00722931">
        <w:rPr>
          <w:rFonts w:ascii="Arial" w:cs="Arial" w:hAnsi="Arial"/>
          <w:sz w:val="20"/>
          <w:lang w:val="fr-FR"/>
        </w:rPr>
        <w:t>s</w:t>
      </w:r>
      <w:r w:rsidR="00B62006" w:rsidRPr="00722931">
        <w:rPr>
          <w:rFonts w:ascii="Arial" w:cs="Arial" w:hAnsi="Arial"/>
          <w:sz w:val="20"/>
          <w:lang w:val="fr-FR"/>
        </w:rPr>
        <w:t xml:space="preserve"> à 3%</w:t>
      </w:r>
      <w:r w:rsidR="00FE7E4D" w:rsidRPr="00722931">
        <w:rPr>
          <w:rFonts w:ascii="Arial" w:cs="Arial" w:hAnsi="Arial"/>
          <w:sz w:val="20"/>
          <w:lang w:val="fr-FR"/>
        </w:rPr>
        <w:t xml:space="preserve"> et 76.4% de 3% à moins de 4%. Plus de 49% des salariés ont un salaire </w:t>
      </w:r>
      <w:r w:rsidR="00097941">
        <w:rPr>
          <w:rFonts w:ascii="Arial" w:cs="Arial" w:hAnsi="Arial"/>
          <w:sz w:val="20"/>
          <w:lang w:val="fr-FR"/>
        </w:rPr>
        <w:t xml:space="preserve">de base </w:t>
      </w:r>
      <w:r w:rsidR="00FE7E4D" w:rsidRPr="00722931">
        <w:rPr>
          <w:rFonts w:ascii="Arial" w:cs="Arial" w:hAnsi="Arial"/>
          <w:sz w:val="20"/>
          <w:lang w:val="fr-FR"/>
        </w:rPr>
        <w:t>égal ou supérieur à 2 100€ par mois. L’ensemble de ces éléments démontre les effets des différentes mesures liées à la politique salariale</w:t>
      </w:r>
      <w:r w:rsidR="00EE7491">
        <w:rPr>
          <w:rFonts w:ascii="Arial" w:cs="Arial" w:hAnsi="Arial"/>
          <w:sz w:val="20"/>
          <w:lang w:val="fr-FR"/>
        </w:rPr>
        <w:t>,</w:t>
      </w:r>
      <w:r w:rsidR="00FE7E4D" w:rsidRPr="00722931">
        <w:rPr>
          <w:rFonts w:ascii="Arial" w:cs="Arial" w:hAnsi="Arial"/>
          <w:sz w:val="20"/>
          <w:lang w:val="fr-FR"/>
        </w:rPr>
        <w:t xml:space="preserve"> notamment pour l’année 2022</w:t>
      </w:r>
      <w:r w:rsidR="00EE7491">
        <w:rPr>
          <w:rFonts w:ascii="Arial" w:cs="Arial" w:hAnsi="Arial"/>
          <w:sz w:val="20"/>
          <w:lang w:val="fr-FR"/>
        </w:rPr>
        <w:t>,</w:t>
      </w:r>
      <w:r w:rsidR="00FE7E4D" w:rsidRPr="00722931">
        <w:rPr>
          <w:rFonts w:ascii="Arial" w:cs="Arial" w:hAnsi="Arial"/>
          <w:sz w:val="20"/>
          <w:lang w:val="fr-FR"/>
        </w:rPr>
        <w:t xml:space="preserve"> et des différentes revalorisations des minimas conventionnels. Les écarts d’augmentation entre les </w:t>
      </w:r>
      <w:r w:rsidR="00821ABA">
        <w:rPr>
          <w:rFonts w:ascii="Arial" w:cs="Arial" w:hAnsi="Arial"/>
          <w:sz w:val="20"/>
          <w:lang w:val="fr-FR"/>
        </w:rPr>
        <w:t>femmes</w:t>
      </w:r>
      <w:r w:rsidR="00FE7E4D" w:rsidRPr="00722931">
        <w:rPr>
          <w:rFonts w:ascii="Arial" w:cs="Arial" w:hAnsi="Arial"/>
          <w:sz w:val="20"/>
          <w:lang w:val="fr-FR"/>
        </w:rPr>
        <w:t xml:space="preserve"> et les </w:t>
      </w:r>
      <w:r w:rsidR="00821ABA">
        <w:rPr>
          <w:rFonts w:ascii="Arial" w:cs="Arial" w:hAnsi="Arial"/>
          <w:sz w:val="20"/>
          <w:lang w:val="fr-FR"/>
        </w:rPr>
        <w:t>hommes</w:t>
      </w:r>
      <w:r w:rsidR="00EE7491">
        <w:rPr>
          <w:rFonts w:ascii="Arial" w:cs="Arial" w:hAnsi="Arial"/>
          <w:sz w:val="20"/>
          <w:lang w:val="fr-FR"/>
        </w:rPr>
        <w:t>,</w:t>
      </w:r>
      <w:r w:rsidR="00FE7E4D" w:rsidRPr="00722931">
        <w:rPr>
          <w:rFonts w:ascii="Arial" w:cs="Arial" w:hAnsi="Arial"/>
          <w:sz w:val="20"/>
          <w:lang w:val="fr-FR"/>
        </w:rPr>
        <w:t xml:space="preserve"> et sur les principaux emplois</w:t>
      </w:r>
      <w:r w:rsidR="00EE7491">
        <w:rPr>
          <w:rFonts w:ascii="Arial" w:cs="Arial" w:hAnsi="Arial"/>
          <w:sz w:val="20"/>
          <w:lang w:val="fr-FR"/>
        </w:rPr>
        <w:t>,</w:t>
      </w:r>
      <w:r w:rsidR="00FE7E4D" w:rsidRPr="00722931">
        <w:rPr>
          <w:rFonts w:ascii="Arial" w:cs="Arial" w:hAnsi="Arial"/>
          <w:sz w:val="20"/>
          <w:lang w:val="fr-FR"/>
        </w:rPr>
        <w:t xml:space="preserve"> restent très limités et stables par rapport à 2021.</w:t>
      </w:r>
    </w:p>
    <w:p w14:paraId="5488A5B2" w14:textId="77777777" w:rsidP="00B62006" w:rsidR="00FE7E4D" w:rsidRDefault="00FE7E4D">
      <w:pPr>
        <w:jc w:val="both"/>
        <w:rPr>
          <w:rFonts w:ascii="Arial" w:cs="Arial" w:hAnsi="Arial"/>
          <w:color w:val="FF0000"/>
          <w:sz w:val="20"/>
          <w:lang w:val="fr-FR"/>
        </w:rPr>
      </w:pPr>
    </w:p>
    <w:p w14:paraId="5F560F44" w14:textId="2B954A3D" w:rsidP="00722931" w:rsidR="00722931" w:rsidRDefault="00722931" w:rsidRPr="00722931">
      <w:pPr>
        <w:jc w:val="both"/>
        <w:rPr>
          <w:rFonts w:ascii="Arial" w:cs="Arial" w:hAnsi="Arial"/>
          <w:sz w:val="20"/>
          <w:szCs w:val="20"/>
          <w:lang w:val="fr-FR"/>
        </w:rPr>
      </w:pPr>
      <w:r w:rsidRPr="00722931">
        <w:rPr>
          <w:rFonts w:ascii="Arial" w:cs="Arial" w:hAnsi="Arial"/>
          <w:sz w:val="20"/>
          <w:szCs w:val="20"/>
          <w:lang w:val="fr-FR"/>
        </w:rPr>
        <w:t>Lors de cette réunion, les Organisations Syndicales Représentatives ont formulé un certain nombre de remarques et de questionnements au regard des statistiques présentées.</w:t>
      </w:r>
      <w:r w:rsidR="00D974D8">
        <w:rPr>
          <w:rFonts w:ascii="Arial" w:cs="Arial" w:hAnsi="Arial"/>
          <w:sz w:val="20"/>
          <w:szCs w:val="20"/>
          <w:lang w:val="fr-FR"/>
        </w:rPr>
        <w:t xml:space="preserve"> </w:t>
      </w:r>
      <w:r w:rsidR="0011027D">
        <w:rPr>
          <w:rFonts w:ascii="Arial" w:cs="Arial" w:hAnsi="Arial"/>
          <w:sz w:val="20"/>
          <w:szCs w:val="20"/>
          <w:lang w:val="fr-FR"/>
        </w:rPr>
        <w:t>De son côté, l</w:t>
      </w:r>
      <w:r w:rsidRPr="00722931">
        <w:rPr>
          <w:rFonts w:ascii="Arial" w:cs="Arial" w:hAnsi="Arial"/>
          <w:sz w:val="20"/>
          <w:szCs w:val="20"/>
          <w:lang w:val="fr-FR"/>
        </w:rPr>
        <w:t xml:space="preserve">a Direction a fait part de ses premières propositions </w:t>
      </w:r>
      <w:r w:rsidR="001A345E">
        <w:rPr>
          <w:rFonts w:ascii="Arial" w:cs="Arial" w:hAnsi="Arial"/>
          <w:sz w:val="20"/>
          <w:szCs w:val="20"/>
          <w:lang w:val="fr-FR"/>
        </w:rPr>
        <w:t xml:space="preserve">salariales </w:t>
      </w:r>
      <w:r w:rsidRPr="00722931">
        <w:rPr>
          <w:rFonts w:ascii="Arial" w:cs="Arial" w:hAnsi="Arial"/>
          <w:sz w:val="20"/>
          <w:szCs w:val="20"/>
          <w:lang w:val="fr-FR"/>
        </w:rPr>
        <w:t xml:space="preserve">avec </w:t>
      </w:r>
      <w:r w:rsidR="00D94C16">
        <w:rPr>
          <w:rFonts w:ascii="Arial" w:cs="Arial" w:hAnsi="Arial"/>
          <w:sz w:val="20"/>
          <w:szCs w:val="20"/>
          <w:lang w:val="fr-FR"/>
        </w:rPr>
        <w:t>des mesures d’augmentation générale et individuelle</w:t>
      </w:r>
      <w:r w:rsidRPr="00722931">
        <w:rPr>
          <w:rFonts w:ascii="Arial" w:cs="Arial" w:hAnsi="Arial"/>
          <w:sz w:val="20"/>
          <w:szCs w:val="20"/>
          <w:lang w:val="fr-FR"/>
        </w:rPr>
        <w:t xml:space="preserve"> pour les salariés du coefficient 150 à 280 inclus (y compris les salariés au coefficient 300 de l’annexe Spectacle), une </w:t>
      </w:r>
      <w:r w:rsidR="00D94C16">
        <w:rPr>
          <w:rFonts w:ascii="Arial" w:cs="Arial" w:hAnsi="Arial"/>
          <w:sz w:val="20"/>
          <w:szCs w:val="20"/>
          <w:lang w:val="fr-FR"/>
        </w:rPr>
        <w:t>mesure d’</w:t>
      </w:r>
      <w:r w:rsidRPr="00722931">
        <w:rPr>
          <w:rFonts w:ascii="Arial" w:cs="Arial" w:hAnsi="Arial"/>
          <w:sz w:val="20"/>
          <w:szCs w:val="20"/>
          <w:lang w:val="fr-FR"/>
        </w:rPr>
        <w:t xml:space="preserve">augmentation individuelle pour les cadres non éligibles à un bonus et </w:t>
      </w:r>
      <w:r w:rsidR="00D94C16">
        <w:rPr>
          <w:rFonts w:ascii="Arial" w:cs="Arial" w:hAnsi="Arial"/>
          <w:sz w:val="20"/>
          <w:szCs w:val="20"/>
          <w:lang w:val="fr-FR"/>
        </w:rPr>
        <w:t xml:space="preserve">les cadres </w:t>
      </w:r>
      <w:r w:rsidRPr="00722931">
        <w:rPr>
          <w:rFonts w:ascii="Arial" w:cs="Arial" w:hAnsi="Arial"/>
          <w:sz w:val="20"/>
          <w:szCs w:val="20"/>
          <w:lang w:val="fr-FR"/>
        </w:rPr>
        <w:t>éligibles à un bonus</w:t>
      </w:r>
      <w:r w:rsidR="00491F23">
        <w:rPr>
          <w:rFonts w:ascii="Arial" w:cs="Arial" w:hAnsi="Arial"/>
          <w:sz w:val="20"/>
          <w:szCs w:val="20"/>
          <w:lang w:val="fr-FR"/>
        </w:rPr>
        <w:t xml:space="preserve"> selon un niveau différent.</w:t>
      </w:r>
    </w:p>
    <w:p w14:paraId="03948CD5" w14:textId="6A934B84" w:rsidP="00722931" w:rsidR="00722931" w:rsidRDefault="00722931">
      <w:pPr>
        <w:jc w:val="both"/>
        <w:rPr>
          <w:rFonts w:ascii="Arial" w:cs="Arial" w:hAnsi="Arial"/>
          <w:color w:val="FF0000"/>
          <w:sz w:val="20"/>
          <w:szCs w:val="20"/>
          <w:lang w:val="fr-FR"/>
        </w:rPr>
      </w:pPr>
    </w:p>
    <w:p w14:paraId="2FC5043C" w14:textId="3440403F" w:rsidP="00722931" w:rsidR="002E52C5" w:rsidRDefault="002E52C5">
      <w:pPr>
        <w:jc w:val="both"/>
        <w:rPr>
          <w:rFonts w:ascii="Arial" w:cs="Arial" w:hAnsi="Arial"/>
          <w:color w:val="FF0000"/>
          <w:sz w:val="20"/>
          <w:szCs w:val="20"/>
          <w:lang w:val="fr-FR"/>
        </w:rPr>
      </w:pPr>
    </w:p>
    <w:p w14:paraId="1FED918C" w14:textId="77F56778" w:rsidP="00722931" w:rsidR="002E52C5" w:rsidRDefault="002E52C5">
      <w:pPr>
        <w:jc w:val="both"/>
        <w:rPr>
          <w:rFonts w:ascii="Arial" w:cs="Arial" w:hAnsi="Arial"/>
          <w:color w:val="FF0000"/>
          <w:sz w:val="20"/>
          <w:szCs w:val="20"/>
          <w:lang w:val="fr-FR"/>
        </w:rPr>
      </w:pPr>
    </w:p>
    <w:p w14:paraId="1C8F6EF7" w14:textId="77777777" w:rsidP="00722931" w:rsidR="002E52C5" w:rsidRDefault="002E52C5">
      <w:pPr>
        <w:jc w:val="both"/>
        <w:rPr>
          <w:rFonts w:ascii="Arial" w:cs="Arial" w:hAnsi="Arial"/>
          <w:color w:val="FF0000"/>
          <w:sz w:val="20"/>
          <w:szCs w:val="20"/>
          <w:lang w:val="fr-FR"/>
        </w:rPr>
      </w:pPr>
    </w:p>
    <w:p w14:paraId="10516C52" w14:textId="41897117" w:rsidP="00722931" w:rsidR="0020466C" w:rsidRDefault="00E205F2">
      <w:pPr>
        <w:jc w:val="both"/>
        <w:rPr>
          <w:rFonts w:ascii="Arial" w:cs="Arial" w:hAnsi="Arial"/>
          <w:sz w:val="20"/>
          <w:szCs w:val="20"/>
          <w:lang w:val="fr-FR"/>
        </w:rPr>
      </w:pPr>
      <w:r>
        <w:rPr>
          <w:rFonts w:ascii="Arial" w:cs="Arial" w:hAnsi="Arial"/>
          <w:sz w:val="20"/>
          <w:szCs w:val="20"/>
          <w:lang w:val="fr-FR"/>
        </w:rPr>
        <w:lastRenderedPageBreak/>
        <w:t>S’agissant des mesures salariales, les</w:t>
      </w:r>
      <w:r w:rsidR="00722931" w:rsidRPr="00C86B6C">
        <w:rPr>
          <w:rFonts w:ascii="Arial" w:cs="Arial" w:hAnsi="Arial"/>
          <w:sz w:val="20"/>
          <w:szCs w:val="20"/>
          <w:lang w:val="fr-FR"/>
        </w:rPr>
        <w:t xml:space="preserve"> Organisations Syndicales Représentatives se sont </w:t>
      </w:r>
      <w:r w:rsidR="0007768B">
        <w:rPr>
          <w:rFonts w:ascii="Arial" w:cs="Arial" w:hAnsi="Arial"/>
          <w:sz w:val="20"/>
          <w:szCs w:val="20"/>
          <w:lang w:val="fr-FR"/>
        </w:rPr>
        <w:t>de</w:t>
      </w:r>
      <w:r w:rsidR="00722931" w:rsidRPr="00C86B6C">
        <w:rPr>
          <w:rFonts w:ascii="Arial" w:cs="Arial" w:hAnsi="Arial"/>
          <w:sz w:val="20"/>
          <w:szCs w:val="20"/>
          <w:lang w:val="fr-FR"/>
        </w:rPr>
        <w:t xml:space="preserve"> nouveau exprimées en faveur </w:t>
      </w:r>
      <w:r>
        <w:rPr>
          <w:rFonts w:ascii="Arial" w:cs="Arial" w:hAnsi="Arial"/>
          <w:sz w:val="20"/>
          <w:szCs w:val="20"/>
          <w:lang w:val="fr-FR"/>
        </w:rPr>
        <w:t>de me</w:t>
      </w:r>
      <w:r w:rsidR="00722931" w:rsidRPr="00C86B6C">
        <w:rPr>
          <w:rFonts w:ascii="Arial" w:cs="Arial" w:hAnsi="Arial"/>
          <w:sz w:val="20"/>
          <w:szCs w:val="20"/>
          <w:lang w:val="fr-FR"/>
        </w:rPr>
        <w:t>sures d’augmentation générale</w:t>
      </w:r>
      <w:r>
        <w:rPr>
          <w:rFonts w:ascii="Arial" w:cs="Arial" w:hAnsi="Arial"/>
          <w:sz w:val="20"/>
          <w:szCs w:val="20"/>
          <w:lang w:val="fr-FR"/>
        </w:rPr>
        <w:t xml:space="preserve"> compte tenu de l</w:t>
      </w:r>
      <w:r w:rsidR="00722931" w:rsidRPr="00C86B6C">
        <w:rPr>
          <w:rFonts w:ascii="Arial" w:cs="Arial" w:hAnsi="Arial"/>
          <w:sz w:val="20"/>
          <w:szCs w:val="20"/>
          <w:lang w:val="fr-FR"/>
        </w:rPr>
        <w:t>’inflation</w:t>
      </w:r>
      <w:r w:rsidR="00F51AC2" w:rsidRPr="00C86B6C">
        <w:rPr>
          <w:rFonts w:ascii="Arial" w:cs="Arial" w:hAnsi="Arial"/>
          <w:sz w:val="20"/>
          <w:szCs w:val="20"/>
          <w:lang w:val="fr-FR"/>
        </w:rPr>
        <w:t xml:space="preserve"> qui touche </w:t>
      </w:r>
      <w:r w:rsidR="0007768B">
        <w:rPr>
          <w:rFonts w:ascii="Arial" w:cs="Arial" w:hAnsi="Arial"/>
          <w:sz w:val="20"/>
          <w:szCs w:val="20"/>
          <w:lang w:val="fr-FR"/>
        </w:rPr>
        <w:t>l’ensemble d</w:t>
      </w:r>
      <w:r w:rsidR="00F51AC2" w:rsidRPr="00C86B6C">
        <w:rPr>
          <w:rFonts w:ascii="Arial" w:cs="Arial" w:hAnsi="Arial"/>
          <w:sz w:val="20"/>
          <w:szCs w:val="20"/>
          <w:lang w:val="fr-FR"/>
        </w:rPr>
        <w:t>es salariés</w:t>
      </w:r>
      <w:r w:rsidR="00722931" w:rsidRPr="00C86B6C">
        <w:rPr>
          <w:rFonts w:ascii="Arial" w:cs="Arial" w:hAnsi="Arial"/>
          <w:sz w:val="20"/>
          <w:szCs w:val="20"/>
          <w:lang w:val="fr-FR"/>
        </w:rPr>
        <w:t>.</w:t>
      </w:r>
      <w:r w:rsidR="00EC432F" w:rsidRPr="00C86B6C">
        <w:rPr>
          <w:rFonts w:ascii="Arial" w:cs="Arial" w:hAnsi="Arial"/>
          <w:sz w:val="20"/>
          <w:szCs w:val="20"/>
          <w:lang w:val="fr-FR"/>
        </w:rPr>
        <w:t xml:space="preserve"> </w:t>
      </w:r>
      <w:r w:rsidR="00F51AC2" w:rsidRPr="00C86B6C">
        <w:rPr>
          <w:rFonts w:ascii="Arial" w:cs="Arial" w:hAnsi="Arial"/>
          <w:sz w:val="20"/>
          <w:szCs w:val="20"/>
          <w:lang w:val="fr-FR"/>
        </w:rPr>
        <w:t xml:space="preserve">Elles soulignent </w:t>
      </w:r>
      <w:r w:rsidR="0007768B">
        <w:rPr>
          <w:rFonts w:ascii="Arial" w:cs="Arial" w:hAnsi="Arial"/>
          <w:sz w:val="20"/>
          <w:szCs w:val="20"/>
          <w:lang w:val="fr-FR"/>
        </w:rPr>
        <w:t>également</w:t>
      </w:r>
      <w:r w:rsidR="00707BE8">
        <w:rPr>
          <w:rFonts w:ascii="Arial" w:cs="Arial" w:hAnsi="Arial"/>
          <w:sz w:val="20"/>
          <w:szCs w:val="20"/>
          <w:lang w:val="fr-FR"/>
        </w:rPr>
        <w:t>, dans l’hypothèse de mesures individuelles, de prévoir une</w:t>
      </w:r>
      <w:r w:rsidR="00F51AC2" w:rsidRPr="00C86B6C">
        <w:rPr>
          <w:rFonts w:ascii="Arial" w:cs="Arial" w:hAnsi="Arial"/>
          <w:sz w:val="20"/>
          <w:szCs w:val="20"/>
          <w:lang w:val="fr-FR"/>
        </w:rPr>
        <w:t xml:space="preserve"> répartition entre</w:t>
      </w:r>
      <w:r w:rsidR="00C86B6C">
        <w:rPr>
          <w:rFonts w:ascii="Arial" w:cs="Arial" w:hAnsi="Arial"/>
          <w:sz w:val="20"/>
          <w:szCs w:val="20"/>
          <w:lang w:val="fr-FR"/>
        </w:rPr>
        <w:t xml:space="preserve"> </w:t>
      </w:r>
      <w:r w:rsidR="00F51AC2" w:rsidRPr="00C86B6C">
        <w:rPr>
          <w:rFonts w:ascii="Arial" w:cs="Arial" w:hAnsi="Arial"/>
          <w:sz w:val="20"/>
          <w:szCs w:val="20"/>
          <w:lang w:val="fr-FR"/>
        </w:rPr>
        <w:t>ces deux mesures salariales</w:t>
      </w:r>
      <w:r w:rsidR="00707BE8">
        <w:rPr>
          <w:rFonts w:ascii="Arial" w:cs="Arial" w:hAnsi="Arial"/>
          <w:sz w:val="20"/>
          <w:szCs w:val="20"/>
          <w:lang w:val="fr-FR"/>
        </w:rPr>
        <w:t xml:space="preserve"> </w:t>
      </w:r>
      <w:r w:rsidR="000A0F9B">
        <w:rPr>
          <w:rFonts w:ascii="Arial" w:cs="Arial" w:hAnsi="Arial"/>
          <w:sz w:val="20"/>
          <w:szCs w:val="20"/>
          <w:lang w:val="fr-FR"/>
        </w:rPr>
        <w:t xml:space="preserve">avec </w:t>
      </w:r>
      <w:r w:rsidR="000A0F9B" w:rsidRPr="002B2420">
        <w:rPr>
          <w:rFonts w:ascii="Arial" w:cs="Arial" w:hAnsi="Arial"/>
          <w:sz w:val="20"/>
          <w:szCs w:val="20"/>
          <w:lang w:val="fr-FR"/>
        </w:rPr>
        <w:t xml:space="preserve">une proportion </w:t>
      </w:r>
      <w:r w:rsidR="00F51AC2" w:rsidRPr="002B2420">
        <w:rPr>
          <w:rFonts w:ascii="Arial" w:cs="Arial" w:hAnsi="Arial"/>
          <w:sz w:val="20"/>
          <w:szCs w:val="20"/>
          <w:lang w:val="fr-FR"/>
        </w:rPr>
        <w:t>collective</w:t>
      </w:r>
      <w:r w:rsidR="000A0F9B" w:rsidRPr="002B2420">
        <w:rPr>
          <w:rFonts w:ascii="Arial" w:cs="Arial" w:hAnsi="Arial"/>
          <w:sz w:val="20"/>
          <w:szCs w:val="20"/>
          <w:lang w:val="fr-FR"/>
        </w:rPr>
        <w:t xml:space="preserve"> plus importante</w:t>
      </w:r>
      <w:r w:rsidR="00696EBA" w:rsidRPr="002B2420">
        <w:rPr>
          <w:rFonts w:ascii="Arial" w:cs="Arial" w:hAnsi="Arial"/>
          <w:sz w:val="20"/>
          <w:szCs w:val="20"/>
          <w:lang w:val="fr-FR"/>
        </w:rPr>
        <w:t xml:space="preserve">, et de ne pas distinguer </w:t>
      </w:r>
      <w:r w:rsidR="001F5F8B" w:rsidRPr="002B2420">
        <w:rPr>
          <w:rFonts w:ascii="Arial" w:cs="Arial" w:hAnsi="Arial"/>
          <w:sz w:val="20"/>
          <w:szCs w:val="20"/>
          <w:lang w:val="fr-FR"/>
        </w:rPr>
        <w:t xml:space="preserve">le niveau d’augmentation </w:t>
      </w:r>
      <w:r w:rsidR="00696EBA" w:rsidRPr="002B2420">
        <w:rPr>
          <w:rFonts w:ascii="Arial" w:cs="Arial" w:hAnsi="Arial"/>
          <w:sz w:val="20"/>
          <w:szCs w:val="20"/>
          <w:lang w:val="fr-FR"/>
        </w:rPr>
        <w:t xml:space="preserve">entre les cadres éligibles et </w:t>
      </w:r>
      <w:r w:rsidR="00143AE8" w:rsidRPr="002B2420">
        <w:rPr>
          <w:rFonts w:ascii="Arial" w:cs="Arial" w:hAnsi="Arial"/>
          <w:sz w:val="20"/>
          <w:szCs w:val="20"/>
          <w:lang w:val="fr-FR"/>
        </w:rPr>
        <w:t xml:space="preserve">les cadres </w:t>
      </w:r>
      <w:r w:rsidR="00696EBA" w:rsidRPr="002B2420">
        <w:rPr>
          <w:rFonts w:ascii="Arial" w:cs="Arial" w:hAnsi="Arial"/>
          <w:sz w:val="20"/>
          <w:szCs w:val="20"/>
          <w:lang w:val="fr-FR"/>
        </w:rPr>
        <w:t>non éligibles à bonus</w:t>
      </w:r>
      <w:r w:rsidR="00F42CD8" w:rsidRPr="002B2420">
        <w:rPr>
          <w:rFonts w:ascii="Arial" w:cs="Arial" w:hAnsi="Arial"/>
          <w:sz w:val="20"/>
          <w:szCs w:val="20"/>
          <w:lang w:val="fr-FR"/>
        </w:rPr>
        <w:t>.</w:t>
      </w:r>
    </w:p>
    <w:p w14:paraId="291DBA7B" w14:textId="77777777" w:rsidP="00722931" w:rsidR="0020466C" w:rsidRDefault="0020466C">
      <w:pPr>
        <w:jc w:val="both"/>
        <w:rPr>
          <w:rFonts w:ascii="Arial" w:cs="Arial" w:hAnsi="Arial"/>
          <w:sz w:val="20"/>
          <w:szCs w:val="20"/>
          <w:lang w:val="fr-FR"/>
        </w:rPr>
      </w:pPr>
    </w:p>
    <w:p w14:paraId="088930C2" w14:textId="381C59E1" w:rsidP="00722931" w:rsidR="00722931" w:rsidRDefault="00722931" w:rsidRPr="001C46E5">
      <w:pPr>
        <w:jc w:val="both"/>
        <w:rPr>
          <w:rFonts w:ascii="Arial" w:cs="Arial" w:hAnsi="Arial"/>
          <w:sz w:val="20"/>
          <w:szCs w:val="20"/>
          <w:lang w:val="fr-FR"/>
        </w:rPr>
      </w:pPr>
      <w:r w:rsidRPr="00C86B6C">
        <w:rPr>
          <w:rFonts w:ascii="Arial" w:cs="Arial" w:hAnsi="Arial"/>
          <w:sz w:val="20"/>
          <w:szCs w:val="20"/>
          <w:lang w:val="fr-FR"/>
        </w:rPr>
        <w:t xml:space="preserve">Pour sa part, la Direction </w:t>
      </w:r>
      <w:r w:rsidR="00EC432F" w:rsidRPr="00C86B6C">
        <w:rPr>
          <w:rFonts w:ascii="Arial" w:cs="Arial" w:hAnsi="Arial"/>
          <w:sz w:val="20"/>
          <w:szCs w:val="20"/>
          <w:lang w:val="fr-FR"/>
        </w:rPr>
        <w:t xml:space="preserve">a </w:t>
      </w:r>
      <w:r w:rsidRPr="00C86B6C">
        <w:rPr>
          <w:rFonts w:ascii="Arial" w:cs="Arial" w:hAnsi="Arial"/>
          <w:sz w:val="20"/>
          <w:szCs w:val="20"/>
          <w:lang w:val="fr-FR"/>
        </w:rPr>
        <w:t>soulign</w:t>
      </w:r>
      <w:r w:rsidR="00EC432F" w:rsidRPr="00C86B6C">
        <w:rPr>
          <w:rFonts w:ascii="Arial" w:cs="Arial" w:hAnsi="Arial"/>
          <w:sz w:val="20"/>
          <w:szCs w:val="20"/>
          <w:lang w:val="fr-FR"/>
        </w:rPr>
        <w:t xml:space="preserve">é </w:t>
      </w:r>
      <w:r w:rsidRPr="00C86B6C">
        <w:rPr>
          <w:rFonts w:ascii="Arial" w:cs="Arial" w:hAnsi="Arial"/>
          <w:sz w:val="20"/>
          <w:szCs w:val="20"/>
          <w:lang w:val="fr-FR"/>
        </w:rPr>
        <w:t xml:space="preserve">que les mesures </w:t>
      </w:r>
      <w:r w:rsidR="00FC1F79">
        <w:rPr>
          <w:rFonts w:ascii="Arial" w:cs="Arial" w:hAnsi="Arial"/>
          <w:sz w:val="20"/>
          <w:szCs w:val="20"/>
          <w:lang w:val="fr-FR"/>
        </w:rPr>
        <w:t xml:space="preserve">salariales </w:t>
      </w:r>
      <w:r w:rsidR="002910BB">
        <w:rPr>
          <w:rFonts w:ascii="Arial" w:cs="Arial" w:hAnsi="Arial"/>
          <w:sz w:val="20"/>
          <w:szCs w:val="20"/>
          <w:lang w:val="fr-FR"/>
        </w:rPr>
        <w:t>individuelles répondent aux attentes d</w:t>
      </w:r>
      <w:r w:rsidRPr="00C86B6C">
        <w:rPr>
          <w:rFonts w:ascii="Arial" w:cs="Arial" w:hAnsi="Arial"/>
          <w:sz w:val="20"/>
          <w:szCs w:val="20"/>
          <w:lang w:val="fr-FR"/>
        </w:rPr>
        <w:t xml:space="preserve">es salariés </w:t>
      </w:r>
      <w:r w:rsidR="002910BB">
        <w:rPr>
          <w:rFonts w:ascii="Arial" w:cs="Arial" w:hAnsi="Arial"/>
          <w:sz w:val="20"/>
          <w:szCs w:val="20"/>
          <w:lang w:val="fr-FR"/>
        </w:rPr>
        <w:t>et de l’</w:t>
      </w:r>
      <w:r w:rsidRPr="00C86B6C">
        <w:rPr>
          <w:rFonts w:ascii="Arial" w:cs="Arial" w:hAnsi="Arial"/>
          <w:sz w:val="20"/>
          <w:szCs w:val="20"/>
          <w:lang w:val="fr-FR"/>
        </w:rPr>
        <w:t>encadrement</w:t>
      </w:r>
      <w:r w:rsidR="00EC432F" w:rsidRPr="00C86B6C">
        <w:rPr>
          <w:rFonts w:ascii="Arial" w:cs="Arial" w:hAnsi="Arial"/>
          <w:sz w:val="20"/>
          <w:szCs w:val="20"/>
          <w:lang w:val="fr-FR"/>
        </w:rPr>
        <w:t>.</w:t>
      </w:r>
      <w:r w:rsidR="001C46E5">
        <w:rPr>
          <w:rFonts w:ascii="Arial" w:cs="Arial" w:hAnsi="Arial"/>
          <w:sz w:val="20"/>
          <w:szCs w:val="20"/>
          <w:lang w:val="fr-FR"/>
        </w:rPr>
        <w:t xml:space="preserve"> </w:t>
      </w:r>
      <w:r w:rsidR="00FC1F79">
        <w:rPr>
          <w:rFonts w:ascii="Arial" w:cs="Arial" w:hAnsi="Arial"/>
          <w:sz w:val="20"/>
          <w:szCs w:val="20"/>
          <w:lang w:val="fr-FR"/>
        </w:rPr>
        <w:t xml:space="preserve">Elle a également rappelé </w:t>
      </w:r>
      <w:r w:rsidR="001C46E5">
        <w:rPr>
          <w:rFonts w:ascii="Arial" w:cs="Arial" w:hAnsi="Arial"/>
          <w:sz w:val="20"/>
          <w:szCs w:val="20"/>
          <w:lang w:val="fr-FR"/>
        </w:rPr>
        <w:t xml:space="preserve">que </w:t>
      </w:r>
      <w:r w:rsidR="00FC1F79">
        <w:rPr>
          <w:rFonts w:ascii="Arial" w:cs="Arial" w:hAnsi="Arial"/>
          <w:sz w:val="20"/>
          <w:szCs w:val="20"/>
          <w:lang w:val="fr-FR"/>
        </w:rPr>
        <w:t>la</w:t>
      </w:r>
      <w:r w:rsidR="001C46E5">
        <w:rPr>
          <w:rFonts w:ascii="Arial" w:cs="Arial" w:hAnsi="Arial"/>
          <w:sz w:val="20"/>
          <w:szCs w:val="20"/>
          <w:lang w:val="fr-FR"/>
        </w:rPr>
        <w:t xml:space="preserve"> distinction </w:t>
      </w:r>
      <w:r w:rsidR="00FC1F79">
        <w:rPr>
          <w:rFonts w:ascii="Arial" w:cs="Arial" w:hAnsi="Arial"/>
          <w:sz w:val="20"/>
          <w:szCs w:val="20"/>
          <w:lang w:val="fr-FR"/>
        </w:rPr>
        <w:t xml:space="preserve">de budget d’augmentations individuelles entre les cadres éligibles et non éligibles à bonus </w:t>
      </w:r>
      <w:r w:rsidR="001C46E5">
        <w:rPr>
          <w:rFonts w:ascii="Arial" w:cs="Arial" w:hAnsi="Arial"/>
          <w:sz w:val="20"/>
          <w:szCs w:val="20"/>
          <w:lang w:val="fr-FR"/>
        </w:rPr>
        <w:t xml:space="preserve">se justifiait par </w:t>
      </w:r>
      <w:r w:rsidR="001C46E5" w:rsidRPr="001C46E5">
        <w:rPr>
          <w:rFonts w:ascii="Arial" w:cs="Arial" w:hAnsi="Arial"/>
          <w:sz w:val="20"/>
          <w:szCs w:val="20"/>
          <w:lang w:val="fr-FR"/>
        </w:rPr>
        <w:t>le critère objectif de perception d’un bonus lié à un statut et des niveaux de responsabilité différente.</w:t>
      </w:r>
    </w:p>
    <w:p w14:paraId="22E89CBF" w14:textId="77777777" w:rsidP="001618B7" w:rsidR="001618B7" w:rsidRDefault="001618B7" w:rsidRPr="002E18E3">
      <w:pPr>
        <w:jc w:val="both"/>
        <w:rPr>
          <w:rFonts w:ascii="Arial" w:cs="Arial" w:hAnsi="Arial"/>
          <w:color w:themeColor="accent6" w:val="70AD47"/>
          <w:sz w:val="20"/>
          <w:szCs w:val="20"/>
          <w:lang w:val="fr-FR"/>
        </w:rPr>
      </w:pPr>
    </w:p>
    <w:p w14:paraId="557CE74D" w14:textId="00DF89E4" w:rsidP="007F01AD" w:rsidR="00856EBC" w:rsidRDefault="00856EBC" w:rsidRPr="00A41EEA">
      <w:pPr>
        <w:numPr>
          <w:ilvl w:val="0"/>
          <w:numId w:val="2"/>
        </w:numPr>
        <w:jc w:val="both"/>
        <w:rPr>
          <w:rFonts w:ascii="Arial" w:cs="Arial" w:hAnsi="Arial"/>
          <w:sz w:val="20"/>
          <w:szCs w:val="20"/>
          <w:lang w:val="fr-FR"/>
        </w:rPr>
      </w:pPr>
      <w:r w:rsidRPr="00A41EEA">
        <w:rPr>
          <w:rFonts w:ascii="Arial" w:cs="Arial" w:hAnsi="Arial"/>
          <w:sz w:val="20"/>
          <w:szCs w:val="20"/>
          <w:u w:val="single"/>
          <w:lang w:val="fr-FR"/>
        </w:rPr>
        <w:t xml:space="preserve">Lors de la </w:t>
      </w:r>
      <w:r w:rsidR="00190600" w:rsidRPr="00A41EEA">
        <w:rPr>
          <w:rFonts w:ascii="Arial" w:cs="Arial" w:hAnsi="Arial"/>
          <w:sz w:val="20"/>
          <w:szCs w:val="20"/>
          <w:u w:val="single"/>
          <w:lang w:val="fr-FR"/>
        </w:rPr>
        <w:t>troisième</w:t>
      </w:r>
      <w:r w:rsidRPr="00A41EEA">
        <w:rPr>
          <w:rFonts w:ascii="Arial" w:cs="Arial" w:hAnsi="Arial"/>
          <w:sz w:val="20"/>
          <w:szCs w:val="20"/>
          <w:u w:val="single"/>
          <w:lang w:val="fr-FR"/>
        </w:rPr>
        <w:t xml:space="preserve"> réunion</w:t>
      </w:r>
      <w:r w:rsidRPr="00A41EEA">
        <w:rPr>
          <w:rFonts w:ascii="Arial" w:cs="Arial" w:hAnsi="Arial"/>
          <w:sz w:val="20"/>
          <w:szCs w:val="20"/>
          <w:lang w:val="fr-FR"/>
        </w:rPr>
        <w:t>, la Direction</w:t>
      </w:r>
      <w:r w:rsidR="00AE4653" w:rsidRPr="00A41EEA">
        <w:rPr>
          <w:rFonts w:ascii="Arial" w:cs="Arial" w:hAnsi="Arial"/>
          <w:sz w:val="20"/>
          <w:szCs w:val="20"/>
          <w:lang w:val="fr-FR"/>
        </w:rPr>
        <w:t>, au regard d</w:t>
      </w:r>
      <w:r w:rsidR="005B524E" w:rsidRPr="00A41EEA">
        <w:rPr>
          <w:rFonts w:ascii="Arial" w:cs="Arial" w:hAnsi="Arial"/>
          <w:sz w:val="20"/>
          <w:szCs w:val="20"/>
          <w:lang w:val="fr-FR"/>
        </w:rPr>
        <w:t xml:space="preserve">es précédents échanges intervenus, </w:t>
      </w:r>
      <w:r w:rsidRPr="00A41EEA">
        <w:rPr>
          <w:rFonts w:ascii="Arial" w:cs="Arial" w:hAnsi="Arial"/>
          <w:sz w:val="20"/>
          <w:szCs w:val="20"/>
          <w:lang w:val="fr-FR"/>
        </w:rPr>
        <w:t xml:space="preserve">a </w:t>
      </w:r>
      <w:r w:rsidR="00AE4653" w:rsidRPr="00A41EEA">
        <w:rPr>
          <w:rFonts w:ascii="Arial" w:cs="Arial" w:hAnsi="Arial"/>
          <w:sz w:val="20"/>
          <w:szCs w:val="20"/>
          <w:lang w:val="fr-FR"/>
        </w:rPr>
        <w:t>proposé</w:t>
      </w:r>
      <w:r w:rsidRPr="00A41EEA">
        <w:rPr>
          <w:rFonts w:ascii="Arial" w:cs="Arial" w:hAnsi="Arial"/>
          <w:sz w:val="20"/>
          <w:szCs w:val="20"/>
          <w:lang w:val="fr-FR"/>
        </w:rPr>
        <w:t xml:space="preserve"> aux Organisations Syndicales </w:t>
      </w:r>
      <w:r w:rsidR="00F84F64" w:rsidRPr="00A41EEA">
        <w:rPr>
          <w:rFonts w:ascii="Arial" w:cs="Arial" w:hAnsi="Arial"/>
          <w:sz w:val="20"/>
          <w:szCs w:val="20"/>
          <w:lang w:val="fr-FR"/>
        </w:rPr>
        <w:t xml:space="preserve">Représentatives </w:t>
      </w:r>
      <w:r w:rsidR="002555D7" w:rsidRPr="00A41EEA">
        <w:rPr>
          <w:rFonts w:ascii="Arial" w:cs="Arial" w:hAnsi="Arial"/>
          <w:sz w:val="20"/>
          <w:szCs w:val="20"/>
          <w:lang w:val="fr-FR"/>
        </w:rPr>
        <w:t xml:space="preserve">les mesures </w:t>
      </w:r>
      <w:r w:rsidR="0014393E" w:rsidRPr="00A41EEA">
        <w:rPr>
          <w:rFonts w:ascii="Arial" w:cs="Arial" w:hAnsi="Arial"/>
          <w:sz w:val="20"/>
          <w:szCs w:val="20"/>
          <w:lang w:val="fr-FR"/>
        </w:rPr>
        <w:t>suivantes afin</w:t>
      </w:r>
      <w:r w:rsidR="00AE4653" w:rsidRPr="00A41EEA">
        <w:rPr>
          <w:rFonts w:ascii="Arial" w:cs="Arial" w:hAnsi="Arial"/>
          <w:sz w:val="20"/>
          <w:szCs w:val="20"/>
          <w:lang w:val="fr-FR"/>
        </w:rPr>
        <w:t xml:space="preserve"> </w:t>
      </w:r>
      <w:r w:rsidR="0065757A" w:rsidRPr="00A41EEA">
        <w:rPr>
          <w:rFonts w:ascii="Arial" w:cs="Arial" w:hAnsi="Arial"/>
          <w:sz w:val="20"/>
          <w:szCs w:val="20"/>
          <w:lang w:val="fr-FR"/>
        </w:rPr>
        <w:t>d’augmenter le</w:t>
      </w:r>
      <w:r w:rsidR="00A80FEB" w:rsidRPr="00A41EEA">
        <w:rPr>
          <w:rFonts w:ascii="Arial" w:cs="Arial" w:hAnsi="Arial"/>
          <w:sz w:val="20"/>
          <w:szCs w:val="20"/>
          <w:lang w:val="fr-FR"/>
        </w:rPr>
        <w:t xml:space="preserve"> pouvoir d’achat des salariés</w:t>
      </w:r>
      <w:r w:rsidR="006B570F">
        <w:rPr>
          <w:rFonts w:ascii="Arial" w:cs="Arial" w:hAnsi="Arial"/>
          <w:sz w:val="20"/>
          <w:szCs w:val="20"/>
          <w:lang w:val="fr-FR"/>
        </w:rPr>
        <w:t xml:space="preserve">, notamment dans ce contexte particulier, </w:t>
      </w:r>
      <w:r w:rsidR="00A80FEB" w:rsidRPr="00A41EEA">
        <w:rPr>
          <w:rFonts w:ascii="Arial" w:cs="Arial" w:hAnsi="Arial"/>
          <w:sz w:val="20"/>
          <w:szCs w:val="20"/>
          <w:lang w:val="fr-FR"/>
        </w:rPr>
        <w:t xml:space="preserve">tout en </w:t>
      </w:r>
      <w:r w:rsidR="00AE4653" w:rsidRPr="00A41EEA">
        <w:rPr>
          <w:rFonts w:ascii="Arial" w:cs="Arial" w:hAnsi="Arial"/>
          <w:sz w:val="20"/>
          <w:szCs w:val="20"/>
          <w:lang w:val="fr-FR"/>
        </w:rPr>
        <w:t>reconna</w:t>
      </w:r>
      <w:r w:rsidR="00A80FEB" w:rsidRPr="00A41EEA">
        <w:rPr>
          <w:rFonts w:ascii="Arial" w:cs="Arial" w:hAnsi="Arial"/>
          <w:sz w:val="20"/>
          <w:szCs w:val="20"/>
          <w:lang w:val="fr-FR"/>
        </w:rPr>
        <w:t xml:space="preserve">issant leur </w:t>
      </w:r>
      <w:r w:rsidR="00AE4653" w:rsidRPr="00A41EEA">
        <w:rPr>
          <w:rFonts w:ascii="Arial" w:cs="Arial" w:hAnsi="Arial"/>
          <w:sz w:val="20"/>
          <w:szCs w:val="20"/>
          <w:lang w:val="fr-FR"/>
        </w:rPr>
        <w:t>engagement</w:t>
      </w:r>
      <w:r w:rsidR="005B524E" w:rsidRPr="00A41EEA">
        <w:rPr>
          <w:rFonts w:ascii="Arial" w:cs="Arial" w:hAnsi="Arial"/>
          <w:sz w:val="20"/>
          <w:szCs w:val="20"/>
          <w:lang w:val="fr-FR"/>
        </w:rPr>
        <w:t xml:space="preserve"> professionnel</w:t>
      </w:r>
      <w:r w:rsidRPr="00A41EEA">
        <w:rPr>
          <w:rFonts w:ascii="Arial" w:cs="Arial" w:hAnsi="Arial"/>
          <w:sz w:val="20"/>
          <w:szCs w:val="20"/>
          <w:lang w:val="fr-FR"/>
        </w:rPr>
        <w:t>.</w:t>
      </w:r>
      <w:r w:rsidR="00EB4F7D" w:rsidRPr="00A41EEA">
        <w:rPr>
          <w:rFonts w:ascii="Arial" w:cs="Arial" w:hAnsi="Arial"/>
          <w:sz w:val="20"/>
          <w:szCs w:val="20"/>
          <w:lang w:val="fr-FR"/>
        </w:rPr>
        <w:t xml:space="preserve"> </w:t>
      </w:r>
      <w:r w:rsidR="00D10B40">
        <w:rPr>
          <w:rFonts w:ascii="Arial" w:cs="Arial" w:hAnsi="Arial"/>
          <w:sz w:val="20"/>
          <w:szCs w:val="20"/>
          <w:lang w:val="fr-FR"/>
        </w:rPr>
        <w:t>Dans cette même logique de soutien du pouvoir d’achat des salariés, l’Entreprise a également annoncé le maintien des tarifs actuellement pratiqués dans les cafétarias et Brioche Dorée ainsi que la prise en charge de la totalité de l’augmentation des tarifs contractuels (+10%) et ce, jusqu’en octobre 2023.</w:t>
      </w:r>
    </w:p>
    <w:p w14:paraId="7C8C6431" w14:textId="77777777" w:rsidP="005B524E" w:rsidR="005B524E" w:rsidRDefault="005B524E" w:rsidRPr="00A41EEA">
      <w:pPr>
        <w:ind w:left="720"/>
        <w:jc w:val="both"/>
        <w:rPr>
          <w:rFonts w:ascii="Arial" w:cs="Arial" w:hAnsi="Arial"/>
          <w:sz w:val="20"/>
          <w:szCs w:val="20"/>
          <w:lang w:val="fr-FR"/>
        </w:rPr>
      </w:pPr>
    </w:p>
    <w:p w14:paraId="33C25F86" w14:textId="726DFFA6" w:rsidP="00856EBC" w:rsidR="00856EBC" w:rsidRDefault="00856EBC" w:rsidRPr="00DF7D13">
      <w:pPr>
        <w:jc w:val="both"/>
        <w:rPr>
          <w:rFonts w:ascii="Arial" w:cs="Arial" w:hAnsi="Arial"/>
          <w:sz w:val="20"/>
          <w:szCs w:val="20"/>
          <w:lang w:val="fr-FR"/>
        </w:rPr>
      </w:pPr>
      <w:r w:rsidRPr="00DF7D13">
        <w:rPr>
          <w:rFonts w:ascii="Arial" w:cs="Arial" w:hAnsi="Arial"/>
          <w:sz w:val="20"/>
          <w:szCs w:val="20"/>
          <w:lang w:val="fr-FR"/>
        </w:rPr>
        <w:t>À l’issue de ces réunions, il a été convenu ce qui suit entre la Direction, d’une part, et les Organisations Syndicales</w:t>
      </w:r>
      <w:r w:rsidR="0003139A" w:rsidRPr="00DF7D13">
        <w:rPr>
          <w:rFonts w:ascii="Arial" w:cs="Arial" w:hAnsi="Arial"/>
          <w:sz w:val="20"/>
          <w:szCs w:val="20"/>
          <w:lang w:val="fr-FR"/>
        </w:rPr>
        <w:t xml:space="preserve"> Représentatives</w:t>
      </w:r>
      <w:r w:rsidRPr="00DF7D13">
        <w:rPr>
          <w:rFonts w:ascii="Arial" w:cs="Arial" w:hAnsi="Arial"/>
          <w:sz w:val="20"/>
          <w:szCs w:val="20"/>
          <w:lang w:val="fr-FR"/>
        </w:rPr>
        <w:t>, d’autre part :</w:t>
      </w:r>
    </w:p>
    <w:p w14:paraId="42D75665" w14:textId="060F9F86" w:rsidP="00856EBC" w:rsidR="00856EBC" w:rsidRDefault="00856EBC">
      <w:pPr>
        <w:pStyle w:val="Header"/>
        <w:tabs>
          <w:tab w:pos="720" w:val="left"/>
        </w:tabs>
        <w:rPr>
          <w:rFonts w:cs="Arial"/>
          <w:szCs w:val="22"/>
          <w:lang w:val="fr-FR"/>
        </w:rPr>
      </w:pPr>
    </w:p>
    <w:p w14:paraId="206791C0" w14:textId="77777777" w:rsidP="00856EBC" w:rsidR="005D3801" w:rsidRDefault="005D3801" w:rsidRPr="00DF7D13">
      <w:pPr>
        <w:pStyle w:val="Header"/>
        <w:tabs>
          <w:tab w:pos="720" w:val="left"/>
        </w:tabs>
        <w:rPr>
          <w:rFonts w:cs="Arial"/>
          <w:szCs w:val="22"/>
          <w:lang w:val="fr-FR"/>
        </w:rPr>
      </w:pPr>
    </w:p>
    <w:p w14:paraId="17C7F1CD" w14:textId="77777777" w:rsidP="00856EBC" w:rsidR="00856EBC" w:rsidRDefault="00856EBC" w:rsidRPr="00DF7D13">
      <w:pPr>
        <w:jc w:val="both"/>
        <w:rPr>
          <w:rFonts w:ascii="Arial" w:cs="Arial" w:hAnsi="Arial"/>
          <w:b/>
          <w:bCs/>
          <w:sz w:val="20"/>
          <w:szCs w:val="20"/>
          <w:u w:val="single"/>
          <w:lang w:val="fr-FR"/>
        </w:rPr>
      </w:pPr>
      <w:r w:rsidRPr="00DF7D13">
        <w:rPr>
          <w:rFonts w:ascii="Arial" w:cs="Arial" w:hAnsi="Arial"/>
          <w:b/>
          <w:bCs/>
          <w:sz w:val="20"/>
          <w:szCs w:val="20"/>
          <w:u w:val="single"/>
          <w:lang w:val="fr-FR"/>
        </w:rPr>
        <w:t>Article 1 – Champ d’application du protocole d’accord</w:t>
      </w:r>
    </w:p>
    <w:p w14:paraId="6C93F3B3" w14:textId="77777777" w:rsidP="00856EBC" w:rsidR="00856EBC" w:rsidRDefault="00856EBC" w:rsidRPr="00DF7D13">
      <w:pPr>
        <w:jc w:val="both"/>
        <w:rPr>
          <w:rFonts w:ascii="Arial" w:cs="Arial" w:hAnsi="Arial"/>
          <w:sz w:val="20"/>
          <w:szCs w:val="20"/>
          <w:lang w:val="fr-FR"/>
        </w:rPr>
      </w:pPr>
    </w:p>
    <w:p w14:paraId="02F91D02" w14:textId="1F512F5B" w:rsidP="00856EBC" w:rsidR="00856EBC" w:rsidRDefault="00856EBC" w:rsidRPr="00DF7D13">
      <w:pPr>
        <w:pStyle w:val="BodyText"/>
        <w:rPr>
          <w:rFonts w:cs="Arial"/>
          <w:sz w:val="20"/>
          <w:lang w:eastAsia="en-US" w:val="fr-FR"/>
        </w:rPr>
      </w:pPr>
      <w:r w:rsidRPr="00DF7D13">
        <w:rPr>
          <w:rFonts w:cs="Arial"/>
          <w:sz w:val="20"/>
          <w:lang w:eastAsia="en-US" w:val="fr-FR"/>
        </w:rPr>
        <w:t xml:space="preserve">Le présent protocole d’accord s’applique à l’ensemble des salariés </w:t>
      </w:r>
      <w:r w:rsidR="00D04531" w:rsidRPr="00DF7D13">
        <w:rPr>
          <w:rFonts w:cs="Arial"/>
          <w:sz w:val="20"/>
          <w:lang w:eastAsia="en-US" w:val="fr-FR"/>
        </w:rPr>
        <w:t xml:space="preserve">de l’Unité Economique et Sociale. </w:t>
      </w:r>
    </w:p>
    <w:p w14:paraId="29DA7652" w14:textId="77777777" w:rsidP="00856EBC" w:rsidR="00856EBC" w:rsidRDefault="00856EBC" w:rsidRPr="00DF7D13">
      <w:pPr>
        <w:jc w:val="both"/>
        <w:rPr>
          <w:rFonts w:ascii="Arial" w:cs="Arial" w:hAnsi="Arial"/>
          <w:b/>
          <w:bCs/>
          <w:sz w:val="20"/>
          <w:szCs w:val="20"/>
          <w:u w:val="single"/>
          <w:lang w:val="fr-FR"/>
        </w:rPr>
      </w:pPr>
    </w:p>
    <w:p w14:paraId="3CFA0228" w14:textId="31103B14" w:rsidP="00856EBC" w:rsidR="00856EBC" w:rsidRDefault="00856EBC" w:rsidRPr="00DF7D13">
      <w:pPr>
        <w:pStyle w:val="BodyText"/>
        <w:rPr>
          <w:rFonts w:cs="Arial"/>
          <w:sz w:val="20"/>
          <w:lang w:eastAsia="en-US" w:val="fr-FR"/>
        </w:rPr>
      </w:pPr>
      <w:r w:rsidRPr="00DF7D13">
        <w:rPr>
          <w:rFonts w:cs="Arial"/>
          <w:sz w:val="20"/>
          <w:lang w:eastAsia="en-US" w:val="fr-FR"/>
        </w:rPr>
        <w:t>Pour ce qui concerne l</w:t>
      </w:r>
      <w:r w:rsidR="007314A8" w:rsidRPr="00DF7D13">
        <w:rPr>
          <w:rFonts w:cs="Arial"/>
          <w:sz w:val="20"/>
          <w:lang w:eastAsia="en-US" w:val="fr-FR"/>
        </w:rPr>
        <w:t>es</w:t>
      </w:r>
      <w:r w:rsidRPr="00DF7D13">
        <w:rPr>
          <w:rFonts w:cs="Arial"/>
          <w:sz w:val="20"/>
          <w:lang w:eastAsia="en-US" w:val="fr-FR"/>
        </w:rPr>
        <w:t xml:space="preserve"> Société</w:t>
      </w:r>
      <w:r w:rsidR="007314A8" w:rsidRPr="00DF7D13">
        <w:rPr>
          <w:rFonts w:cs="Arial"/>
          <w:sz w:val="20"/>
          <w:lang w:eastAsia="en-US" w:val="fr-FR"/>
        </w:rPr>
        <w:t>s</w:t>
      </w:r>
      <w:r w:rsidRPr="00DF7D13">
        <w:rPr>
          <w:rFonts w:cs="Arial"/>
          <w:sz w:val="20"/>
          <w:lang w:eastAsia="en-US" w:val="fr-FR"/>
        </w:rPr>
        <w:t xml:space="preserve"> SETEMO </w:t>
      </w:r>
      <w:r w:rsidR="007314A8" w:rsidRPr="00DF7D13">
        <w:rPr>
          <w:rFonts w:cs="Arial"/>
          <w:sz w:val="20"/>
          <w:lang w:eastAsia="en-US" w:val="fr-FR"/>
        </w:rPr>
        <w:t>et EDLI</w:t>
      </w:r>
      <w:r w:rsidRPr="00DF7D13">
        <w:rPr>
          <w:rFonts w:cs="Arial"/>
          <w:sz w:val="20"/>
          <w:lang w:eastAsia="en-US" w:val="fr-FR"/>
        </w:rPr>
        <w:t xml:space="preserve">, qui </w:t>
      </w:r>
      <w:r w:rsidR="007314A8" w:rsidRPr="00DF7D13">
        <w:rPr>
          <w:rFonts w:cs="Arial"/>
          <w:sz w:val="20"/>
          <w:lang w:eastAsia="en-US" w:val="fr-FR"/>
        </w:rPr>
        <w:t>sont</w:t>
      </w:r>
      <w:r w:rsidRPr="00DF7D13">
        <w:rPr>
          <w:rFonts w:cs="Arial"/>
          <w:sz w:val="20"/>
          <w:lang w:eastAsia="en-US" w:val="fr-FR"/>
        </w:rPr>
        <w:t xml:space="preserve"> régie</w:t>
      </w:r>
      <w:r w:rsidR="007314A8" w:rsidRPr="00DF7D13">
        <w:rPr>
          <w:rFonts w:cs="Arial"/>
          <w:sz w:val="20"/>
          <w:lang w:eastAsia="en-US" w:val="fr-FR"/>
        </w:rPr>
        <w:t>s</w:t>
      </w:r>
      <w:r w:rsidRPr="00DF7D13">
        <w:rPr>
          <w:rFonts w:cs="Arial"/>
          <w:sz w:val="20"/>
          <w:lang w:eastAsia="en-US" w:val="fr-FR"/>
        </w:rPr>
        <w:t xml:space="preserve"> par les dispositions de la Convention Collective de Branche des bureaux d’études techniques, cabinets d’ingénieurs-conseils, sociétés de conseil, </w:t>
      </w:r>
      <w:r w:rsidR="007314A8" w:rsidRPr="00DF7D13">
        <w:rPr>
          <w:rFonts w:cs="Arial"/>
          <w:sz w:val="20"/>
          <w:lang w:eastAsia="en-US" w:val="fr-FR"/>
        </w:rPr>
        <w:t xml:space="preserve">les parties ont convenu que les mesures d’augmentation générale </w:t>
      </w:r>
      <w:r w:rsidR="000B23F7" w:rsidRPr="00DF7D13">
        <w:rPr>
          <w:rFonts w:cs="Arial"/>
          <w:sz w:val="20"/>
          <w:lang w:eastAsia="en-US" w:val="fr-FR"/>
        </w:rPr>
        <w:t xml:space="preserve">et individuelle </w:t>
      </w:r>
      <w:r w:rsidR="007314A8" w:rsidRPr="00DF7D13">
        <w:rPr>
          <w:rFonts w:cs="Arial"/>
          <w:sz w:val="20"/>
          <w:lang w:eastAsia="en-US" w:val="fr-FR"/>
        </w:rPr>
        <w:t>leur seront applicable</w:t>
      </w:r>
      <w:r w:rsidRPr="00DF7D13">
        <w:rPr>
          <w:rFonts w:cs="Arial"/>
          <w:sz w:val="20"/>
          <w:lang w:eastAsia="en-US" w:val="fr-FR"/>
        </w:rPr>
        <w:t>s.</w:t>
      </w:r>
    </w:p>
    <w:p w14:paraId="5E318542" w14:textId="404F43D3" w:rsidP="00856EBC" w:rsidR="00856EBC" w:rsidRDefault="00856EBC">
      <w:pPr>
        <w:jc w:val="both"/>
        <w:rPr>
          <w:rFonts w:ascii="Arial" w:cs="Arial" w:hAnsi="Arial"/>
          <w:b/>
          <w:bCs/>
          <w:sz w:val="20"/>
          <w:szCs w:val="20"/>
          <w:u w:val="single"/>
          <w:lang w:val="fr-FR"/>
        </w:rPr>
      </w:pPr>
    </w:p>
    <w:p w14:paraId="3BE9BDA9" w14:textId="77777777" w:rsidP="00856EBC" w:rsidR="005D3801" w:rsidRDefault="005D3801" w:rsidRPr="00DF7D13">
      <w:pPr>
        <w:jc w:val="both"/>
        <w:rPr>
          <w:rFonts w:ascii="Arial" w:cs="Arial" w:hAnsi="Arial"/>
          <w:b/>
          <w:bCs/>
          <w:sz w:val="20"/>
          <w:szCs w:val="20"/>
          <w:u w:val="single"/>
          <w:lang w:val="fr-FR"/>
        </w:rPr>
      </w:pPr>
    </w:p>
    <w:p w14:paraId="27F791C1" w14:textId="2448AFA4" w:rsidP="006423DE" w:rsidR="006423DE" w:rsidRDefault="006423DE" w:rsidRPr="00DF7D13">
      <w:pPr>
        <w:jc w:val="both"/>
        <w:rPr>
          <w:rFonts w:ascii="Arial" w:cs="Arial" w:hAnsi="Arial"/>
          <w:b/>
          <w:bCs/>
          <w:sz w:val="20"/>
          <w:szCs w:val="20"/>
          <w:u w:val="single"/>
          <w:lang w:val="fr-FR"/>
        </w:rPr>
      </w:pPr>
      <w:r w:rsidRPr="00DF7D13">
        <w:rPr>
          <w:rFonts w:ascii="Arial" w:cs="Arial" w:hAnsi="Arial"/>
          <w:b/>
          <w:bCs/>
          <w:sz w:val="20"/>
          <w:szCs w:val="20"/>
          <w:u w:val="single"/>
          <w:lang w:val="fr-FR"/>
        </w:rPr>
        <w:t xml:space="preserve">Article 2 – </w:t>
      </w:r>
      <w:r w:rsidR="004C0684" w:rsidRPr="00DF7D13">
        <w:rPr>
          <w:rFonts w:ascii="Arial" w:cs="Arial" w:hAnsi="Arial"/>
          <w:b/>
          <w:bCs/>
          <w:sz w:val="20"/>
          <w:szCs w:val="20"/>
          <w:u w:val="single"/>
          <w:lang w:val="fr-FR"/>
        </w:rPr>
        <w:t>Mesures salariales</w:t>
      </w:r>
    </w:p>
    <w:p w14:paraId="5F9F6996" w14:textId="77777777" w:rsidP="006423DE" w:rsidR="006423DE" w:rsidRDefault="006423DE" w:rsidRPr="00DF7D13">
      <w:pPr>
        <w:jc w:val="both"/>
        <w:rPr>
          <w:rFonts w:ascii="Arial" w:cs="Arial" w:hAnsi="Arial"/>
          <w:sz w:val="20"/>
          <w:szCs w:val="20"/>
          <w:lang w:val="fr-FR"/>
        </w:rPr>
      </w:pPr>
    </w:p>
    <w:p w14:paraId="0970FEDA" w14:textId="4859F9B9" w:rsidP="009277F2" w:rsidR="009277F2" w:rsidRDefault="008557C8" w:rsidRPr="00DF7D13">
      <w:pPr>
        <w:jc w:val="both"/>
        <w:rPr>
          <w:rFonts w:ascii="Arial" w:cs="Arial" w:hAnsi="Arial"/>
          <w:sz w:val="20"/>
          <w:szCs w:val="20"/>
          <w:lang w:val="fr-FR"/>
        </w:rPr>
      </w:pPr>
      <w:r w:rsidRPr="00DF7D13">
        <w:rPr>
          <w:rFonts w:ascii="Arial" w:cs="Arial" w:hAnsi="Arial"/>
          <w:sz w:val="20"/>
          <w:szCs w:val="20"/>
          <w:lang w:val="fr-FR"/>
        </w:rPr>
        <w:t>2</w:t>
      </w:r>
      <w:r w:rsidR="009277F2" w:rsidRPr="00DF7D13">
        <w:rPr>
          <w:rFonts w:ascii="Arial" w:cs="Arial" w:hAnsi="Arial"/>
          <w:sz w:val="20"/>
          <w:szCs w:val="20"/>
          <w:lang w:val="fr-FR"/>
        </w:rPr>
        <w:t xml:space="preserve">.1 </w:t>
      </w:r>
      <w:r w:rsidR="009277F2" w:rsidRPr="00DF7D13">
        <w:rPr>
          <w:rFonts w:ascii="Arial" w:cs="Arial" w:hAnsi="Arial"/>
          <w:sz w:val="20"/>
          <w:szCs w:val="20"/>
          <w:u w:val="single"/>
          <w:lang w:val="fr-FR"/>
        </w:rPr>
        <w:t>Montants</w:t>
      </w:r>
    </w:p>
    <w:p w14:paraId="74982DC6" w14:textId="77777777" w:rsidP="008557C8" w:rsidR="008557C8" w:rsidRDefault="008557C8" w:rsidRPr="00DF7D13">
      <w:pPr>
        <w:jc w:val="both"/>
        <w:rPr>
          <w:rFonts w:ascii="Arial" w:cs="Arial" w:hAnsi="Arial"/>
          <w:sz w:val="20"/>
          <w:szCs w:val="20"/>
          <w:lang w:val="fr-FR"/>
        </w:rPr>
      </w:pPr>
    </w:p>
    <w:p w14:paraId="7213DB39" w14:textId="09183B05" w:rsidP="004A025B" w:rsidR="008557C8" w:rsidRDefault="008557C8" w:rsidRPr="004A025B">
      <w:pPr>
        <w:numPr>
          <w:ilvl w:val="0"/>
          <w:numId w:val="3"/>
        </w:numPr>
        <w:jc w:val="both"/>
        <w:rPr>
          <w:rFonts w:ascii="Arial" w:cs="Arial" w:hAnsi="Arial"/>
          <w:sz w:val="20"/>
          <w:szCs w:val="20"/>
          <w:lang w:val="fr-FR"/>
        </w:rPr>
      </w:pPr>
      <w:r w:rsidRPr="004A025B">
        <w:rPr>
          <w:rFonts w:ascii="Arial" w:cs="Arial" w:hAnsi="Arial"/>
          <w:sz w:val="20"/>
          <w:szCs w:val="20"/>
          <w:u w:val="single"/>
          <w:lang w:val="fr-FR"/>
        </w:rPr>
        <w:t>Les salariés</w:t>
      </w:r>
      <w:r w:rsidRPr="004A025B">
        <w:rPr>
          <w:rFonts w:ascii="Arial" w:cs="Arial" w:hAnsi="Arial"/>
          <w:b/>
          <w:sz w:val="20"/>
          <w:szCs w:val="20"/>
          <w:u w:val="single"/>
          <w:lang w:val="fr-FR"/>
        </w:rPr>
        <w:t xml:space="preserve"> </w:t>
      </w:r>
      <w:r w:rsidRPr="004A025B">
        <w:rPr>
          <w:rFonts w:ascii="Arial" w:cs="Arial" w:hAnsi="Arial"/>
          <w:sz w:val="20"/>
          <w:szCs w:val="20"/>
          <w:u w:val="single"/>
          <w:lang w:val="fr-FR"/>
        </w:rPr>
        <w:t>aux</w:t>
      </w:r>
      <w:r w:rsidRPr="004A025B">
        <w:rPr>
          <w:rFonts w:ascii="Arial" w:cs="Arial" w:hAnsi="Arial"/>
          <w:b/>
          <w:sz w:val="20"/>
          <w:szCs w:val="20"/>
          <w:u w:val="single"/>
          <w:lang w:val="fr-FR"/>
        </w:rPr>
        <w:t xml:space="preserve"> </w:t>
      </w:r>
      <w:r w:rsidRPr="004A025B">
        <w:rPr>
          <w:rFonts w:ascii="Arial" w:cs="Arial" w:hAnsi="Arial"/>
          <w:sz w:val="20"/>
          <w:szCs w:val="20"/>
          <w:u w:val="single"/>
          <w:lang w:val="fr-FR"/>
        </w:rPr>
        <w:t>coefficients 150 à 280 inclus</w:t>
      </w:r>
      <w:r w:rsidRPr="004A025B">
        <w:rPr>
          <w:rFonts w:ascii="Arial" w:cs="Arial" w:hAnsi="Arial"/>
          <w:sz w:val="20"/>
          <w:szCs w:val="20"/>
          <w:lang w:val="fr-FR"/>
        </w:rPr>
        <w:t xml:space="preserve"> </w:t>
      </w:r>
      <w:r w:rsidR="00124C8F" w:rsidRPr="004A025B">
        <w:rPr>
          <w:rFonts w:ascii="Arial" w:cs="Arial" w:hAnsi="Arial"/>
          <w:sz w:val="20"/>
          <w:szCs w:val="20"/>
          <w:lang w:val="fr-FR"/>
        </w:rPr>
        <w:t xml:space="preserve">(y compris le </w:t>
      </w:r>
      <w:r w:rsidR="00F70001" w:rsidRPr="004A025B">
        <w:rPr>
          <w:rFonts w:ascii="Arial" w:cs="Arial" w:hAnsi="Arial"/>
          <w:sz w:val="20"/>
          <w:szCs w:val="20"/>
          <w:lang w:val="fr-FR"/>
        </w:rPr>
        <w:t xml:space="preserve">coefficient </w:t>
      </w:r>
      <w:r w:rsidR="00124C8F" w:rsidRPr="004A025B">
        <w:rPr>
          <w:rFonts w:ascii="Arial" w:cs="Arial" w:hAnsi="Arial"/>
          <w:sz w:val="20"/>
          <w:szCs w:val="20"/>
          <w:lang w:val="fr-FR"/>
        </w:rPr>
        <w:t xml:space="preserve">300 de l’annexe Spectacle) </w:t>
      </w:r>
      <w:r w:rsidRPr="004A025B">
        <w:rPr>
          <w:rFonts w:ascii="Arial" w:cs="Arial" w:hAnsi="Arial"/>
          <w:sz w:val="20"/>
          <w:szCs w:val="20"/>
          <w:lang w:val="fr-FR"/>
        </w:rPr>
        <w:t xml:space="preserve">bénéficieront </w:t>
      </w:r>
      <w:r w:rsidR="004A025B" w:rsidRPr="004A025B">
        <w:rPr>
          <w:rFonts w:ascii="Arial" w:cs="Arial" w:hAnsi="Arial"/>
          <w:sz w:val="20"/>
          <w:szCs w:val="20"/>
          <w:lang w:val="fr-FR"/>
        </w:rPr>
        <w:t xml:space="preserve">d’une </w:t>
      </w:r>
      <w:r w:rsidRPr="004A025B">
        <w:rPr>
          <w:rFonts w:ascii="Arial" w:cs="Arial" w:hAnsi="Arial"/>
          <w:sz w:val="20"/>
          <w:szCs w:val="20"/>
          <w:lang w:val="fr-FR"/>
        </w:rPr>
        <w:t xml:space="preserve">augmentation générale de salaire de </w:t>
      </w:r>
      <w:r w:rsidR="004A025B">
        <w:rPr>
          <w:rFonts w:ascii="Arial" w:cs="Arial" w:hAnsi="Arial"/>
          <w:sz w:val="20"/>
          <w:szCs w:val="20"/>
          <w:lang w:val="fr-FR"/>
        </w:rPr>
        <w:t>5</w:t>
      </w:r>
      <w:r w:rsidRPr="004A025B">
        <w:rPr>
          <w:rFonts w:ascii="Arial" w:cs="Arial" w:hAnsi="Arial"/>
          <w:sz w:val="20"/>
          <w:szCs w:val="20"/>
          <w:lang w:val="fr-FR"/>
        </w:rPr>
        <w:t>.5%</w:t>
      </w:r>
      <w:r w:rsidR="00C60E24">
        <w:rPr>
          <w:rFonts w:ascii="Arial" w:cs="Arial" w:hAnsi="Arial"/>
          <w:sz w:val="20"/>
          <w:szCs w:val="20"/>
          <w:lang w:val="fr-FR"/>
        </w:rPr>
        <w:t>.</w:t>
      </w:r>
    </w:p>
    <w:p w14:paraId="7ECDFC89" w14:textId="2472FFC2" w:rsidP="004A025B" w:rsidR="008557C8" w:rsidRDefault="008557C8" w:rsidRPr="00DF7D13">
      <w:pPr>
        <w:ind w:left="1440"/>
        <w:jc w:val="both"/>
        <w:rPr>
          <w:rFonts w:ascii="Arial" w:cs="Arial" w:hAnsi="Arial"/>
          <w:sz w:val="20"/>
          <w:szCs w:val="20"/>
          <w:lang w:val="fr-FR"/>
        </w:rPr>
      </w:pPr>
    </w:p>
    <w:p w14:paraId="14CFA4A0" w14:textId="4E2CFB76" w:rsidP="008557C8" w:rsidR="008557C8" w:rsidRDefault="008557C8" w:rsidRPr="00DF7D13">
      <w:pPr>
        <w:numPr>
          <w:ilvl w:val="0"/>
          <w:numId w:val="3"/>
        </w:numPr>
        <w:jc w:val="both"/>
        <w:rPr>
          <w:rFonts w:ascii="Arial" w:cs="Arial" w:hAnsi="Arial"/>
          <w:sz w:val="20"/>
          <w:szCs w:val="20"/>
          <w:u w:val="single"/>
          <w:lang w:val="fr-FR"/>
        </w:rPr>
      </w:pPr>
      <w:r w:rsidRPr="00DF7D13">
        <w:rPr>
          <w:rFonts w:ascii="Arial" w:cs="Arial" w:hAnsi="Arial"/>
          <w:sz w:val="20"/>
          <w:szCs w:val="20"/>
          <w:u w:val="single"/>
          <w:lang w:val="fr-FR"/>
        </w:rPr>
        <w:t xml:space="preserve">Les salariés aux coefficients </w:t>
      </w:r>
      <w:r w:rsidR="007B319C" w:rsidRPr="00DF7D13">
        <w:rPr>
          <w:rFonts w:ascii="Arial" w:cs="Arial" w:hAnsi="Arial"/>
          <w:sz w:val="20"/>
          <w:szCs w:val="20"/>
          <w:u w:val="single"/>
          <w:lang w:val="fr-FR"/>
        </w:rPr>
        <w:t xml:space="preserve">300 </w:t>
      </w:r>
      <w:r w:rsidRPr="00DF7D13">
        <w:rPr>
          <w:rFonts w:ascii="Arial" w:cs="Arial" w:hAnsi="Arial"/>
          <w:sz w:val="20"/>
          <w:szCs w:val="20"/>
          <w:u w:val="single"/>
          <w:lang w:val="fr-FR"/>
        </w:rPr>
        <w:t>à 520 inclus</w:t>
      </w:r>
      <w:r w:rsidRPr="00DF7D13">
        <w:rPr>
          <w:rFonts w:ascii="Arial" w:cs="Arial" w:hAnsi="Arial"/>
          <w:sz w:val="20"/>
          <w:szCs w:val="20"/>
          <w:lang w:val="fr-FR"/>
        </w:rPr>
        <w:t xml:space="preserve"> bénéficieront :</w:t>
      </w:r>
    </w:p>
    <w:p w14:paraId="7CEB3F6D" w14:textId="77777777" w:rsidP="008557C8" w:rsidR="008557C8" w:rsidRDefault="008557C8" w:rsidRPr="00DF7D13">
      <w:pPr>
        <w:ind w:left="720"/>
        <w:jc w:val="both"/>
        <w:rPr>
          <w:rFonts w:ascii="Arial" w:cs="Arial" w:hAnsi="Arial"/>
          <w:sz w:val="20"/>
          <w:szCs w:val="20"/>
          <w:u w:val="single"/>
          <w:lang w:val="fr-FR"/>
        </w:rPr>
      </w:pPr>
    </w:p>
    <w:p w14:paraId="7062EDC4" w14:textId="77777777" w:rsidP="008557C8" w:rsidR="008926B7" w:rsidRDefault="007B319C" w:rsidRPr="00DF7D13">
      <w:pPr>
        <w:numPr>
          <w:ilvl w:val="1"/>
          <w:numId w:val="3"/>
        </w:numPr>
        <w:jc w:val="both"/>
        <w:rPr>
          <w:rFonts w:ascii="Arial" w:cs="Arial" w:hAnsi="Arial"/>
          <w:sz w:val="20"/>
          <w:szCs w:val="20"/>
          <w:lang w:val="fr-FR"/>
        </w:rPr>
      </w:pPr>
      <w:r w:rsidRPr="00DF7D13">
        <w:rPr>
          <w:rFonts w:ascii="Arial" w:cs="Arial" w:hAnsi="Arial"/>
          <w:sz w:val="20"/>
          <w:szCs w:val="20"/>
          <w:lang w:val="fr-FR"/>
        </w:rPr>
        <w:t xml:space="preserve">pour les salariés non éligibles à bonus : </w:t>
      </w:r>
    </w:p>
    <w:p w14:paraId="75CA0E43" w14:textId="632D4983" w:rsidP="008926B7" w:rsidR="008926B7" w:rsidRDefault="008926B7" w:rsidRPr="00DF7D13">
      <w:pPr>
        <w:ind w:left="2160"/>
        <w:jc w:val="both"/>
        <w:rPr>
          <w:rFonts w:ascii="Arial" w:cs="Arial" w:hAnsi="Arial"/>
          <w:sz w:val="20"/>
          <w:szCs w:val="20"/>
          <w:lang w:val="fr-FR"/>
        </w:rPr>
      </w:pPr>
      <w:r w:rsidRPr="00DF7D13">
        <w:rPr>
          <w:rFonts w:ascii="Arial" w:cs="Arial" w:hAnsi="Arial"/>
          <w:sz w:val="20"/>
          <w:szCs w:val="20"/>
          <w:lang w:val="fr-FR"/>
        </w:rPr>
        <w:t xml:space="preserve">-d ’une augmentation générale de salaire de </w:t>
      </w:r>
      <w:r w:rsidR="00B02149">
        <w:rPr>
          <w:rFonts w:ascii="Arial" w:cs="Arial" w:hAnsi="Arial"/>
          <w:sz w:val="20"/>
          <w:szCs w:val="20"/>
          <w:lang w:val="fr-FR"/>
        </w:rPr>
        <w:t>3</w:t>
      </w:r>
      <w:r w:rsidRPr="00DF7D13">
        <w:rPr>
          <w:rFonts w:ascii="Arial" w:cs="Arial" w:hAnsi="Arial"/>
          <w:sz w:val="20"/>
          <w:szCs w:val="20"/>
          <w:lang w:val="fr-FR"/>
        </w:rPr>
        <w:t>%</w:t>
      </w:r>
    </w:p>
    <w:p w14:paraId="166D9F92" w14:textId="0BD63ECE" w:rsidP="008926B7" w:rsidR="007B319C" w:rsidRDefault="008926B7">
      <w:pPr>
        <w:ind w:left="2160"/>
        <w:jc w:val="both"/>
        <w:rPr>
          <w:rFonts w:ascii="Arial" w:cs="Arial" w:hAnsi="Arial"/>
          <w:sz w:val="20"/>
          <w:szCs w:val="20"/>
          <w:lang w:val="fr-FR"/>
        </w:rPr>
      </w:pPr>
      <w:r w:rsidRPr="00DF7D13">
        <w:rPr>
          <w:rFonts w:ascii="Arial" w:cs="Arial" w:hAnsi="Arial"/>
          <w:sz w:val="20"/>
          <w:szCs w:val="20"/>
          <w:lang w:val="fr-FR"/>
        </w:rPr>
        <w:t>-</w:t>
      </w:r>
      <w:r w:rsidR="007B319C" w:rsidRPr="00DF7D13">
        <w:rPr>
          <w:rFonts w:ascii="Arial" w:cs="Arial" w:hAnsi="Arial"/>
          <w:sz w:val="20"/>
          <w:szCs w:val="20"/>
          <w:lang w:val="fr-FR"/>
        </w:rPr>
        <w:t xml:space="preserve">de </w:t>
      </w:r>
      <w:r w:rsidR="00B02149">
        <w:rPr>
          <w:rFonts w:ascii="Arial" w:cs="Arial" w:hAnsi="Arial"/>
          <w:sz w:val="20"/>
          <w:szCs w:val="20"/>
          <w:lang w:val="fr-FR"/>
        </w:rPr>
        <w:t>1.5</w:t>
      </w:r>
      <w:r w:rsidR="007B319C" w:rsidRPr="00DF7D13">
        <w:rPr>
          <w:rFonts w:ascii="Arial" w:cs="Arial" w:hAnsi="Arial"/>
          <w:sz w:val="20"/>
          <w:szCs w:val="20"/>
          <w:lang w:val="fr-FR"/>
        </w:rPr>
        <w:t>% de budget réparti en augmentations individuelles</w:t>
      </w:r>
    </w:p>
    <w:p w14:paraId="02EAE78F" w14:textId="77777777" w:rsidP="008926B7" w:rsidR="00DF7D13" w:rsidRDefault="00DF7D13" w:rsidRPr="00DF7D13">
      <w:pPr>
        <w:ind w:left="2160"/>
        <w:jc w:val="both"/>
        <w:rPr>
          <w:rFonts w:ascii="Arial" w:cs="Arial" w:hAnsi="Arial"/>
          <w:sz w:val="20"/>
          <w:szCs w:val="20"/>
          <w:lang w:val="fr-FR"/>
        </w:rPr>
      </w:pPr>
    </w:p>
    <w:p w14:paraId="275FD8FE" w14:textId="590612F3" w:rsidP="008557C8" w:rsidR="00DD2055" w:rsidRDefault="007B319C">
      <w:pPr>
        <w:numPr>
          <w:ilvl w:val="1"/>
          <w:numId w:val="3"/>
        </w:numPr>
        <w:jc w:val="both"/>
        <w:rPr>
          <w:rFonts w:ascii="Arial" w:cs="Arial" w:hAnsi="Arial"/>
          <w:sz w:val="20"/>
          <w:szCs w:val="20"/>
          <w:lang w:val="fr-FR"/>
        </w:rPr>
      </w:pPr>
      <w:r w:rsidRPr="00DF7D13">
        <w:rPr>
          <w:rFonts w:ascii="Arial" w:cs="Arial" w:hAnsi="Arial"/>
          <w:sz w:val="20"/>
          <w:szCs w:val="20"/>
          <w:lang w:val="fr-FR"/>
        </w:rPr>
        <w:t xml:space="preserve">pour les salariés éligibles à bonus : </w:t>
      </w:r>
    </w:p>
    <w:p w14:paraId="72CF638A" w14:textId="54210CEF" w:rsidP="002F4E31" w:rsidR="002F4E31" w:rsidRDefault="002F4E31" w:rsidRPr="002F4E31">
      <w:pPr>
        <w:pStyle w:val="ListParagraph"/>
        <w:ind w:firstLine="720" w:left="1440"/>
        <w:jc w:val="both"/>
        <w:rPr>
          <w:rFonts w:ascii="Arial" w:cs="Arial" w:hAnsi="Arial"/>
          <w:lang w:val="fr-FR"/>
        </w:rPr>
      </w:pPr>
      <w:r w:rsidRPr="002F4E31">
        <w:rPr>
          <w:rFonts w:ascii="Arial" w:cs="Arial" w:hAnsi="Arial"/>
          <w:lang w:val="fr-FR"/>
        </w:rPr>
        <w:t xml:space="preserve">-d ’une augmentation générale de salaire de </w:t>
      </w:r>
      <w:r w:rsidR="00B02149">
        <w:rPr>
          <w:rFonts w:ascii="Arial" w:cs="Arial" w:hAnsi="Arial"/>
          <w:lang w:val="fr-FR"/>
        </w:rPr>
        <w:t>1</w:t>
      </w:r>
      <w:r w:rsidRPr="002F4E31">
        <w:rPr>
          <w:rFonts w:ascii="Arial" w:cs="Arial" w:hAnsi="Arial"/>
          <w:lang w:val="fr-FR"/>
        </w:rPr>
        <w:t>%</w:t>
      </w:r>
    </w:p>
    <w:p w14:paraId="67ED265E" w14:textId="086675CF" w:rsidP="00DD2055" w:rsidR="008557C8" w:rsidRDefault="00DD2055" w:rsidRPr="00DF7D13">
      <w:pPr>
        <w:ind w:left="2160"/>
        <w:jc w:val="both"/>
        <w:rPr>
          <w:rFonts w:ascii="Arial" w:cs="Arial" w:hAnsi="Arial"/>
          <w:sz w:val="20"/>
          <w:szCs w:val="20"/>
          <w:lang w:val="fr-FR"/>
        </w:rPr>
      </w:pPr>
      <w:r>
        <w:rPr>
          <w:rFonts w:ascii="Arial" w:cs="Arial" w:hAnsi="Arial"/>
          <w:sz w:val="20"/>
          <w:szCs w:val="20"/>
          <w:lang w:val="fr-FR"/>
        </w:rPr>
        <w:t>-</w:t>
      </w:r>
      <w:r w:rsidR="007B319C" w:rsidRPr="00DF7D13">
        <w:rPr>
          <w:rFonts w:ascii="Arial" w:cs="Arial" w:hAnsi="Arial"/>
          <w:sz w:val="20"/>
          <w:szCs w:val="20"/>
          <w:lang w:val="fr-FR"/>
        </w:rPr>
        <w:t xml:space="preserve">de </w:t>
      </w:r>
      <w:r w:rsidR="00B02149">
        <w:rPr>
          <w:rFonts w:ascii="Arial" w:cs="Arial" w:hAnsi="Arial"/>
          <w:sz w:val="20"/>
          <w:szCs w:val="20"/>
          <w:lang w:val="fr-FR"/>
        </w:rPr>
        <w:t>1.5</w:t>
      </w:r>
      <w:r w:rsidR="008557C8" w:rsidRPr="00DF7D13">
        <w:rPr>
          <w:rFonts w:ascii="Arial" w:cs="Arial" w:hAnsi="Arial"/>
          <w:sz w:val="20"/>
          <w:szCs w:val="20"/>
          <w:lang w:val="fr-FR"/>
        </w:rPr>
        <w:t>% de budget réparti en augmentations individuelles</w:t>
      </w:r>
    </w:p>
    <w:p w14:paraId="763F471E" w14:textId="47AD43C2" w:rsidP="009277F2" w:rsidR="008557C8" w:rsidRDefault="008557C8" w:rsidRPr="00DF7D13">
      <w:pPr>
        <w:jc w:val="both"/>
        <w:rPr>
          <w:rFonts w:ascii="Arial" w:cs="Arial" w:hAnsi="Arial"/>
          <w:sz w:val="20"/>
          <w:szCs w:val="20"/>
          <w:lang w:val="fr-FR"/>
        </w:rPr>
      </w:pPr>
    </w:p>
    <w:p w14:paraId="15771DB3" w14:textId="54BD9892" w:rsidP="009277F2" w:rsidR="009277F2" w:rsidRDefault="007C6397" w:rsidRPr="00DF7D13">
      <w:pPr>
        <w:jc w:val="both"/>
        <w:rPr>
          <w:rFonts w:ascii="Arial" w:cs="Arial" w:hAnsi="Arial"/>
          <w:sz w:val="20"/>
          <w:szCs w:val="20"/>
          <w:lang w:val="fr-FR"/>
        </w:rPr>
      </w:pPr>
      <w:r w:rsidRPr="00DF7D13">
        <w:rPr>
          <w:rFonts w:ascii="Arial" w:cs="Arial" w:hAnsi="Arial"/>
          <w:sz w:val="20"/>
          <w:szCs w:val="20"/>
          <w:lang w:val="fr-FR"/>
        </w:rPr>
        <w:t>2</w:t>
      </w:r>
      <w:r w:rsidR="009277F2" w:rsidRPr="00DF7D13">
        <w:rPr>
          <w:rFonts w:ascii="Arial" w:cs="Arial" w:hAnsi="Arial"/>
          <w:sz w:val="20"/>
          <w:szCs w:val="20"/>
          <w:lang w:val="fr-FR"/>
        </w:rPr>
        <w:t xml:space="preserve">.2 </w:t>
      </w:r>
      <w:r w:rsidR="009277F2" w:rsidRPr="00DF7D13">
        <w:rPr>
          <w:rFonts w:ascii="Arial" w:cs="Arial" w:hAnsi="Arial"/>
          <w:sz w:val="20"/>
          <w:szCs w:val="20"/>
          <w:u w:val="single"/>
          <w:lang w:val="fr-FR"/>
        </w:rPr>
        <w:t xml:space="preserve">Bénéficiaires (avec condition d’ancienneté de </w:t>
      </w:r>
      <w:r w:rsidR="000A5D1D" w:rsidRPr="00DF7D13">
        <w:rPr>
          <w:rFonts w:ascii="Arial" w:cs="Arial" w:hAnsi="Arial"/>
          <w:sz w:val="20"/>
          <w:szCs w:val="20"/>
          <w:u w:val="single"/>
          <w:lang w:val="fr-FR"/>
        </w:rPr>
        <w:t>6</w:t>
      </w:r>
      <w:r w:rsidR="009277F2" w:rsidRPr="00DF7D13">
        <w:rPr>
          <w:rFonts w:ascii="Arial" w:cs="Arial" w:hAnsi="Arial"/>
          <w:sz w:val="20"/>
          <w:szCs w:val="20"/>
          <w:u w:val="single"/>
          <w:lang w:val="fr-FR"/>
        </w:rPr>
        <w:t xml:space="preserve"> mois</w:t>
      </w:r>
      <w:r w:rsidR="009277F2" w:rsidRPr="00DF7D13">
        <w:rPr>
          <w:rFonts w:ascii="Arial" w:cs="Arial" w:hAnsi="Arial"/>
          <w:sz w:val="20"/>
          <w:szCs w:val="20"/>
          <w:lang w:val="fr-FR"/>
        </w:rPr>
        <w:t>)</w:t>
      </w:r>
    </w:p>
    <w:p w14:paraId="15BB1187" w14:textId="77777777" w:rsidP="009277F2" w:rsidR="009277F2" w:rsidRDefault="009277F2" w:rsidRPr="00DF7D13">
      <w:pPr>
        <w:jc w:val="both"/>
        <w:rPr>
          <w:rFonts w:ascii="Arial" w:cs="Arial" w:hAnsi="Arial"/>
          <w:sz w:val="20"/>
          <w:szCs w:val="20"/>
          <w:lang w:val="fr-FR"/>
        </w:rPr>
      </w:pPr>
    </w:p>
    <w:p w14:paraId="449C360B" w14:textId="7561A937" w:rsidP="009277F2" w:rsidR="009277F2" w:rsidRDefault="009277F2" w:rsidRPr="00DF7D13">
      <w:pPr>
        <w:pStyle w:val="BodyText"/>
        <w:ind w:left="360"/>
        <w:rPr>
          <w:rFonts w:cs="Arial"/>
          <w:sz w:val="20"/>
          <w:lang w:val="fr-FR"/>
        </w:rPr>
      </w:pPr>
      <w:r w:rsidRPr="00DF7D13">
        <w:rPr>
          <w:rFonts w:cs="Arial"/>
          <w:sz w:val="20"/>
          <w:lang w:val="fr-FR"/>
        </w:rPr>
        <w:t xml:space="preserve">Sont bénéficiaires de la mesure visée à l’Article </w:t>
      </w:r>
      <w:r w:rsidR="007C6397" w:rsidRPr="00DF7D13">
        <w:rPr>
          <w:rFonts w:cs="Arial"/>
          <w:sz w:val="20"/>
          <w:lang w:val="fr-FR"/>
        </w:rPr>
        <w:t>2</w:t>
      </w:r>
      <w:r w:rsidRPr="00DF7D13">
        <w:rPr>
          <w:rFonts w:cs="Arial"/>
          <w:sz w:val="20"/>
          <w:lang w:val="fr-FR"/>
        </w:rPr>
        <w:t xml:space="preserve"> tous les salariés éligibles présents au 30 </w:t>
      </w:r>
      <w:r w:rsidR="000A5D1D" w:rsidRPr="00DF7D13">
        <w:rPr>
          <w:rFonts w:cs="Arial"/>
          <w:sz w:val="20"/>
          <w:lang w:val="fr-FR"/>
        </w:rPr>
        <w:t>juin</w:t>
      </w:r>
      <w:r w:rsidRPr="00DF7D13">
        <w:rPr>
          <w:rFonts w:cs="Arial"/>
          <w:sz w:val="20"/>
          <w:lang w:val="fr-FR"/>
        </w:rPr>
        <w:t xml:space="preserve"> 202</w:t>
      </w:r>
      <w:r w:rsidR="007C6397" w:rsidRPr="00DF7D13">
        <w:rPr>
          <w:rFonts w:cs="Arial"/>
          <w:sz w:val="20"/>
          <w:lang w:val="fr-FR"/>
        </w:rPr>
        <w:t>2</w:t>
      </w:r>
      <w:r w:rsidRPr="00DF7D13">
        <w:rPr>
          <w:rFonts w:cs="Arial"/>
          <w:sz w:val="20"/>
          <w:lang w:val="fr-FR"/>
        </w:rPr>
        <w:t xml:space="preserve"> et toujours présents dans les effectifs à la date du 31 janvier 202</w:t>
      </w:r>
      <w:r w:rsidR="007C6397" w:rsidRPr="00DF7D13">
        <w:rPr>
          <w:rFonts w:cs="Arial"/>
          <w:sz w:val="20"/>
          <w:lang w:val="fr-FR"/>
        </w:rPr>
        <w:t>3</w:t>
      </w:r>
      <w:r w:rsidRPr="00DF7D13">
        <w:rPr>
          <w:rFonts w:cs="Arial"/>
          <w:sz w:val="20"/>
          <w:lang w:val="fr-FR"/>
        </w:rPr>
        <w:t>. Le salaire de base mensuel et la situation du salarié au 30 septembre 202</w:t>
      </w:r>
      <w:r w:rsidR="007C6397" w:rsidRPr="00DF7D13">
        <w:rPr>
          <w:rFonts w:cs="Arial"/>
          <w:sz w:val="20"/>
          <w:lang w:val="fr-FR"/>
        </w:rPr>
        <w:t>2</w:t>
      </w:r>
      <w:r w:rsidRPr="00DF7D13">
        <w:rPr>
          <w:rFonts w:cs="Arial"/>
          <w:sz w:val="20"/>
          <w:lang w:val="fr-FR"/>
        </w:rPr>
        <w:t xml:space="preserve"> détermineront le montant de la mesure salariale qui lui sera applicable.</w:t>
      </w:r>
    </w:p>
    <w:p w14:paraId="37D22135" w14:textId="77777777" w:rsidP="009277F2" w:rsidR="009277F2" w:rsidRDefault="009277F2" w:rsidRPr="00DF7D13">
      <w:pPr>
        <w:pStyle w:val="BodyText"/>
        <w:rPr>
          <w:rFonts w:cs="Arial"/>
          <w:sz w:val="20"/>
          <w:lang w:val="fr-FR"/>
        </w:rPr>
      </w:pPr>
    </w:p>
    <w:p w14:paraId="1350C699" w14:textId="03084B5B" w:rsidP="009277F2" w:rsidR="009277F2" w:rsidRDefault="00310336" w:rsidRPr="00DF7D13">
      <w:pPr>
        <w:pStyle w:val="BodyText"/>
        <w:ind w:left="360"/>
        <w:rPr>
          <w:rFonts w:cs="Arial"/>
          <w:sz w:val="20"/>
          <w:lang w:val="fr-FR"/>
        </w:rPr>
      </w:pPr>
      <w:r w:rsidRPr="00DF7D13">
        <w:rPr>
          <w:rFonts w:cs="Arial"/>
          <w:sz w:val="20"/>
          <w:lang w:val="fr-FR"/>
        </w:rPr>
        <w:t>Il est rappelé qu’e</w:t>
      </w:r>
      <w:r w:rsidR="009277F2" w:rsidRPr="00DF7D13">
        <w:rPr>
          <w:rFonts w:cs="Arial"/>
          <w:sz w:val="20"/>
          <w:lang w:val="fr-FR"/>
        </w:rPr>
        <w:t xml:space="preserve">n application des dispositions légales et règlementaires, les salariées en congé maternité </w:t>
      </w:r>
      <w:r w:rsidRPr="00DF7D13">
        <w:rPr>
          <w:rFonts w:cs="Arial"/>
          <w:sz w:val="20"/>
          <w:lang w:val="fr-FR"/>
        </w:rPr>
        <w:t xml:space="preserve">ainsi que les salariés en dispense d’activité rémunérée </w:t>
      </w:r>
      <w:r w:rsidR="00D45F3B" w:rsidRPr="00DF7D13">
        <w:rPr>
          <w:rFonts w:cs="Arial"/>
          <w:sz w:val="20"/>
          <w:lang w:val="fr-FR"/>
        </w:rPr>
        <w:t>à la suite d’inaptitude</w:t>
      </w:r>
      <w:r w:rsidRPr="00DF7D13">
        <w:rPr>
          <w:rFonts w:cs="Arial"/>
          <w:sz w:val="20"/>
          <w:lang w:val="fr-FR"/>
        </w:rPr>
        <w:t xml:space="preserve"> </w:t>
      </w:r>
      <w:r w:rsidR="009277F2" w:rsidRPr="00DF7D13">
        <w:rPr>
          <w:rFonts w:cs="Arial"/>
          <w:sz w:val="20"/>
          <w:lang w:val="fr-FR"/>
        </w:rPr>
        <w:t xml:space="preserve">bénéficient des augmentations </w:t>
      </w:r>
      <w:r w:rsidRPr="00DF7D13">
        <w:rPr>
          <w:rFonts w:cs="Arial"/>
          <w:sz w:val="20"/>
          <w:lang w:val="fr-FR"/>
        </w:rPr>
        <w:t>générales</w:t>
      </w:r>
      <w:r w:rsidR="009277F2" w:rsidRPr="00DF7D13">
        <w:rPr>
          <w:rFonts w:cs="Arial"/>
          <w:sz w:val="20"/>
          <w:lang w:val="fr-FR"/>
        </w:rPr>
        <w:t>.</w:t>
      </w:r>
    </w:p>
    <w:p w14:paraId="1CDF94FB" w14:textId="4BA63BBC" w:rsidP="009277F2" w:rsidR="009277F2" w:rsidRDefault="009277F2">
      <w:pPr>
        <w:pStyle w:val="BodyText"/>
        <w:rPr>
          <w:rFonts w:cs="Arial"/>
          <w:sz w:val="20"/>
          <w:lang w:val="fr-FR"/>
        </w:rPr>
      </w:pPr>
    </w:p>
    <w:p w14:paraId="486319E7" w14:textId="06680ED4" w:rsidP="009277F2" w:rsidR="009277F2" w:rsidRDefault="007C6397" w:rsidRPr="00DF7D13">
      <w:pPr>
        <w:pStyle w:val="BodyText"/>
        <w:rPr>
          <w:rFonts w:cs="Arial"/>
          <w:sz w:val="20"/>
          <w:lang w:val="fr-FR"/>
        </w:rPr>
      </w:pPr>
      <w:r w:rsidRPr="00DF7D13">
        <w:rPr>
          <w:rFonts w:cs="Arial"/>
          <w:sz w:val="20"/>
          <w:lang w:val="fr-FR"/>
        </w:rPr>
        <w:t>2</w:t>
      </w:r>
      <w:r w:rsidR="009277F2" w:rsidRPr="00DF7D13">
        <w:rPr>
          <w:rFonts w:cs="Arial"/>
          <w:sz w:val="20"/>
          <w:lang w:val="fr-FR"/>
        </w:rPr>
        <w:t xml:space="preserve">.3 </w:t>
      </w:r>
      <w:r w:rsidR="009277F2" w:rsidRPr="00DF7D13">
        <w:rPr>
          <w:rFonts w:cs="Arial"/>
          <w:sz w:val="20"/>
          <w:u w:val="single"/>
          <w:lang w:val="fr-FR"/>
        </w:rPr>
        <w:t>Modalités d’application</w:t>
      </w:r>
    </w:p>
    <w:p w14:paraId="1CE5A004" w14:textId="77777777" w:rsidP="009277F2" w:rsidR="009277F2" w:rsidRDefault="009277F2" w:rsidRPr="00DF7D13">
      <w:pPr>
        <w:pStyle w:val="BodyText"/>
        <w:rPr>
          <w:rFonts w:cs="Arial"/>
          <w:sz w:val="20"/>
          <w:lang w:val="fr-FR"/>
        </w:rPr>
      </w:pPr>
    </w:p>
    <w:p w14:paraId="30387EEA" w14:textId="01E91379" w:rsidP="009277F2" w:rsidR="009277F2" w:rsidRDefault="009277F2" w:rsidRPr="00DF7D13">
      <w:pPr>
        <w:pStyle w:val="BodyText"/>
        <w:ind w:left="360"/>
        <w:rPr>
          <w:rFonts w:cs="Arial"/>
          <w:sz w:val="20"/>
          <w:lang w:val="fr-FR"/>
        </w:rPr>
      </w:pPr>
      <w:r w:rsidRPr="00DF7D13">
        <w:rPr>
          <w:rFonts w:cs="Arial"/>
          <w:sz w:val="20"/>
          <w:lang w:val="fr-FR"/>
        </w:rPr>
        <w:t>C</w:t>
      </w:r>
      <w:r w:rsidR="00483E7D" w:rsidRPr="00DF7D13">
        <w:rPr>
          <w:rFonts w:cs="Arial"/>
          <w:sz w:val="20"/>
          <w:lang w:val="fr-FR"/>
        </w:rPr>
        <w:t>es</w:t>
      </w:r>
      <w:r w:rsidRPr="00DF7D13">
        <w:rPr>
          <w:rFonts w:cs="Arial"/>
          <w:sz w:val="20"/>
          <w:lang w:val="fr-FR"/>
        </w:rPr>
        <w:t xml:space="preserve"> mesure</w:t>
      </w:r>
      <w:r w:rsidR="00483E7D" w:rsidRPr="00DF7D13">
        <w:rPr>
          <w:rFonts w:cs="Arial"/>
          <w:sz w:val="20"/>
          <w:lang w:val="fr-FR"/>
        </w:rPr>
        <w:t>s</w:t>
      </w:r>
      <w:r w:rsidRPr="00DF7D13">
        <w:rPr>
          <w:rFonts w:cs="Arial"/>
          <w:sz w:val="20"/>
          <w:lang w:val="fr-FR"/>
        </w:rPr>
        <w:t xml:space="preserve"> ser</w:t>
      </w:r>
      <w:r w:rsidR="00483E7D" w:rsidRPr="00DF7D13">
        <w:rPr>
          <w:rFonts w:cs="Arial"/>
          <w:sz w:val="20"/>
          <w:lang w:val="fr-FR"/>
        </w:rPr>
        <w:t>ont</w:t>
      </w:r>
      <w:r w:rsidRPr="00DF7D13">
        <w:rPr>
          <w:rFonts w:cs="Arial"/>
          <w:sz w:val="20"/>
          <w:lang w:val="fr-FR"/>
        </w:rPr>
        <w:t xml:space="preserve"> applicable</w:t>
      </w:r>
      <w:r w:rsidR="00483E7D" w:rsidRPr="00DF7D13">
        <w:rPr>
          <w:rFonts w:cs="Arial"/>
          <w:sz w:val="20"/>
          <w:lang w:val="fr-FR"/>
        </w:rPr>
        <w:t>s</w:t>
      </w:r>
      <w:r w:rsidRPr="00DF7D13">
        <w:rPr>
          <w:rFonts w:cs="Arial"/>
          <w:sz w:val="20"/>
          <w:lang w:val="fr-FR"/>
        </w:rPr>
        <w:t xml:space="preserve"> </w:t>
      </w:r>
      <w:r w:rsidRPr="00DF7D13">
        <w:rPr>
          <w:rFonts w:cs="Arial"/>
          <w:sz w:val="20"/>
          <w:u w:val="single"/>
          <w:lang w:val="fr-FR"/>
        </w:rPr>
        <w:t>à compter du 1</w:t>
      </w:r>
      <w:r w:rsidRPr="00DF7D13">
        <w:rPr>
          <w:rFonts w:cs="Arial"/>
          <w:sz w:val="20"/>
          <w:u w:val="single"/>
          <w:vertAlign w:val="superscript"/>
          <w:lang w:val="fr-FR"/>
        </w:rPr>
        <w:t>er</w:t>
      </w:r>
      <w:r w:rsidRPr="00DF7D13">
        <w:rPr>
          <w:rFonts w:cs="Arial"/>
          <w:sz w:val="20"/>
          <w:u w:val="single"/>
          <w:lang w:val="fr-FR"/>
        </w:rPr>
        <w:t xml:space="preserve"> janvier 202</w:t>
      </w:r>
      <w:r w:rsidR="007F7C1A" w:rsidRPr="00DF7D13">
        <w:rPr>
          <w:rFonts w:cs="Arial"/>
          <w:sz w:val="20"/>
          <w:u w:val="single"/>
          <w:lang w:val="fr-FR"/>
        </w:rPr>
        <w:t>3</w:t>
      </w:r>
      <w:r w:rsidRPr="00DF7D13">
        <w:rPr>
          <w:rFonts w:cs="Arial"/>
          <w:sz w:val="20"/>
          <w:lang w:val="fr-FR"/>
        </w:rPr>
        <w:t xml:space="preserve">. </w:t>
      </w:r>
    </w:p>
    <w:p w14:paraId="02699919" w14:textId="77777777" w:rsidP="009277F2" w:rsidR="009277F2" w:rsidRDefault="009277F2" w:rsidRPr="00DF7D13">
      <w:pPr>
        <w:pStyle w:val="BodyText"/>
        <w:rPr>
          <w:rFonts w:cs="Arial"/>
          <w:sz w:val="20"/>
          <w:lang w:val="fr-FR"/>
        </w:rPr>
      </w:pPr>
    </w:p>
    <w:p w14:paraId="28230F80" w14:textId="23ABB4AD" w:rsidP="009277F2" w:rsidR="009277F2" w:rsidRDefault="009277F2" w:rsidRPr="00DF7D13">
      <w:pPr>
        <w:pStyle w:val="BodyText2"/>
        <w:ind w:left="360"/>
        <w:rPr>
          <w:rFonts w:ascii="Arial" w:cs="Arial" w:hAnsi="Arial"/>
          <w:color w:val="auto"/>
          <w:sz w:val="20"/>
        </w:rPr>
      </w:pPr>
      <w:r w:rsidRPr="00DF7D13">
        <w:rPr>
          <w:rFonts w:ascii="Arial" w:cs="Arial" w:hAnsi="Arial"/>
          <w:color w:val="auto"/>
          <w:sz w:val="20"/>
        </w:rPr>
        <w:t xml:space="preserve">Comme les années précédentes, la Direction entend reconduire à l’identique les modalités d’application des mesures salariales </w:t>
      </w:r>
      <w:r w:rsidR="00BE7967" w:rsidRPr="00DF7D13">
        <w:rPr>
          <w:rFonts w:ascii="Arial" w:cs="Arial" w:hAnsi="Arial"/>
          <w:color w:val="auto"/>
          <w:sz w:val="20"/>
        </w:rPr>
        <w:t>de manière à ce</w:t>
      </w:r>
      <w:r w:rsidRPr="00DF7D13">
        <w:rPr>
          <w:rFonts w:ascii="Arial" w:cs="Arial" w:hAnsi="Arial"/>
          <w:color w:val="auto"/>
          <w:sz w:val="20"/>
        </w:rPr>
        <w:t xml:space="preserve"> que celles-ci produisent un impact maximum. </w:t>
      </w:r>
    </w:p>
    <w:p w14:paraId="64167CEA" w14:textId="77777777" w:rsidP="009277F2" w:rsidR="009277F2" w:rsidRDefault="009277F2" w:rsidRPr="003B4BB9">
      <w:pPr>
        <w:pStyle w:val="BodyText"/>
        <w:rPr>
          <w:rFonts w:cs="Arial"/>
          <w:color w:themeColor="accent6" w:themeShade="BF" w:val="538135"/>
          <w:sz w:val="20"/>
          <w:lang w:val="fr-FR"/>
        </w:rPr>
      </w:pPr>
    </w:p>
    <w:p w14:paraId="466E489C" w14:textId="160E73EE" w:rsidP="00BE7967" w:rsidR="00BE7967" w:rsidRDefault="00BE7967" w:rsidRPr="00961A6E">
      <w:pPr>
        <w:pStyle w:val="BodyText"/>
        <w:ind w:left="360"/>
        <w:rPr>
          <w:rFonts w:cs="Arial"/>
          <w:sz w:val="20"/>
          <w:lang w:val="fr-FR"/>
        </w:rPr>
      </w:pPr>
      <w:r w:rsidRPr="00961A6E">
        <w:rPr>
          <w:rFonts w:cs="Arial"/>
          <w:sz w:val="20"/>
          <w:lang w:val="fr-FR"/>
        </w:rPr>
        <w:t xml:space="preserve">Ainsi, il est expressément prévu que les mesures liées à l’augmentation </w:t>
      </w:r>
      <w:r w:rsidR="00312187" w:rsidRPr="00961A6E">
        <w:rPr>
          <w:rFonts w:cs="Arial"/>
          <w:sz w:val="20"/>
          <w:lang w:val="fr-FR"/>
        </w:rPr>
        <w:t>individuelle</w:t>
      </w:r>
      <w:r w:rsidRPr="00961A6E">
        <w:rPr>
          <w:rFonts w:cs="Arial"/>
          <w:sz w:val="20"/>
          <w:lang w:val="fr-FR"/>
        </w:rPr>
        <w:t xml:space="preserve"> interviendront après les mesures d’augmentation </w:t>
      </w:r>
      <w:r w:rsidR="00EB436B" w:rsidRPr="00961A6E">
        <w:rPr>
          <w:rFonts w:cs="Arial"/>
          <w:sz w:val="20"/>
          <w:lang w:val="fr-FR"/>
        </w:rPr>
        <w:t>générale</w:t>
      </w:r>
      <w:r w:rsidRPr="00961A6E">
        <w:rPr>
          <w:rFonts w:cs="Arial"/>
          <w:sz w:val="20"/>
          <w:lang w:val="fr-FR"/>
        </w:rPr>
        <w:t xml:space="preserve"> pour </w:t>
      </w:r>
      <w:r w:rsidR="00EB436B" w:rsidRPr="00961A6E">
        <w:rPr>
          <w:rFonts w:cs="Arial"/>
          <w:sz w:val="20"/>
          <w:lang w:val="fr-FR"/>
        </w:rPr>
        <w:t>les salariés concernés</w:t>
      </w:r>
      <w:r w:rsidR="00E114D1" w:rsidRPr="00961A6E">
        <w:rPr>
          <w:rFonts w:cs="Arial"/>
          <w:sz w:val="20"/>
          <w:lang w:val="fr-FR"/>
        </w:rPr>
        <w:t>.</w:t>
      </w:r>
      <w:r w:rsidRPr="00961A6E">
        <w:rPr>
          <w:rFonts w:cs="Arial"/>
          <w:sz w:val="20"/>
          <w:lang w:val="fr-FR"/>
        </w:rPr>
        <w:t xml:space="preserve"> </w:t>
      </w:r>
    </w:p>
    <w:p w14:paraId="16B6D433" w14:textId="77777777" w:rsidP="00EC6A0C" w:rsidR="00EC6A0C" w:rsidRDefault="00EC6A0C" w:rsidRPr="00961A6E">
      <w:pPr>
        <w:pStyle w:val="BodyText"/>
        <w:rPr>
          <w:rFonts w:cs="Arial"/>
          <w:sz w:val="20"/>
          <w:highlight w:val="yellow"/>
          <w:lang w:val="fr-FR"/>
        </w:rPr>
      </w:pPr>
    </w:p>
    <w:p w14:paraId="686A047E" w14:textId="57F163AC" w:rsidP="00EC6A0C" w:rsidR="00EC6A0C" w:rsidRDefault="00EC6A0C" w:rsidRPr="00961A6E">
      <w:pPr>
        <w:pStyle w:val="BodyText"/>
        <w:ind w:left="360"/>
        <w:rPr>
          <w:rFonts w:cs="Arial"/>
          <w:sz w:val="20"/>
          <w:lang w:val="fr-FR"/>
        </w:rPr>
      </w:pPr>
      <w:r w:rsidRPr="00961A6E">
        <w:rPr>
          <w:rFonts w:cs="Arial"/>
          <w:sz w:val="20"/>
          <w:lang w:val="fr-FR"/>
        </w:rPr>
        <w:t xml:space="preserve">Les augmentations liées à des promotions ne sont pas prises en considération dans ces pourcentages d’augmentation visés à l’article </w:t>
      </w:r>
      <w:r w:rsidR="00312187" w:rsidRPr="00961A6E">
        <w:rPr>
          <w:rFonts w:cs="Arial"/>
          <w:sz w:val="20"/>
          <w:lang w:val="fr-FR"/>
        </w:rPr>
        <w:t>2</w:t>
      </w:r>
      <w:r w:rsidRPr="00961A6E">
        <w:rPr>
          <w:rFonts w:cs="Arial"/>
          <w:sz w:val="20"/>
          <w:lang w:val="fr-FR"/>
        </w:rPr>
        <w:t xml:space="preserve">.1. </w:t>
      </w:r>
    </w:p>
    <w:p w14:paraId="463B44E4" w14:textId="77777777" w:rsidP="00EC6A0C" w:rsidR="00EC6A0C" w:rsidRDefault="00EC6A0C" w:rsidRPr="00866566">
      <w:pPr>
        <w:pStyle w:val="BodyText"/>
        <w:ind w:left="360"/>
        <w:rPr>
          <w:rFonts w:cs="Arial"/>
          <w:sz w:val="20"/>
          <w:lang w:val="fr-FR"/>
        </w:rPr>
      </w:pPr>
    </w:p>
    <w:p w14:paraId="6ACEC6FA" w14:textId="27C8AE0E" w:rsidP="00EC6A0C" w:rsidR="00EC6A0C" w:rsidRDefault="00EC6A0C">
      <w:pPr>
        <w:ind w:left="360"/>
        <w:jc w:val="both"/>
        <w:rPr>
          <w:rFonts w:ascii="Arial" w:cs="Arial" w:hAnsi="Arial"/>
          <w:color w:themeColor="accent6" w:themeShade="BF" w:val="538135"/>
          <w:sz w:val="20"/>
          <w:szCs w:val="20"/>
          <w:lang w:eastAsia="fr-FR" w:val="fr-FR"/>
        </w:rPr>
      </w:pPr>
      <w:r w:rsidRPr="00961A6E">
        <w:rPr>
          <w:rFonts w:ascii="Arial" w:cs="Arial" w:hAnsi="Arial"/>
          <w:sz w:val="20"/>
          <w:szCs w:val="20"/>
          <w:lang w:eastAsia="fr-FR" w:val="fr-FR"/>
        </w:rPr>
        <w:t xml:space="preserve">Les augmentations individuelles </w:t>
      </w:r>
      <w:r w:rsidR="0099525A">
        <w:rPr>
          <w:rFonts w:ascii="Arial" w:cs="Arial" w:hAnsi="Arial"/>
          <w:sz w:val="20"/>
          <w:szCs w:val="20"/>
          <w:lang w:eastAsia="fr-FR" w:val="fr-FR"/>
        </w:rPr>
        <w:t xml:space="preserve">et générales </w:t>
      </w:r>
      <w:r w:rsidRPr="00961A6E">
        <w:rPr>
          <w:rFonts w:ascii="Arial" w:cs="Arial" w:hAnsi="Arial"/>
          <w:sz w:val="20"/>
          <w:szCs w:val="20"/>
          <w:lang w:eastAsia="fr-FR" w:val="fr-FR"/>
        </w:rPr>
        <w:t>seront précisées au cours d’un entretien entre chaque salarié et son supérieur hiérarchique</w:t>
      </w:r>
      <w:r w:rsidR="00961A6E">
        <w:rPr>
          <w:rFonts w:ascii="Arial" w:cs="Arial" w:hAnsi="Arial"/>
          <w:color w:themeColor="accent6" w:themeShade="BF" w:val="538135"/>
          <w:sz w:val="20"/>
          <w:szCs w:val="20"/>
          <w:lang w:eastAsia="fr-FR" w:val="fr-FR"/>
        </w:rPr>
        <w:t>.</w:t>
      </w:r>
      <w:r w:rsidR="00C24FCB" w:rsidRPr="003B1569">
        <w:rPr>
          <w:rFonts w:ascii="Arial" w:cs="Arial" w:hAnsi="Arial"/>
          <w:color w:themeColor="accent6" w:themeShade="BF" w:val="538135"/>
          <w:sz w:val="20"/>
          <w:szCs w:val="20"/>
          <w:lang w:eastAsia="fr-FR" w:val="fr-FR"/>
        </w:rPr>
        <w:t xml:space="preserve"> </w:t>
      </w:r>
    </w:p>
    <w:p w14:paraId="17467BF9" w14:textId="060EB9E8" w:rsidP="00EC6A0C" w:rsidR="00BF0825" w:rsidRDefault="00BF0825">
      <w:pPr>
        <w:ind w:left="360"/>
        <w:jc w:val="both"/>
        <w:rPr>
          <w:rFonts w:ascii="Arial" w:cs="Arial" w:hAnsi="Arial"/>
          <w:color w:themeColor="accent6" w:themeShade="BF" w:val="538135"/>
          <w:sz w:val="20"/>
          <w:szCs w:val="20"/>
          <w:lang w:eastAsia="fr-FR" w:val="fr-FR"/>
        </w:rPr>
      </w:pPr>
    </w:p>
    <w:p w14:paraId="6F5EFE9E" w14:textId="0D3D4C37" w:rsidP="006D48B6" w:rsidR="006D48B6" w:rsidRDefault="00BF0825">
      <w:pPr>
        <w:ind w:left="360"/>
        <w:jc w:val="both"/>
        <w:rPr>
          <w:rFonts w:ascii="Arial" w:cs="Arial" w:hAnsi="Arial"/>
          <w:sz w:val="20"/>
          <w:szCs w:val="20"/>
          <w:lang w:eastAsia="fr-FR" w:val="fr-FR"/>
        </w:rPr>
      </w:pPr>
      <w:r w:rsidRPr="005961DF">
        <w:rPr>
          <w:rFonts w:ascii="Arial" w:cs="Arial" w:hAnsi="Arial"/>
          <w:sz w:val="20"/>
          <w:szCs w:val="20"/>
          <w:lang w:eastAsia="fr-FR" w:val="fr-FR"/>
        </w:rPr>
        <w:t>Pour reconnaitre la performance</w:t>
      </w:r>
      <w:r w:rsidR="00B03E84">
        <w:rPr>
          <w:rFonts w:ascii="Arial" w:cs="Arial" w:hAnsi="Arial"/>
          <w:sz w:val="20"/>
          <w:szCs w:val="20"/>
          <w:lang w:eastAsia="fr-FR" w:val="fr-FR"/>
        </w:rPr>
        <w:t xml:space="preserve"> professionnelle</w:t>
      </w:r>
      <w:r w:rsidR="006E21F4" w:rsidRPr="005961DF">
        <w:rPr>
          <w:rFonts w:ascii="Arial" w:cs="Arial" w:hAnsi="Arial"/>
          <w:sz w:val="20"/>
          <w:szCs w:val="20"/>
          <w:lang w:eastAsia="fr-FR" w:val="fr-FR"/>
        </w:rPr>
        <w:t>,</w:t>
      </w:r>
      <w:r w:rsidRPr="005961DF">
        <w:rPr>
          <w:rFonts w:ascii="Arial" w:cs="Arial" w:hAnsi="Arial"/>
          <w:sz w:val="20"/>
          <w:szCs w:val="20"/>
          <w:lang w:eastAsia="fr-FR" w:val="fr-FR"/>
        </w:rPr>
        <w:t xml:space="preserve"> le supérieur hiérarchique s’appuie sur les </w:t>
      </w:r>
      <w:r w:rsidR="006E21F4" w:rsidRPr="005961DF">
        <w:rPr>
          <w:rFonts w:ascii="Arial" w:cs="Arial" w:hAnsi="Arial"/>
          <w:sz w:val="20"/>
          <w:szCs w:val="20"/>
          <w:lang w:eastAsia="fr-FR" w:val="fr-FR"/>
        </w:rPr>
        <w:t>différents</w:t>
      </w:r>
      <w:r w:rsidR="006D48B6">
        <w:rPr>
          <w:rFonts w:ascii="Arial" w:cs="Arial" w:hAnsi="Arial"/>
          <w:sz w:val="20"/>
          <w:szCs w:val="20"/>
          <w:lang w:eastAsia="fr-FR" w:val="fr-FR"/>
        </w:rPr>
        <w:t xml:space="preserve"> feedbacks</w:t>
      </w:r>
      <w:r w:rsidR="00F82A19">
        <w:rPr>
          <w:rFonts w:ascii="Arial" w:cs="Arial" w:hAnsi="Arial"/>
          <w:sz w:val="20"/>
          <w:szCs w:val="20"/>
          <w:lang w:eastAsia="fr-FR" w:val="fr-FR"/>
        </w:rPr>
        <w:t>,</w:t>
      </w:r>
      <w:r w:rsidR="006D48B6">
        <w:rPr>
          <w:rFonts w:ascii="Arial" w:cs="Arial" w:hAnsi="Arial"/>
          <w:sz w:val="20"/>
          <w:szCs w:val="20"/>
          <w:lang w:eastAsia="fr-FR" w:val="fr-FR"/>
        </w:rPr>
        <w:t xml:space="preserve"> aujourd’hui valorisés sous la forme de </w:t>
      </w:r>
      <w:proofErr w:type="spellStart"/>
      <w:r w:rsidR="005961DF" w:rsidRPr="005961DF">
        <w:rPr>
          <w:rFonts w:ascii="Arial" w:cs="Arial" w:hAnsi="Arial"/>
          <w:sz w:val="20"/>
          <w:szCs w:val="20"/>
          <w:lang w:eastAsia="fr-FR" w:val="fr-FR"/>
        </w:rPr>
        <w:t>Q</w:t>
      </w:r>
      <w:r w:rsidRPr="005961DF">
        <w:rPr>
          <w:rFonts w:ascii="Arial" w:cs="Arial" w:hAnsi="Arial"/>
          <w:sz w:val="20"/>
          <w:szCs w:val="20"/>
          <w:lang w:eastAsia="fr-FR" w:val="fr-FR"/>
        </w:rPr>
        <w:t>uality</w:t>
      </w:r>
      <w:proofErr w:type="spellEnd"/>
      <w:r w:rsidRPr="005961DF">
        <w:rPr>
          <w:rFonts w:ascii="Arial" w:cs="Arial" w:hAnsi="Arial"/>
          <w:sz w:val="20"/>
          <w:szCs w:val="20"/>
          <w:lang w:eastAsia="fr-FR" w:val="fr-FR"/>
        </w:rPr>
        <w:t xml:space="preserve"> </w:t>
      </w:r>
      <w:r w:rsidR="005961DF" w:rsidRPr="005961DF">
        <w:rPr>
          <w:rFonts w:ascii="Arial" w:cs="Arial" w:hAnsi="Arial"/>
          <w:sz w:val="20"/>
          <w:szCs w:val="20"/>
          <w:lang w:eastAsia="fr-FR" w:val="fr-FR"/>
        </w:rPr>
        <w:t>C</w:t>
      </w:r>
      <w:r w:rsidRPr="005961DF">
        <w:rPr>
          <w:rFonts w:ascii="Arial" w:cs="Arial" w:hAnsi="Arial"/>
          <w:sz w:val="20"/>
          <w:szCs w:val="20"/>
          <w:lang w:eastAsia="fr-FR" w:val="fr-FR"/>
        </w:rPr>
        <w:t>onversations (QC)</w:t>
      </w:r>
      <w:r w:rsidR="00F82A19">
        <w:rPr>
          <w:rFonts w:ascii="Arial" w:cs="Arial" w:hAnsi="Arial"/>
          <w:sz w:val="20"/>
          <w:szCs w:val="20"/>
          <w:lang w:eastAsia="fr-FR" w:val="fr-FR"/>
        </w:rPr>
        <w:t>,</w:t>
      </w:r>
      <w:r w:rsidRPr="005961DF">
        <w:rPr>
          <w:rFonts w:ascii="Arial" w:cs="Arial" w:hAnsi="Arial"/>
          <w:sz w:val="20"/>
          <w:szCs w:val="20"/>
          <w:lang w:eastAsia="fr-FR" w:val="fr-FR"/>
        </w:rPr>
        <w:t xml:space="preserve"> réalisés </w:t>
      </w:r>
      <w:r w:rsidR="006E21F4" w:rsidRPr="005961DF">
        <w:rPr>
          <w:rFonts w:ascii="Arial" w:cs="Arial" w:hAnsi="Arial"/>
          <w:sz w:val="20"/>
          <w:szCs w:val="20"/>
          <w:lang w:eastAsia="fr-FR" w:val="fr-FR"/>
        </w:rPr>
        <w:t>avec le salarié tout au long de l’année</w:t>
      </w:r>
      <w:r w:rsidR="003B63F2" w:rsidRPr="003B63F2">
        <w:rPr>
          <w:rFonts w:ascii="Arial" w:cs="Arial" w:hAnsi="Arial"/>
          <w:sz w:val="20"/>
          <w:szCs w:val="20"/>
          <w:lang w:eastAsia="fr-FR" w:val="fr-FR"/>
        </w:rPr>
        <w:t xml:space="preserve"> </w:t>
      </w:r>
      <w:r w:rsidR="003B63F2" w:rsidRPr="005961DF">
        <w:rPr>
          <w:rFonts w:ascii="Arial" w:cs="Arial" w:hAnsi="Arial"/>
          <w:sz w:val="20"/>
          <w:szCs w:val="20"/>
          <w:lang w:eastAsia="fr-FR" w:val="fr-FR"/>
        </w:rPr>
        <w:t xml:space="preserve">en </w:t>
      </w:r>
      <w:r w:rsidR="003B63F2">
        <w:rPr>
          <w:rFonts w:ascii="Arial" w:cs="Arial" w:hAnsi="Arial"/>
          <w:sz w:val="20"/>
          <w:szCs w:val="20"/>
          <w:lang w:eastAsia="fr-FR" w:val="fr-FR"/>
        </w:rPr>
        <w:t xml:space="preserve">y </w:t>
      </w:r>
      <w:r w:rsidR="003B63F2" w:rsidRPr="005961DF">
        <w:rPr>
          <w:rFonts w:ascii="Arial" w:cs="Arial" w:hAnsi="Arial"/>
          <w:sz w:val="20"/>
          <w:szCs w:val="20"/>
          <w:lang w:eastAsia="fr-FR" w:val="fr-FR"/>
        </w:rPr>
        <w:t>intégrant le regard de</w:t>
      </w:r>
      <w:r w:rsidR="006D48B6">
        <w:rPr>
          <w:rFonts w:ascii="Arial" w:cs="Arial" w:hAnsi="Arial"/>
          <w:sz w:val="20"/>
          <w:szCs w:val="20"/>
          <w:lang w:eastAsia="fr-FR" w:val="fr-FR"/>
        </w:rPr>
        <w:t>s</w:t>
      </w:r>
      <w:r w:rsidR="003B63F2" w:rsidRPr="005961DF">
        <w:rPr>
          <w:rFonts w:ascii="Arial" w:cs="Arial" w:hAnsi="Arial"/>
          <w:sz w:val="20"/>
          <w:szCs w:val="20"/>
          <w:lang w:eastAsia="fr-FR" w:val="fr-FR"/>
        </w:rPr>
        <w:t xml:space="preserve"> différentes parties prenantes</w:t>
      </w:r>
      <w:r w:rsidR="00344C2B" w:rsidRPr="005961DF">
        <w:rPr>
          <w:rFonts w:ascii="Arial" w:cs="Arial" w:hAnsi="Arial"/>
          <w:sz w:val="20"/>
          <w:szCs w:val="20"/>
          <w:lang w:eastAsia="fr-FR" w:val="fr-FR"/>
        </w:rPr>
        <w:t xml:space="preserve">. </w:t>
      </w:r>
      <w:r w:rsidR="00594A1C">
        <w:rPr>
          <w:rFonts w:ascii="Arial" w:cs="Arial" w:hAnsi="Arial"/>
          <w:sz w:val="20"/>
          <w:szCs w:val="20"/>
          <w:lang w:eastAsia="fr-FR" w:val="fr-FR"/>
        </w:rPr>
        <w:t>C</w:t>
      </w:r>
      <w:r w:rsidR="00344C2B" w:rsidRPr="005961DF">
        <w:rPr>
          <w:rFonts w:ascii="Arial" w:cs="Arial" w:hAnsi="Arial"/>
          <w:sz w:val="20"/>
          <w:szCs w:val="20"/>
          <w:lang w:eastAsia="fr-FR" w:val="fr-FR"/>
        </w:rPr>
        <w:t>es Q</w:t>
      </w:r>
      <w:r w:rsidR="008A48D0">
        <w:rPr>
          <w:rFonts w:ascii="Arial" w:cs="Arial" w:hAnsi="Arial"/>
          <w:sz w:val="20"/>
          <w:szCs w:val="20"/>
          <w:lang w:eastAsia="fr-FR" w:val="fr-FR"/>
        </w:rPr>
        <w:t>C</w:t>
      </w:r>
      <w:r w:rsidR="003B63F2">
        <w:rPr>
          <w:rFonts w:ascii="Arial" w:cs="Arial" w:hAnsi="Arial"/>
          <w:sz w:val="20"/>
          <w:szCs w:val="20"/>
          <w:lang w:eastAsia="fr-FR" w:val="fr-FR"/>
        </w:rPr>
        <w:t xml:space="preserve"> régulières</w:t>
      </w:r>
      <w:r w:rsidR="00344C2B" w:rsidRPr="005961DF">
        <w:rPr>
          <w:rFonts w:ascii="Arial" w:cs="Arial" w:hAnsi="Arial"/>
          <w:sz w:val="20"/>
          <w:szCs w:val="20"/>
          <w:lang w:eastAsia="fr-FR" w:val="fr-FR"/>
        </w:rPr>
        <w:t xml:space="preserve"> </w:t>
      </w:r>
      <w:r w:rsidR="00161DDC">
        <w:rPr>
          <w:rFonts w:ascii="Arial" w:cs="Arial" w:hAnsi="Arial"/>
          <w:sz w:val="20"/>
          <w:szCs w:val="20"/>
          <w:lang w:eastAsia="fr-FR" w:val="fr-FR"/>
        </w:rPr>
        <w:t>permettent</w:t>
      </w:r>
      <w:r w:rsidR="00E74A3F">
        <w:rPr>
          <w:rFonts w:ascii="Arial" w:cs="Arial" w:hAnsi="Arial"/>
          <w:sz w:val="20"/>
          <w:szCs w:val="20"/>
          <w:lang w:eastAsia="fr-FR" w:val="fr-FR"/>
        </w:rPr>
        <w:t>,</w:t>
      </w:r>
      <w:r w:rsidR="00161DDC">
        <w:rPr>
          <w:rFonts w:ascii="Arial" w:cs="Arial" w:hAnsi="Arial"/>
          <w:sz w:val="20"/>
          <w:szCs w:val="20"/>
          <w:lang w:eastAsia="fr-FR" w:val="fr-FR"/>
        </w:rPr>
        <w:t xml:space="preserve"> </w:t>
      </w:r>
      <w:r w:rsidR="00161DDC" w:rsidRPr="005961DF">
        <w:rPr>
          <w:rFonts w:ascii="Arial" w:cs="Arial" w:hAnsi="Arial"/>
          <w:sz w:val="20"/>
          <w:szCs w:val="20"/>
          <w:lang w:eastAsia="fr-FR" w:val="fr-FR"/>
        </w:rPr>
        <w:t>notamment</w:t>
      </w:r>
      <w:r w:rsidR="006D48B6">
        <w:rPr>
          <w:rFonts w:ascii="Arial" w:cs="Arial" w:hAnsi="Arial"/>
          <w:sz w:val="20"/>
          <w:szCs w:val="20"/>
          <w:lang w:eastAsia="fr-FR" w:val="fr-FR"/>
        </w:rPr>
        <w:t>,</w:t>
      </w:r>
      <w:r w:rsidR="00161DDC">
        <w:rPr>
          <w:rFonts w:ascii="Arial" w:cs="Arial" w:hAnsi="Arial"/>
          <w:sz w:val="20"/>
          <w:szCs w:val="20"/>
          <w:lang w:eastAsia="fr-FR" w:val="fr-FR"/>
        </w:rPr>
        <w:t xml:space="preserve"> à chaque </w:t>
      </w:r>
      <w:r w:rsidR="0001083D">
        <w:rPr>
          <w:rFonts w:ascii="Arial" w:cs="Arial" w:hAnsi="Arial"/>
          <w:sz w:val="20"/>
          <w:szCs w:val="20"/>
          <w:lang w:eastAsia="fr-FR" w:val="fr-FR"/>
        </w:rPr>
        <w:t>supérieur hiérarchique</w:t>
      </w:r>
      <w:r w:rsidR="006D48B6">
        <w:rPr>
          <w:rFonts w:ascii="Arial" w:cs="Arial" w:hAnsi="Arial"/>
          <w:sz w:val="20"/>
          <w:szCs w:val="20"/>
          <w:lang w:eastAsia="fr-FR" w:val="fr-FR"/>
        </w:rPr>
        <w:t xml:space="preserve">, </w:t>
      </w:r>
      <w:r w:rsidR="009A2621">
        <w:rPr>
          <w:rFonts w:ascii="Arial" w:cs="Arial" w:hAnsi="Arial"/>
          <w:sz w:val="20"/>
          <w:szCs w:val="20"/>
          <w:lang w:eastAsia="fr-FR" w:val="fr-FR"/>
        </w:rPr>
        <w:t xml:space="preserve">de mesurer et </w:t>
      </w:r>
      <w:r w:rsidR="006D48B6">
        <w:rPr>
          <w:rFonts w:ascii="Arial" w:cs="Arial" w:hAnsi="Arial"/>
          <w:sz w:val="20"/>
          <w:szCs w:val="20"/>
          <w:lang w:eastAsia="fr-FR" w:val="fr-FR"/>
        </w:rPr>
        <w:t>d’accompagner la performance de chaque salarié au regard des attendus</w:t>
      </w:r>
      <w:r w:rsidR="0001083D">
        <w:rPr>
          <w:rFonts w:ascii="Arial" w:cs="Arial" w:hAnsi="Arial"/>
          <w:sz w:val="20"/>
          <w:szCs w:val="20"/>
          <w:lang w:eastAsia="fr-FR" w:val="fr-FR"/>
        </w:rPr>
        <w:t xml:space="preserve"> (missions, et objectifs le cas échéant),</w:t>
      </w:r>
      <w:r w:rsidR="00F82A19">
        <w:rPr>
          <w:rFonts w:ascii="Arial" w:cs="Arial" w:hAnsi="Arial"/>
          <w:sz w:val="20"/>
          <w:szCs w:val="20"/>
          <w:lang w:eastAsia="fr-FR" w:val="fr-FR"/>
        </w:rPr>
        <w:t xml:space="preserve"> et</w:t>
      </w:r>
      <w:r w:rsidR="006D48B6">
        <w:rPr>
          <w:rFonts w:ascii="Arial" w:cs="Arial" w:hAnsi="Arial"/>
          <w:sz w:val="20"/>
          <w:szCs w:val="20"/>
          <w:lang w:eastAsia="fr-FR" w:val="fr-FR"/>
        </w:rPr>
        <w:t xml:space="preserve"> selon ses </w:t>
      </w:r>
      <w:r w:rsidR="006D48B6" w:rsidRPr="005961DF">
        <w:rPr>
          <w:rFonts w:ascii="Arial" w:cs="Arial" w:hAnsi="Arial"/>
          <w:sz w:val="20"/>
          <w:szCs w:val="20"/>
          <w:lang w:eastAsia="fr-FR" w:val="fr-FR"/>
        </w:rPr>
        <w:t>compétences professionnelles (savoir-faire) et comportementales (savoir-être)</w:t>
      </w:r>
      <w:r w:rsidR="006D48B6">
        <w:rPr>
          <w:rFonts w:ascii="Arial" w:cs="Arial" w:hAnsi="Arial"/>
          <w:sz w:val="20"/>
          <w:szCs w:val="20"/>
          <w:lang w:eastAsia="fr-FR" w:val="fr-FR"/>
        </w:rPr>
        <w:t xml:space="preserve">. </w:t>
      </w:r>
    </w:p>
    <w:p w14:paraId="7BD9085D" w14:textId="77777777" w:rsidP="006D48B6" w:rsidR="006D48B6" w:rsidRDefault="006D48B6">
      <w:pPr>
        <w:ind w:left="360"/>
        <w:jc w:val="both"/>
        <w:rPr>
          <w:rFonts w:ascii="Arial" w:cs="Arial" w:hAnsi="Arial"/>
          <w:sz w:val="20"/>
          <w:szCs w:val="20"/>
          <w:lang w:eastAsia="fr-FR" w:val="fr-FR"/>
        </w:rPr>
      </w:pPr>
    </w:p>
    <w:p w14:paraId="4C3EA802" w14:textId="41328E35" w:rsidP="006D48B6" w:rsidR="006D48B6" w:rsidRDefault="006D48B6" w:rsidRPr="005961DF">
      <w:pPr>
        <w:ind w:left="360"/>
        <w:jc w:val="both"/>
        <w:rPr>
          <w:rFonts w:ascii="Arial" w:cs="Arial" w:hAnsi="Arial"/>
          <w:sz w:val="20"/>
          <w:szCs w:val="20"/>
          <w:lang w:eastAsia="fr-FR" w:val="fr-FR"/>
        </w:rPr>
      </w:pPr>
      <w:r w:rsidRPr="002B2420">
        <w:rPr>
          <w:rFonts w:ascii="Arial" w:cs="Arial" w:hAnsi="Arial"/>
          <w:sz w:val="20"/>
          <w:szCs w:val="20"/>
          <w:lang w:eastAsia="fr-FR" w:val="fr-FR"/>
        </w:rPr>
        <w:t xml:space="preserve">Ainsi, les critères d’attribution de ces augmentations </w:t>
      </w:r>
      <w:r w:rsidR="00156F4C" w:rsidRPr="002B2420">
        <w:rPr>
          <w:rFonts w:ascii="Arial" w:cs="Arial" w:hAnsi="Arial"/>
          <w:sz w:val="20"/>
          <w:szCs w:val="20"/>
          <w:lang w:eastAsia="fr-FR" w:val="fr-FR"/>
        </w:rPr>
        <w:t xml:space="preserve">individuelles </w:t>
      </w:r>
      <w:r w:rsidRPr="002B2420">
        <w:rPr>
          <w:rFonts w:ascii="Arial" w:cs="Arial" w:hAnsi="Arial"/>
          <w:sz w:val="20"/>
          <w:szCs w:val="20"/>
          <w:lang w:eastAsia="fr-FR" w:val="fr-FR"/>
        </w:rPr>
        <w:t>sont multiples et peuvent varier selon la nature de l’activité du salarié et son niveau de responsabilités. Ces critères permettent de différencier le poids de la contribution de chacun qui se reflète dans le pourcentage d’augmentation attribué.</w:t>
      </w:r>
      <w:r w:rsidRPr="005961DF">
        <w:rPr>
          <w:rFonts w:ascii="Arial" w:cs="Arial" w:hAnsi="Arial"/>
          <w:sz w:val="20"/>
          <w:szCs w:val="20"/>
          <w:lang w:eastAsia="fr-FR" w:val="fr-FR"/>
        </w:rPr>
        <w:t xml:space="preserve"> </w:t>
      </w:r>
    </w:p>
    <w:p w14:paraId="1BD5F828" w14:textId="5DCF9820" w:rsidP="006E21F4" w:rsidR="006D48B6" w:rsidRDefault="006D48B6">
      <w:pPr>
        <w:ind w:left="360"/>
        <w:jc w:val="both"/>
        <w:rPr>
          <w:rFonts w:ascii="Arial" w:cs="Arial" w:hAnsi="Arial"/>
          <w:sz w:val="20"/>
          <w:szCs w:val="20"/>
          <w:lang w:eastAsia="fr-FR" w:val="fr-FR"/>
        </w:rPr>
      </w:pPr>
    </w:p>
    <w:p w14:paraId="3397E7A2" w14:textId="75D306AD" w:rsidP="00F63B5E" w:rsidR="00F63B5E" w:rsidRDefault="00F63B5E" w:rsidRPr="00F63B5E">
      <w:pPr>
        <w:ind w:left="360"/>
        <w:jc w:val="both"/>
        <w:rPr>
          <w:rFonts w:ascii="Arial" w:cs="Arial" w:hAnsi="Arial"/>
          <w:sz w:val="20"/>
          <w:szCs w:val="20"/>
          <w:lang w:eastAsia="fr-FR" w:val="fr-FR"/>
        </w:rPr>
      </w:pPr>
      <w:r w:rsidRPr="00F63B5E">
        <w:rPr>
          <w:rFonts w:ascii="Arial" w:cs="Arial" w:hAnsi="Arial"/>
          <w:sz w:val="20"/>
          <w:szCs w:val="20"/>
          <w:lang w:eastAsia="fr-FR" w:val="fr-FR"/>
        </w:rPr>
        <w:t xml:space="preserve">Doivent notamment être pris en compte des éléments liés aux </w:t>
      </w:r>
      <w:r w:rsidRPr="00F63B5E">
        <w:rPr>
          <w:rFonts w:ascii="Arial" w:cs="Arial" w:hAnsi="Arial"/>
          <w:sz w:val="20"/>
          <w:szCs w:val="20"/>
          <w:u w:val="single"/>
          <w:lang w:eastAsia="fr-FR" w:val="fr-FR"/>
        </w:rPr>
        <w:t>savoirs faire</w:t>
      </w:r>
      <w:r w:rsidRPr="00F63B5E">
        <w:rPr>
          <w:rFonts w:ascii="Arial" w:cs="Arial" w:hAnsi="Arial"/>
          <w:sz w:val="20"/>
          <w:szCs w:val="20"/>
          <w:lang w:eastAsia="fr-FR" w:val="fr-FR"/>
        </w:rPr>
        <w:t xml:space="preserve"> individuels dans l’exécution du poste. Il s’agit notamment du niveau de maîtrise des connaissances et compétences et de la qualité du travail nécessaire à une exécution conforme aux attentes. </w:t>
      </w:r>
    </w:p>
    <w:p w14:paraId="659E0326" w14:textId="77777777" w:rsidP="00F63B5E" w:rsidR="00F63B5E" w:rsidRDefault="00F63B5E" w:rsidRPr="00F63B5E">
      <w:pPr>
        <w:ind w:left="360"/>
        <w:jc w:val="both"/>
        <w:rPr>
          <w:rFonts w:ascii="Arial" w:cs="Arial" w:hAnsi="Arial"/>
          <w:sz w:val="20"/>
          <w:szCs w:val="20"/>
          <w:lang w:eastAsia="fr-FR" w:val="fr-FR"/>
        </w:rPr>
      </w:pPr>
    </w:p>
    <w:p w14:paraId="79EBA5B6" w14:textId="77777777" w:rsidP="00F63B5E" w:rsidR="00F63B5E" w:rsidRDefault="00F63B5E" w:rsidRPr="00F63B5E">
      <w:pPr>
        <w:ind w:left="360"/>
        <w:jc w:val="both"/>
        <w:rPr>
          <w:rFonts w:ascii="Arial" w:cs="Arial" w:hAnsi="Arial"/>
          <w:sz w:val="20"/>
          <w:szCs w:val="20"/>
          <w:lang w:eastAsia="fr-FR" w:val="fr-FR"/>
        </w:rPr>
      </w:pPr>
      <w:r w:rsidRPr="00F63B5E">
        <w:rPr>
          <w:rFonts w:ascii="Arial" w:cs="Arial" w:hAnsi="Arial"/>
          <w:sz w:val="20"/>
          <w:szCs w:val="20"/>
          <w:lang w:eastAsia="fr-FR" w:val="fr-FR"/>
        </w:rPr>
        <w:t xml:space="preserve">Doivent aussi être pris en compte des éléments liés aux </w:t>
      </w:r>
      <w:r w:rsidRPr="00F63B5E">
        <w:rPr>
          <w:rFonts w:ascii="Arial" w:cs="Arial" w:hAnsi="Arial"/>
          <w:sz w:val="20"/>
          <w:szCs w:val="20"/>
          <w:u w:val="single"/>
          <w:lang w:eastAsia="fr-FR" w:val="fr-FR"/>
        </w:rPr>
        <w:t>savoirs être</w:t>
      </w:r>
      <w:r w:rsidRPr="00F63B5E">
        <w:rPr>
          <w:rFonts w:ascii="Arial" w:cs="Arial" w:hAnsi="Arial"/>
          <w:sz w:val="20"/>
          <w:szCs w:val="20"/>
          <w:lang w:eastAsia="fr-FR" w:val="fr-FR"/>
        </w:rPr>
        <w:t xml:space="preserve"> dans l’exécution du poste. Il s’agit notamment du respect des horaires de travail, respect des consignes et procédures applicables, du respect des échéances dès lors qu’elles sont réalisables, de l’interaction avec les autres membres de l’équipe reflétant l’esprit d’équipe et de collaboration y compris vis-à-vis de la hiérarchie et de l’interaction avec les visiteurs. </w:t>
      </w:r>
    </w:p>
    <w:p w14:paraId="6041404F" w14:textId="77777777" w:rsidP="00F63B5E" w:rsidR="00F63B5E" w:rsidRDefault="00F63B5E" w:rsidRPr="00F63B5E">
      <w:pPr>
        <w:ind w:left="360"/>
        <w:jc w:val="both"/>
        <w:rPr>
          <w:rFonts w:ascii="Arial" w:cs="Arial" w:hAnsi="Arial"/>
          <w:sz w:val="20"/>
          <w:szCs w:val="20"/>
          <w:lang w:eastAsia="fr-FR" w:val="fr-FR"/>
        </w:rPr>
      </w:pPr>
    </w:p>
    <w:p w14:paraId="424D0704" w14:textId="77777777" w:rsidP="00F63B5E" w:rsidR="00F63B5E" w:rsidRDefault="00F63B5E" w:rsidRPr="00F63B5E">
      <w:pPr>
        <w:ind w:left="360"/>
        <w:jc w:val="both"/>
        <w:rPr>
          <w:rFonts w:ascii="Arial" w:cs="Arial" w:hAnsi="Arial"/>
          <w:sz w:val="20"/>
          <w:szCs w:val="20"/>
          <w:lang w:eastAsia="fr-FR" w:val="fr-FR"/>
        </w:rPr>
      </w:pPr>
      <w:r w:rsidRPr="00F63B5E">
        <w:rPr>
          <w:rFonts w:ascii="Arial" w:cs="Arial" w:hAnsi="Arial"/>
          <w:sz w:val="20"/>
          <w:szCs w:val="20"/>
          <w:lang w:eastAsia="fr-FR" w:val="fr-FR"/>
        </w:rPr>
        <w:t xml:space="preserve">Ces éléments de savoir-faire et de savoir être permettent d’évaluer la contribution individuelle au service d’une performance collective d’un service, d’une direction ou plus largement de l’Entreprise en fonction du niveau de responsabilités. </w:t>
      </w:r>
    </w:p>
    <w:p w14:paraId="6EFF63D9" w14:textId="77777777" w:rsidP="006E21F4" w:rsidR="00F63B5E" w:rsidRDefault="00F63B5E">
      <w:pPr>
        <w:ind w:left="360"/>
        <w:jc w:val="both"/>
        <w:rPr>
          <w:rFonts w:ascii="Arial" w:cs="Arial" w:hAnsi="Arial"/>
          <w:sz w:val="20"/>
          <w:szCs w:val="20"/>
          <w:lang w:eastAsia="fr-FR" w:val="fr-FR"/>
        </w:rPr>
      </w:pPr>
    </w:p>
    <w:p w14:paraId="1EEBA7F2" w14:textId="77777777" w:rsidP="00EC6A0C" w:rsidR="00EC6A0C" w:rsidRDefault="00EC6A0C" w:rsidRPr="00CF2FDD">
      <w:pPr>
        <w:ind w:left="360"/>
        <w:jc w:val="both"/>
        <w:rPr>
          <w:rFonts w:ascii="Arial" w:cs="Arial" w:hAnsi="Arial"/>
          <w:sz w:val="20"/>
          <w:szCs w:val="20"/>
          <w:lang w:eastAsia="fr-FR" w:val="fr-FR"/>
        </w:rPr>
      </w:pPr>
      <w:r w:rsidRPr="00CF2FDD">
        <w:rPr>
          <w:rFonts w:ascii="Arial" w:cs="Arial" w:hAnsi="Arial"/>
          <w:sz w:val="20"/>
          <w:szCs w:val="20"/>
          <w:lang w:eastAsia="fr-FR" w:val="fr-FR"/>
        </w:rPr>
        <w:t xml:space="preserve">Aucun critère discriminant ne devra être pris en considération ni le positionnement salarial du salarié par rapport à son équipe. </w:t>
      </w:r>
    </w:p>
    <w:p w14:paraId="5196BD23" w14:textId="77777777" w:rsidP="00EC6A0C" w:rsidR="00EC6A0C" w:rsidRDefault="00EC6A0C" w:rsidRPr="00CF2FDD">
      <w:pPr>
        <w:ind w:left="360"/>
        <w:jc w:val="both"/>
        <w:rPr>
          <w:rFonts w:ascii="Arial" w:cs="Arial" w:hAnsi="Arial"/>
          <w:sz w:val="20"/>
          <w:szCs w:val="20"/>
          <w:lang w:eastAsia="fr-FR" w:val="fr-FR"/>
        </w:rPr>
      </w:pPr>
    </w:p>
    <w:p w14:paraId="1EE2D9D5" w14:textId="77777777" w:rsidP="00EC6A0C" w:rsidR="00EC6A0C" w:rsidRDefault="00EC6A0C" w:rsidRPr="00CF2FDD">
      <w:pPr>
        <w:ind w:left="360"/>
        <w:jc w:val="both"/>
        <w:rPr>
          <w:rFonts w:ascii="Arial" w:cs="Arial" w:hAnsi="Arial"/>
          <w:sz w:val="20"/>
          <w:szCs w:val="20"/>
          <w:lang w:eastAsia="fr-FR" w:val="fr-FR"/>
        </w:rPr>
      </w:pPr>
      <w:r w:rsidRPr="00CF2FDD">
        <w:rPr>
          <w:rFonts w:ascii="Arial" w:cs="Arial" w:hAnsi="Arial"/>
          <w:sz w:val="20"/>
          <w:szCs w:val="20"/>
          <w:lang w:eastAsia="fr-FR" w:val="fr-FR"/>
        </w:rPr>
        <w:t>De même, un changement d’affectation en cours d’année ne peut pénaliser le salarié dans sa progression salariale.</w:t>
      </w:r>
    </w:p>
    <w:p w14:paraId="7FCB8C5A" w14:textId="77777777" w:rsidP="00EC6A0C" w:rsidR="00EC6A0C" w:rsidRDefault="00EC6A0C" w:rsidRPr="00CF2FDD">
      <w:pPr>
        <w:ind w:left="360"/>
        <w:jc w:val="both"/>
        <w:rPr>
          <w:rFonts w:ascii="Arial" w:cs="Arial" w:hAnsi="Arial"/>
          <w:sz w:val="20"/>
          <w:szCs w:val="20"/>
          <w:lang w:eastAsia="fr-FR" w:val="fr-FR"/>
        </w:rPr>
      </w:pPr>
    </w:p>
    <w:p w14:paraId="3ED45FF1" w14:textId="6AC6DDFD" w:rsidP="00EC6A0C" w:rsidR="00EC6A0C" w:rsidRDefault="00EC6A0C" w:rsidRPr="00CF2FDD">
      <w:pPr>
        <w:ind w:left="360"/>
        <w:jc w:val="both"/>
        <w:rPr>
          <w:rFonts w:ascii="Arial" w:cs="Arial" w:hAnsi="Arial"/>
          <w:sz w:val="20"/>
          <w:szCs w:val="20"/>
          <w:lang w:eastAsia="fr-FR" w:val="fr-FR"/>
        </w:rPr>
      </w:pPr>
      <w:r w:rsidRPr="00CF2FDD">
        <w:rPr>
          <w:rFonts w:ascii="Arial" w:cs="Arial" w:hAnsi="Arial"/>
          <w:sz w:val="20"/>
          <w:szCs w:val="20"/>
          <w:lang w:eastAsia="fr-FR" w:val="fr-FR"/>
        </w:rPr>
        <w:t xml:space="preserve">Dans les situations où le salarié a des restrictions médicales notamment, il est rappelé le principe de non-discrimination par rapport à l’état de santé, ce qui signifie que l’appréciation doit se faire par rapport à l’emploi qui peut avoir subi des modifications et/ou restrictions. </w:t>
      </w:r>
    </w:p>
    <w:p w14:paraId="42F87F29" w14:textId="77777777" w:rsidP="00EC6A0C" w:rsidR="00653997" w:rsidRDefault="00653997" w:rsidRPr="00CF2FDD">
      <w:pPr>
        <w:ind w:left="360"/>
        <w:jc w:val="both"/>
        <w:rPr>
          <w:rFonts w:ascii="Arial" w:cs="Arial" w:hAnsi="Arial"/>
          <w:sz w:val="20"/>
          <w:szCs w:val="20"/>
          <w:lang w:eastAsia="fr-FR" w:val="fr-FR"/>
        </w:rPr>
      </w:pPr>
    </w:p>
    <w:p w14:paraId="3FA7E90E" w14:textId="77777777" w:rsidP="00EC6A0C" w:rsidR="00EC6A0C" w:rsidRDefault="00EC6A0C" w:rsidRPr="00CF2FDD">
      <w:pPr>
        <w:ind w:left="360"/>
        <w:jc w:val="both"/>
        <w:rPr>
          <w:rFonts w:ascii="Arial" w:cs="Arial" w:hAnsi="Arial"/>
          <w:sz w:val="20"/>
          <w:szCs w:val="20"/>
          <w:lang w:eastAsia="fr-FR" w:val="fr-FR"/>
        </w:rPr>
      </w:pPr>
      <w:r w:rsidRPr="00CF2FDD">
        <w:rPr>
          <w:rFonts w:ascii="Arial" w:cs="Arial" w:hAnsi="Arial"/>
          <w:sz w:val="20"/>
          <w:szCs w:val="20"/>
          <w:lang w:eastAsia="fr-FR" w:val="fr-FR"/>
        </w:rPr>
        <w:t xml:space="preserve">Dans l’hypothèse où le salarié a plusieurs responsables hiérarchiques, y compris pour les salariés qui changent de poste du fait d’une restriction médicale notamment, ces derniers doivent impérativement se concerter pour refléter la performance réalisée dans son ensemble. </w:t>
      </w:r>
    </w:p>
    <w:p w14:paraId="27A4850B" w14:textId="77777777" w:rsidP="00EC6A0C" w:rsidR="00EC6A0C" w:rsidRDefault="00EC6A0C" w:rsidRPr="00CF2FDD">
      <w:pPr>
        <w:jc w:val="both"/>
        <w:rPr>
          <w:rFonts w:ascii="Arial" w:cs="Arial" w:hAnsi="Arial"/>
          <w:sz w:val="20"/>
          <w:szCs w:val="20"/>
          <w:lang w:eastAsia="fr-FR" w:val="fr-FR"/>
        </w:rPr>
      </w:pPr>
    </w:p>
    <w:p w14:paraId="6D90D15B" w14:textId="77777777" w:rsidP="00EC6A0C" w:rsidR="00EC6A0C" w:rsidRDefault="00EC6A0C" w:rsidRPr="00CF2FDD">
      <w:pPr>
        <w:ind w:left="360"/>
        <w:jc w:val="both"/>
        <w:rPr>
          <w:rFonts w:ascii="Arial" w:cs="Arial" w:hAnsi="Arial"/>
          <w:sz w:val="20"/>
          <w:szCs w:val="20"/>
          <w:lang w:eastAsia="fr-FR" w:val="fr-FR"/>
        </w:rPr>
      </w:pPr>
      <w:r w:rsidRPr="00CF2FDD">
        <w:rPr>
          <w:rFonts w:ascii="Arial" w:cs="Arial" w:hAnsi="Arial"/>
          <w:sz w:val="20"/>
          <w:szCs w:val="20"/>
          <w:lang w:eastAsia="fr-FR" w:val="fr-FR"/>
        </w:rPr>
        <w:t>En cas de désaccord, le salarié pourra saisir le Directeur et le Responsable Ressources Humaines qui, à sa demande, le recevront seul.</w:t>
      </w:r>
    </w:p>
    <w:p w14:paraId="18041D7B" w14:textId="77777777" w:rsidP="00856EBC" w:rsidR="00200C41" w:rsidRDefault="00200C41">
      <w:pPr>
        <w:jc w:val="both"/>
        <w:rPr>
          <w:rFonts w:ascii="Arial" w:cs="Arial" w:hAnsi="Arial"/>
          <w:b/>
          <w:bCs/>
          <w:sz w:val="20"/>
          <w:szCs w:val="20"/>
          <w:u w:val="single"/>
          <w:lang w:val="fr-FR"/>
        </w:rPr>
      </w:pPr>
    </w:p>
    <w:p w14:paraId="1A4CAA59" w14:textId="1F47638F" w:rsidP="00856EBC" w:rsidR="00856EBC" w:rsidRDefault="00856EBC" w:rsidRPr="00CF2FDD">
      <w:pPr>
        <w:jc w:val="both"/>
        <w:rPr>
          <w:rFonts w:ascii="Arial" w:cs="Arial" w:hAnsi="Arial"/>
          <w:b/>
          <w:bCs/>
          <w:sz w:val="20"/>
          <w:szCs w:val="20"/>
          <w:u w:val="single"/>
          <w:lang w:val="fr-FR"/>
        </w:rPr>
      </w:pPr>
      <w:r w:rsidRPr="00CF2FDD">
        <w:rPr>
          <w:rFonts w:ascii="Arial" w:cs="Arial" w:hAnsi="Arial"/>
          <w:b/>
          <w:bCs/>
          <w:sz w:val="20"/>
          <w:szCs w:val="20"/>
          <w:u w:val="single"/>
          <w:lang w:val="fr-FR"/>
        </w:rPr>
        <w:t xml:space="preserve">Article </w:t>
      </w:r>
      <w:r w:rsidR="00982565" w:rsidRPr="00CF2FDD">
        <w:rPr>
          <w:rFonts w:ascii="Arial" w:cs="Arial" w:hAnsi="Arial"/>
          <w:b/>
          <w:bCs/>
          <w:sz w:val="20"/>
          <w:szCs w:val="20"/>
          <w:u w:val="single"/>
          <w:lang w:val="fr-FR"/>
        </w:rPr>
        <w:t>3</w:t>
      </w:r>
      <w:r w:rsidRPr="00CF2FDD">
        <w:rPr>
          <w:rFonts w:ascii="Arial" w:cs="Arial" w:hAnsi="Arial"/>
          <w:b/>
          <w:bCs/>
          <w:sz w:val="20"/>
          <w:szCs w:val="20"/>
          <w:u w:val="single"/>
          <w:lang w:val="fr-FR"/>
        </w:rPr>
        <w:t xml:space="preserve"> – Primes </w:t>
      </w:r>
    </w:p>
    <w:p w14:paraId="0A2FD6E7" w14:textId="77777777" w:rsidP="00856EBC" w:rsidR="00856EBC" w:rsidRDefault="00856EBC" w:rsidRPr="00CF2FDD">
      <w:pPr>
        <w:jc w:val="both"/>
        <w:rPr>
          <w:rFonts w:ascii="Arial" w:cs="Arial" w:hAnsi="Arial"/>
          <w:b/>
          <w:bCs/>
          <w:sz w:val="20"/>
          <w:szCs w:val="20"/>
          <w:u w:val="single"/>
          <w:lang w:val="fr-FR"/>
        </w:rPr>
      </w:pPr>
    </w:p>
    <w:p w14:paraId="72D8601D" w14:textId="671827FC" w:rsidP="00F349BE" w:rsidR="00F349BE" w:rsidRDefault="00F349BE" w:rsidRPr="00CF2FDD">
      <w:pPr>
        <w:jc w:val="both"/>
        <w:rPr>
          <w:rFonts w:ascii="Arial" w:cs="Arial" w:hAnsi="Arial"/>
          <w:bCs/>
          <w:sz w:val="20"/>
          <w:szCs w:val="20"/>
          <w:lang w:val="fr-FR"/>
        </w:rPr>
      </w:pPr>
      <w:r w:rsidRPr="00CF2FDD">
        <w:rPr>
          <w:rFonts w:ascii="Arial" w:cs="Arial" w:hAnsi="Arial"/>
          <w:bCs/>
          <w:sz w:val="20"/>
          <w:szCs w:val="20"/>
          <w:lang w:val="fr-FR"/>
        </w:rPr>
        <w:t xml:space="preserve">Conformément au mécanisme mis en place dans le cadre de la Négociation Annuelle Obligatoire de 2005 et aux engagements de revalorisation annuelle des primes forfaitaires pris dans le cadre de la NAO 2018, l’ensemble des primes forfaitaires </w:t>
      </w:r>
      <w:r w:rsidR="00014902" w:rsidRPr="00CF2FDD">
        <w:rPr>
          <w:rFonts w:ascii="Arial" w:cs="Arial" w:hAnsi="Arial"/>
          <w:bCs/>
          <w:sz w:val="20"/>
          <w:szCs w:val="20"/>
          <w:lang w:val="fr-FR"/>
        </w:rPr>
        <w:t>a</w:t>
      </w:r>
      <w:r w:rsidRPr="00CF2FDD">
        <w:rPr>
          <w:rFonts w:ascii="Arial" w:cs="Arial" w:hAnsi="Arial"/>
          <w:bCs/>
          <w:sz w:val="20"/>
          <w:szCs w:val="20"/>
          <w:lang w:val="fr-FR"/>
        </w:rPr>
        <w:t xml:space="preserve"> bénéficié</w:t>
      </w:r>
      <w:r w:rsidR="00B902FD">
        <w:rPr>
          <w:rFonts w:ascii="Arial" w:cs="Arial" w:hAnsi="Arial"/>
          <w:bCs/>
          <w:sz w:val="20"/>
          <w:szCs w:val="20"/>
          <w:lang w:val="fr-FR"/>
        </w:rPr>
        <w:t xml:space="preserve">, </w:t>
      </w:r>
      <w:r w:rsidRPr="00CF2FDD">
        <w:rPr>
          <w:rFonts w:ascii="Arial" w:cs="Arial" w:hAnsi="Arial"/>
          <w:bCs/>
          <w:sz w:val="20"/>
          <w:szCs w:val="20"/>
          <w:lang w:val="fr-FR"/>
        </w:rPr>
        <w:t>au 1</w:t>
      </w:r>
      <w:r w:rsidRPr="00CF2FDD">
        <w:rPr>
          <w:rFonts w:ascii="Arial" w:cs="Arial" w:hAnsi="Arial"/>
          <w:bCs/>
          <w:sz w:val="20"/>
          <w:szCs w:val="20"/>
          <w:vertAlign w:val="superscript"/>
          <w:lang w:val="fr-FR"/>
        </w:rPr>
        <w:t>er</w:t>
      </w:r>
      <w:r w:rsidRPr="00CF2FDD">
        <w:rPr>
          <w:rFonts w:ascii="Arial" w:cs="Arial" w:hAnsi="Arial"/>
          <w:bCs/>
          <w:sz w:val="20"/>
          <w:szCs w:val="20"/>
          <w:lang w:val="fr-FR"/>
        </w:rPr>
        <w:t xml:space="preserve"> juillet 202</w:t>
      </w:r>
      <w:r w:rsidR="009D3785" w:rsidRPr="00CF2FDD">
        <w:rPr>
          <w:rFonts w:ascii="Arial" w:cs="Arial" w:hAnsi="Arial"/>
          <w:bCs/>
          <w:sz w:val="20"/>
          <w:szCs w:val="20"/>
          <w:lang w:val="fr-FR"/>
        </w:rPr>
        <w:t>2</w:t>
      </w:r>
      <w:r w:rsidR="00B902FD">
        <w:rPr>
          <w:rFonts w:ascii="Arial" w:cs="Arial" w:hAnsi="Arial"/>
          <w:bCs/>
          <w:sz w:val="20"/>
          <w:szCs w:val="20"/>
          <w:lang w:val="fr-FR"/>
        </w:rPr>
        <w:t>,</w:t>
      </w:r>
      <w:r w:rsidRPr="00CF2FDD">
        <w:rPr>
          <w:rFonts w:ascii="Arial" w:cs="Arial" w:hAnsi="Arial"/>
          <w:bCs/>
          <w:sz w:val="20"/>
          <w:szCs w:val="20"/>
          <w:lang w:val="fr-FR"/>
        </w:rPr>
        <w:t xml:space="preserve"> d’une revalorisation selon les modalités définies dans le cadre de la NAO 2008.</w:t>
      </w:r>
    </w:p>
    <w:p w14:paraId="71EC3091" w14:textId="77777777" w:rsidP="00F349BE" w:rsidR="00F349BE" w:rsidRDefault="00F349BE" w:rsidRPr="00CF2FDD">
      <w:pPr>
        <w:jc w:val="both"/>
        <w:rPr>
          <w:rFonts w:ascii="Arial" w:cs="Arial" w:hAnsi="Arial"/>
          <w:bCs/>
          <w:sz w:val="20"/>
          <w:szCs w:val="20"/>
          <w:lang w:val="fr-FR"/>
        </w:rPr>
      </w:pPr>
    </w:p>
    <w:p w14:paraId="0D102A95" w14:textId="72D782F1" w:rsidP="00F349BE" w:rsidR="00F349BE" w:rsidRDefault="00F349BE" w:rsidRPr="00CF2FDD">
      <w:pPr>
        <w:jc w:val="both"/>
        <w:rPr>
          <w:rFonts w:ascii="Arial" w:cs="Arial" w:hAnsi="Arial"/>
          <w:bCs/>
          <w:sz w:val="20"/>
          <w:szCs w:val="20"/>
          <w:lang w:val="fr-FR"/>
        </w:rPr>
      </w:pPr>
      <w:r w:rsidRPr="00CF2FDD">
        <w:rPr>
          <w:rFonts w:ascii="Arial" w:cs="Arial" w:hAnsi="Arial"/>
          <w:bCs/>
          <w:sz w:val="20"/>
          <w:szCs w:val="20"/>
          <w:lang w:val="fr-FR"/>
        </w:rPr>
        <w:t>Conformément aux dispositions précitées l’ensemble des primes forfaitaires bénéficier</w:t>
      </w:r>
      <w:r w:rsidR="00F944E8" w:rsidRPr="00CF2FDD">
        <w:rPr>
          <w:rFonts w:ascii="Arial" w:cs="Arial" w:hAnsi="Arial"/>
          <w:bCs/>
          <w:sz w:val="20"/>
          <w:szCs w:val="20"/>
          <w:lang w:val="fr-FR"/>
        </w:rPr>
        <w:t>a</w:t>
      </w:r>
      <w:r w:rsidRPr="00CF2FDD">
        <w:rPr>
          <w:rFonts w:ascii="Arial" w:cs="Arial" w:hAnsi="Arial"/>
          <w:bCs/>
          <w:sz w:val="20"/>
          <w:szCs w:val="20"/>
          <w:lang w:val="fr-FR"/>
        </w:rPr>
        <w:t xml:space="preserve">, </w:t>
      </w:r>
      <w:r w:rsidRPr="00CF2FDD">
        <w:rPr>
          <w:rFonts w:ascii="Arial" w:cs="Arial" w:hAnsi="Arial"/>
          <w:bCs/>
          <w:sz w:val="20"/>
          <w:szCs w:val="20"/>
          <w:u w:val="single"/>
          <w:lang w:val="fr-FR"/>
        </w:rPr>
        <w:t>au 1</w:t>
      </w:r>
      <w:r w:rsidRPr="00CF2FDD">
        <w:rPr>
          <w:rFonts w:ascii="Arial" w:cs="Arial" w:hAnsi="Arial"/>
          <w:bCs/>
          <w:sz w:val="20"/>
          <w:szCs w:val="20"/>
          <w:u w:val="single"/>
          <w:vertAlign w:val="superscript"/>
          <w:lang w:val="fr-FR"/>
        </w:rPr>
        <w:t>er</w:t>
      </w:r>
      <w:r w:rsidRPr="00CF2FDD">
        <w:rPr>
          <w:rFonts w:ascii="Arial" w:cs="Arial" w:hAnsi="Arial"/>
          <w:bCs/>
          <w:sz w:val="20"/>
          <w:szCs w:val="20"/>
          <w:u w:val="single"/>
          <w:lang w:val="fr-FR"/>
        </w:rPr>
        <w:t xml:space="preserve"> juillet 202</w:t>
      </w:r>
      <w:r w:rsidR="009D3785" w:rsidRPr="00CF2FDD">
        <w:rPr>
          <w:rFonts w:ascii="Arial" w:cs="Arial" w:hAnsi="Arial"/>
          <w:bCs/>
          <w:sz w:val="20"/>
          <w:szCs w:val="20"/>
          <w:u w:val="single"/>
          <w:lang w:val="fr-FR"/>
        </w:rPr>
        <w:t>3</w:t>
      </w:r>
      <w:r w:rsidRPr="00CF2FDD">
        <w:rPr>
          <w:rFonts w:ascii="Arial" w:cs="Arial" w:hAnsi="Arial"/>
          <w:bCs/>
          <w:sz w:val="20"/>
          <w:szCs w:val="20"/>
          <w:lang w:val="fr-FR"/>
        </w:rPr>
        <w:t>, d’une revalorisation de 1.2% ou en fonction de l’évolution de l’inflation enregistrée en mai 202</w:t>
      </w:r>
      <w:r w:rsidR="009D3785" w:rsidRPr="00CF2FDD">
        <w:rPr>
          <w:rFonts w:ascii="Arial" w:cs="Arial" w:hAnsi="Arial"/>
          <w:bCs/>
          <w:sz w:val="20"/>
          <w:szCs w:val="20"/>
          <w:lang w:val="fr-FR"/>
        </w:rPr>
        <w:t>3</w:t>
      </w:r>
      <w:r w:rsidRPr="00CF2FDD">
        <w:rPr>
          <w:rFonts w:ascii="Arial" w:cs="Arial" w:hAnsi="Arial"/>
          <w:bCs/>
          <w:sz w:val="20"/>
          <w:szCs w:val="20"/>
          <w:lang w:val="fr-FR"/>
        </w:rPr>
        <w:t xml:space="preserve"> si cette dernière est plus favorable et cela dans la limite de 4 %, comme convenu dans le cadre de la NAO 2008. </w:t>
      </w:r>
    </w:p>
    <w:p w14:paraId="403E4C01" w14:textId="77777777" w:rsidP="00F349BE" w:rsidR="00F349BE" w:rsidRDefault="00F349BE" w:rsidRPr="00CF2FDD">
      <w:pPr>
        <w:jc w:val="both"/>
        <w:rPr>
          <w:rFonts w:ascii="Arial" w:cs="Arial" w:hAnsi="Arial"/>
          <w:sz w:val="20"/>
          <w:szCs w:val="20"/>
          <w:lang w:eastAsia="fr-FR" w:val="fr-FR"/>
        </w:rPr>
      </w:pPr>
    </w:p>
    <w:p w14:paraId="30F68CD8" w14:textId="079E79F9" w:rsidP="00F349BE" w:rsidR="00F349BE" w:rsidRDefault="00F349BE" w:rsidRPr="00CF2FDD">
      <w:pPr>
        <w:jc w:val="both"/>
        <w:rPr>
          <w:rFonts w:ascii="Arial" w:cs="Arial" w:hAnsi="Arial"/>
          <w:sz w:val="20"/>
          <w:szCs w:val="20"/>
          <w:lang w:val="fr-FR"/>
        </w:rPr>
      </w:pPr>
      <w:r w:rsidRPr="00CF2FDD">
        <w:rPr>
          <w:rFonts w:ascii="Arial" w:cs="Arial" w:hAnsi="Arial"/>
          <w:sz w:val="20"/>
          <w:szCs w:val="20"/>
          <w:lang w:val="fr-FR"/>
        </w:rPr>
        <w:t>Dès que les taux d’inflation enregistrés à fin mai 202</w:t>
      </w:r>
      <w:r w:rsidR="009D3785" w:rsidRPr="00CF2FDD">
        <w:rPr>
          <w:rFonts w:ascii="Arial" w:cs="Arial" w:hAnsi="Arial"/>
          <w:sz w:val="20"/>
          <w:szCs w:val="20"/>
          <w:lang w:val="fr-FR"/>
        </w:rPr>
        <w:t>3</w:t>
      </w:r>
      <w:r w:rsidRPr="00CF2FDD">
        <w:rPr>
          <w:rFonts w:ascii="Arial" w:cs="Arial" w:hAnsi="Arial"/>
          <w:sz w:val="20"/>
          <w:szCs w:val="20"/>
          <w:lang w:val="fr-FR"/>
        </w:rPr>
        <w:t xml:space="preserve"> seront connus, le montant de la revalorisation de la prime sera déterminé et communiqué aux Organisations Syndicales Représentatives.</w:t>
      </w:r>
    </w:p>
    <w:p w14:paraId="7E52AE59" w14:textId="77777777" w:rsidP="00856EBC" w:rsidR="00856EBC" w:rsidRDefault="00856EBC" w:rsidRPr="00CF2FDD">
      <w:pPr>
        <w:jc w:val="both"/>
        <w:rPr>
          <w:rFonts w:ascii="Arial" w:cs="Arial" w:hAnsi="Arial"/>
          <w:bCs/>
          <w:sz w:val="20"/>
          <w:szCs w:val="20"/>
          <w:lang w:val="fr-FR"/>
        </w:rPr>
      </w:pPr>
    </w:p>
    <w:p w14:paraId="40A3C903" w14:textId="66635992" w:rsidP="00856EBC" w:rsidR="009D53E2" w:rsidRDefault="009D53E2" w:rsidRPr="00CF2FDD">
      <w:pPr>
        <w:jc w:val="both"/>
        <w:rPr>
          <w:rFonts w:ascii="Arial" w:cs="Arial" w:hAnsi="Arial"/>
          <w:sz w:val="20"/>
          <w:szCs w:val="20"/>
          <w:lang w:val="fr-FR"/>
        </w:rPr>
      </w:pPr>
    </w:p>
    <w:p w14:paraId="09B2861B" w14:textId="29F44CCD" w:rsidP="00856EBC" w:rsidR="00856EBC" w:rsidRDefault="00856EBC" w:rsidRPr="00CF2FDD">
      <w:pPr>
        <w:jc w:val="both"/>
        <w:rPr>
          <w:rFonts w:ascii="Arial" w:cs="Arial" w:hAnsi="Arial"/>
          <w:b/>
          <w:sz w:val="20"/>
          <w:szCs w:val="20"/>
          <w:u w:val="single"/>
          <w:lang w:eastAsia="fr-FR" w:val="fr-FR"/>
        </w:rPr>
      </w:pPr>
      <w:r w:rsidRPr="00CF2FDD">
        <w:rPr>
          <w:rFonts w:ascii="Arial" w:cs="Arial" w:hAnsi="Arial"/>
          <w:b/>
          <w:bCs/>
          <w:sz w:val="20"/>
          <w:szCs w:val="20"/>
          <w:u w:val="single"/>
          <w:lang w:val="fr-FR"/>
        </w:rPr>
        <w:t xml:space="preserve">Article </w:t>
      </w:r>
      <w:r w:rsidR="00982565" w:rsidRPr="00CF2FDD">
        <w:rPr>
          <w:rFonts w:ascii="Arial" w:cs="Arial" w:hAnsi="Arial"/>
          <w:b/>
          <w:bCs/>
          <w:sz w:val="20"/>
          <w:szCs w:val="20"/>
          <w:u w:val="single"/>
          <w:lang w:val="fr-FR"/>
        </w:rPr>
        <w:t>4</w:t>
      </w:r>
      <w:r w:rsidRPr="00CF2FDD">
        <w:rPr>
          <w:rFonts w:ascii="Arial" w:cs="Arial" w:hAnsi="Arial"/>
          <w:b/>
          <w:sz w:val="20"/>
          <w:szCs w:val="20"/>
          <w:u w:val="single"/>
          <w:lang w:val="fr-FR"/>
        </w:rPr>
        <w:t xml:space="preserve"> </w:t>
      </w:r>
      <w:r w:rsidRPr="00CF2FDD">
        <w:rPr>
          <w:rFonts w:ascii="Arial" w:cs="Arial" w:hAnsi="Arial"/>
          <w:b/>
          <w:bCs/>
          <w:sz w:val="20"/>
          <w:szCs w:val="20"/>
          <w:u w:val="single"/>
          <w:lang w:val="fr-FR"/>
        </w:rPr>
        <w:t>–</w:t>
      </w:r>
      <w:r w:rsidRPr="00CF2FDD">
        <w:rPr>
          <w:rFonts w:ascii="Arial" w:cs="Arial" w:hAnsi="Arial"/>
          <w:b/>
          <w:sz w:val="20"/>
          <w:szCs w:val="20"/>
          <w:u w:val="single"/>
          <w:lang w:val="fr-FR"/>
        </w:rPr>
        <w:t xml:space="preserve"> Durée</w:t>
      </w:r>
    </w:p>
    <w:p w14:paraId="20CF72D5" w14:textId="77777777" w:rsidP="00856EBC" w:rsidR="00856EBC" w:rsidRDefault="00856EBC" w:rsidRPr="00CF2FDD">
      <w:pPr>
        <w:pStyle w:val="BodyText2"/>
        <w:rPr>
          <w:rFonts w:ascii="Arial" w:cs="Arial" w:hAnsi="Arial"/>
          <w:color w:val="auto"/>
          <w:sz w:val="20"/>
        </w:rPr>
      </w:pPr>
    </w:p>
    <w:p w14:paraId="7AD59507" w14:textId="678A0F93" w:rsidP="00856EBC" w:rsidR="00856EBC" w:rsidRDefault="00856EBC" w:rsidRPr="00CF2FDD">
      <w:pPr>
        <w:pStyle w:val="BodyText2"/>
        <w:rPr>
          <w:rFonts w:ascii="Arial" w:cs="Arial" w:hAnsi="Arial"/>
          <w:color w:val="auto"/>
          <w:sz w:val="20"/>
        </w:rPr>
      </w:pPr>
      <w:r w:rsidRPr="00CF2FDD">
        <w:rPr>
          <w:rFonts w:ascii="Arial" w:cs="Arial" w:hAnsi="Arial"/>
          <w:color w:val="auto"/>
          <w:sz w:val="20"/>
        </w:rPr>
        <w:t>Les dispositions de</w:t>
      </w:r>
      <w:r w:rsidR="00606722" w:rsidRPr="00CF2FDD">
        <w:rPr>
          <w:rFonts w:ascii="Arial" w:cs="Arial" w:hAnsi="Arial"/>
          <w:color w:val="auto"/>
          <w:sz w:val="20"/>
        </w:rPr>
        <w:t xml:space="preserve"> l’</w:t>
      </w:r>
      <w:r w:rsidR="003C6CC2" w:rsidRPr="00CF2FDD">
        <w:rPr>
          <w:rFonts w:ascii="Arial" w:cs="Arial" w:hAnsi="Arial"/>
          <w:color w:val="auto"/>
          <w:sz w:val="20"/>
        </w:rPr>
        <w:t xml:space="preserve">article </w:t>
      </w:r>
      <w:r w:rsidR="00AA4C2C">
        <w:rPr>
          <w:rFonts w:ascii="Arial" w:cs="Arial" w:hAnsi="Arial"/>
          <w:color w:val="auto"/>
          <w:sz w:val="20"/>
        </w:rPr>
        <w:t xml:space="preserve">2 </w:t>
      </w:r>
      <w:r w:rsidRPr="00CF2FDD">
        <w:rPr>
          <w:rFonts w:ascii="Arial" w:cs="Arial" w:hAnsi="Arial"/>
          <w:color w:val="auto"/>
          <w:sz w:val="20"/>
        </w:rPr>
        <w:t>du présent protocole d’accord sont limitées au cadre de l’obligation d’engager une négociation portant notamment sur les salaires.</w:t>
      </w:r>
      <w:r w:rsidR="00320CDB">
        <w:rPr>
          <w:rFonts w:ascii="Arial" w:cs="Arial" w:hAnsi="Arial"/>
          <w:color w:val="auto"/>
          <w:sz w:val="20"/>
        </w:rPr>
        <w:t xml:space="preserve"> </w:t>
      </w:r>
      <w:r w:rsidRPr="00CF2FDD">
        <w:rPr>
          <w:rFonts w:ascii="Arial" w:cs="Arial" w:hAnsi="Arial"/>
          <w:color w:val="auto"/>
          <w:sz w:val="20"/>
        </w:rPr>
        <w:t xml:space="preserve">Les dispositions de l’article </w:t>
      </w:r>
      <w:r w:rsidR="00606722" w:rsidRPr="00CF2FDD">
        <w:rPr>
          <w:rFonts w:ascii="Arial" w:cs="Arial" w:hAnsi="Arial"/>
          <w:color w:val="auto"/>
          <w:sz w:val="20"/>
        </w:rPr>
        <w:t>3</w:t>
      </w:r>
      <w:r w:rsidRPr="00CF2FDD">
        <w:rPr>
          <w:rFonts w:ascii="Arial" w:cs="Arial" w:hAnsi="Arial"/>
          <w:color w:val="auto"/>
          <w:sz w:val="20"/>
        </w:rPr>
        <w:t xml:space="preserve"> du présent protocole sont conclues pour une durée indéterminée conformément à leur objet.</w:t>
      </w:r>
    </w:p>
    <w:p w14:paraId="3977DE5C" w14:textId="77777777" w:rsidP="00DE480A" w:rsidR="00DE480A" w:rsidRDefault="00DE480A" w:rsidRPr="00CF2FDD">
      <w:pPr>
        <w:pStyle w:val="BodyText2"/>
        <w:rPr>
          <w:rFonts w:ascii="Arial" w:cs="Arial" w:hAnsi="Arial"/>
          <w:color w:val="auto"/>
          <w:sz w:val="20"/>
        </w:rPr>
      </w:pPr>
    </w:p>
    <w:p w14:paraId="4FD314BD" w14:textId="77777777" w:rsidP="00856EBC" w:rsidR="00856EBC" w:rsidRDefault="00856EBC" w:rsidRPr="00CF2FDD">
      <w:pPr>
        <w:jc w:val="both"/>
        <w:rPr>
          <w:rFonts w:ascii="Arial" w:cs="Arial" w:hAnsi="Arial"/>
          <w:sz w:val="20"/>
          <w:szCs w:val="20"/>
          <w:lang w:val="fr-FR"/>
        </w:rPr>
      </w:pPr>
    </w:p>
    <w:p w14:paraId="6FCF6FBF" w14:textId="055F4A59" w:rsidP="00856EBC" w:rsidR="00856EBC" w:rsidRDefault="00856EBC" w:rsidRPr="00CF2FDD">
      <w:pPr>
        <w:jc w:val="both"/>
        <w:rPr>
          <w:rFonts w:ascii="Arial" w:cs="Arial" w:hAnsi="Arial"/>
          <w:b/>
          <w:sz w:val="20"/>
          <w:szCs w:val="20"/>
          <w:u w:val="single"/>
          <w:lang w:val="fr-FR"/>
        </w:rPr>
      </w:pPr>
      <w:r w:rsidRPr="00CF2FDD">
        <w:rPr>
          <w:rFonts w:ascii="Arial" w:cs="Arial" w:hAnsi="Arial"/>
          <w:b/>
          <w:sz w:val="20"/>
          <w:szCs w:val="20"/>
          <w:u w:val="single"/>
          <w:lang w:val="fr-FR"/>
        </w:rPr>
        <w:t xml:space="preserve">Article </w:t>
      </w:r>
      <w:r w:rsidR="002E4E89" w:rsidRPr="00CF2FDD">
        <w:rPr>
          <w:rFonts w:ascii="Arial" w:cs="Arial" w:hAnsi="Arial"/>
          <w:b/>
          <w:sz w:val="20"/>
          <w:szCs w:val="20"/>
          <w:u w:val="single"/>
          <w:lang w:val="fr-FR"/>
        </w:rPr>
        <w:t>5</w:t>
      </w:r>
      <w:r w:rsidRPr="00CF2FDD">
        <w:rPr>
          <w:rFonts w:ascii="Arial" w:cs="Arial" w:hAnsi="Arial"/>
          <w:b/>
          <w:sz w:val="20"/>
          <w:szCs w:val="20"/>
          <w:u w:val="single"/>
          <w:lang w:val="fr-FR"/>
        </w:rPr>
        <w:t xml:space="preserve"> </w:t>
      </w:r>
      <w:r w:rsidRPr="00CF2FDD">
        <w:rPr>
          <w:rFonts w:ascii="Arial" w:cs="Arial" w:hAnsi="Arial"/>
          <w:b/>
          <w:bCs/>
          <w:sz w:val="20"/>
          <w:szCs w:val="20"/>
          <w:u w:val="single"/>
          <w:lang w:val="fr-FR"/>
        </w:rPr>
        <w:t>–</w:t>
      </w:r>
      <w:r w:rsidRPr="00CF2FDD">
        <w:rPr>
          <w:rFonts w:ascii="Arial" w:cs="Arial" w:hAnsi="Arial"/>
          <w:b/>
          <w:sz w:val="20"/>
          <w:szCs w:val="20"/>
          <w:u w:val="single"/>
          <w:lang w:val="fr-FR"/>
        </w:rPr>
        <w:t xml:space="preserve"> Mise en œuvre du protocole d’accord</w:t>
      </w:r>
    </w:p>
    <w:p w14:paraId="03FEF178" w14:textId="77777777" w:rsidP="00856EBC" w:rsidR="00856EBC" w:rsidRDefault="00856EBC" w:rsidRPr="00CF2FDD">
      <w:pPr>
        <w:pStyle w:val="BodyText2"/>
        <w:numPr>
          <w:ilvl w:val="12"/>
          <w:numId w:val="0"/>
        </w:numPr>
        <w:rPr>
          <w:rFonts w:ascii="Arial" w:cs="Arial" w:hAnsi="Arial"/>
          <w:color w:val="auto"/>
          <w:sz w:val="20"/>
        </w:rPr>
      </w:pPr>
    </w:p>
    <w:p w14:paraId="66823E77" w14:textId="77777777" w:rsidP="00856EBC" w:rsidR="00856EBC" w:rsidRDefault="00856EBC" w:rsidRPr="00CF2FDD">
      <w:pPr>
        <w:jc w:val="both"/>
        <w:rPr>
          <w:rFonts w:ascii="Arial" w:cs="Arial" w:hAnsi="Arial"/>
          <w:sz w:val="20"/>
          <w:szCs w:val="20"/>
          <w:lang w:eastAsia="fr-FR" w:val="fr-FR"/>
        </w:rPr>
      </w:pPr>
      <w:r w:rsidRPr="00CF2FDD">
        <w:rPr>
          <w:rFonts w:ascii="Arial" w:cs="Arial" w:hAnsi="Arial"/>
          <w:sz w:val="20"/>
          <w:szCs w:val="20"/>
          <w:lang w:eastAsia="fr-FR" w:val="fr-FR"/>
        </w:rPr>
        <w:t xml:space="preserve">Le présent accord sera notifié par la Direction à l’ensemble des Organisations Syndicales Représentatives dès sa signature par une ou plusieurs Organisations Syndicales Représentatives recueillant les conditions de majorité énoncées par les dispositions légales. </w:t>
      </w:r>
    </w:p>
    <w:p w14:paraId="2DA34C13" w14:textId="77777777" w:rsidP="00856EBC" w:rsidR="00856EBC" w:rsidRDefault="00856EBC" w:rsidRPr="00CF2FDD">
      <w:pPr>
        <w:jc w:val="both"/>
        <w:rPr>
          <w:rFonts w:ascii="Arial" w:cs="Arial" w:hAnsi="Arial"/>
          <w:sz w:val="20"/>
          <w:szCs w:val="20"/>
          <w:lang w:eastAsia="fr-FR" w:val="fr-FR"/>
        </w:rPr>
      </w:pPr>
    </w:p>
    <w:p w14:paraId="64807546" w14:textId="2CE89182" w:rsidP="00856EBC" w:rsidR="00856EBC" w:rsidRDefault="00856EBC" w:rsidRPr="00CF2FDD">
      <w:pPr>
        <w:jc w:val="both"/>
        <w:rPr>
          <w:rFonts w:ascii="Arial" w:cs="Arial" w:hAnsi="Arial"/>
          <w:sz w:val="20"/>
          <w:szCs w:val="20"/>
          <w:lang w:eastAsia="fr-FR" w:val="fr-FR"/>
        </w:rPr>
      </w:pPr>
      <w:r w:rsidRPr="00CF2FDD">
        <w:rPr>
          <w:rFonts w:ascii="Arial" w:cs="Arial" w:hAnsi="Arial"/>
          <w:sz w:val="20"/>
          <w:szCs w:val="20"/>
          <w:lang w:eastAsia="fr-FR" w:val="fr-FR"/>
        </w:rPr>
        <w:t>Le présent accord sera déposé par la Direction sur la plateforme de télé procédure du Ministère du Travail en deux exemplaires, dont une version sur support papier signée des parties et une version anonyme sur support électronique conformément aux dispositions légales.</w:t>
      </w:r>
      <w:r w:rsidR="000B419E" w:rsidRPr="00CF2FDD">
        <w:rPr>
          <w:rFonts w:ascii="Arial" w:cs="Arial" w:hAnsi="Arial"/>
          <w:sz w:val="20"/>
          <w:szCs w:val="20"/>
          <w:lang w:eastAsia="fr-FR" w:val="fr-FR"/>
        </w:rPr>
        <w:t xml:space="preserve"> </w:t>
      </w:r>
      <w:r w:rsidRPr="00CF2FDD">
        <w:rPr>
          <w:rFonts w:ascii="Arial" w:cs="Arial" w:hAnsi="Arial"/>
          <w:sz w:val="20"/>
          <w:szCs w:val="20"/>
          <w:lang w:eastAsia="fr-FR" w:val="fr-FR"/>
        </w:rPr>
        <w:t>Un exemplaire du présent accord sera également déposé au secrétariat-greffe du Conseil de Prud’hommes de Meaux.</w:t>
      </w:r>
      <w:r w:rsidR="000B419E" w:rsidRPr="00CF2FDD">
        <w:rPr>
          <w:rFonts w:ascii="Arial" w:cs="Arial" w:hAnsi="Arial"/>
          <w:sz w:val="20"/>
          <w:szCs w:val="20"/>
          <w:lang w:eastAsia="fr-FR" w:val="fr-FR"/>
        </w:rPr>
        <w:t xml:space="preserve"> </w:t>
      </w:r>
      <w:r w:rsidRPr="00CF2FDD">
        <w:rPr>
          <w:rFonts w:ascii="Arial" w:cs="Arial" w:hAnsi="Arial"/>
          <w:sz w:val="20"/>
          <w:szCs w:val="20"/>
          <w:lang w:eastAsia="fr-FR" w:val="fr-FR"/>
        </w:rPr>
        <w:t>Conformément aux dispositions légales, le présent accord sera rendu public et versé dans la base de données nationale selon une version anonyme.</w:t>
      </w:r>
      <w:r w:rsidR="000B419E" w:rsidRPr="00CF2FDD">
        <w:rPr>
          <w:rFonts w:ascii="Arial" w:cs="Arial" w:hAnsi="Arial"/>
          <w:sz w:val="20"/>
          <w:szCs w:val="20"/>
          <w:lang w:eastAsia="fr-FR" w:val="fr-FR"/>
        </w:rPr>
        <w:t xml:space="preserve"> </w:t>
      </w:r>
      <w:r w:rsidRPr="00CF2FDD">
        <w:rPr>
          <w:rFonts w:ascii="Arial" w:cs="Arial" w:hAnsi="Arial"/>
          <w:sz w:val="20"/>
          <w:szCs w:val="20"/>
          <w:lang w:eastAsia="fr-FR" w:val="fr-FR"/>
        </w:rPr>
        <w:t xml:space="preserve">Les parties n’entendent émettre aucune réserve à la publication intégrale du présent accord. </w:t>
      </w:r>
    </w:p>
    <w:p w14:paraId="2F1FE8AE" w14:textId="77777777" w:rsidP="00856EBC" w:rsidR="00856EBC" w:rsidRDefault="00856EBC" w:rsidRPr="00CF2FDD">
      <w:pPr>
        <w:pStyle w:val="BodyText2"/>
        <w:rPr>
          <w:rFonts w:ascii="Arial" w:cs="Arial" w:hAnsi="Arial"/>
          <w:color w:val="auto"/>
          <w:sz w:val="20"/>
        </w:rPr>
      </w:pPr>
    </w:p>
    <w:p w14:paraId="380FDFD7" w14:textId="52DC04A8" w:rsidP="00856EBC" w:rsidR="00856EBC" w:rsidRDefault="00856EBC" w:rsidRPr="00CF2FDD">
      <w:pPr>
        <w:pStyle w:val="BodyText2"/>
        <w:rPr>
          <w:rFonts w:ascii="Arial" w:cs="Arial" w:hAnsi="Arial"/>
          <w:color w:val="auto"/>
          <w:sz w:val="20"/>
        </w:rPr>
      </w:pPr>
      <w:r w:rsidRPr="00CF2FDD">
        <w:rPr>
          <w:rFonts w:ascii="Arial" w:cs="Arial" w:hAnsi="Arial"/>
          <w:color w:val="auto"/>
          <w:sz w:val="20"/>
        </w:rPr>
        <w:t>Fait à Chessy, le</w:t>
      </w:r>
      <w:r w:rsidR="006B4DD8" w:rsidRPr="00CF2FDD">
        <w:rPr>
          <w:rFonts w:ascii="Arial" w:cs="Arial" w:hAnsi="Arial"/>
          <w:color w:val="auto"/>
          <w:sz w:val="20"/>
        </w:rPr>
        <w:t xml:space="preserve"> </w:t>
      </w:r>
      <w:r w:rsidR="00EF62BF">
        <w:rPr>
          <w:rFonts w:ascii="Arial" w:cs="Arial" w:hAnsi="Arial"/>
          <w:color w:val="auto"/>
          <w:sz w:val="20"/>
        </w:rPr>
        <w:t>27 septembre 2022</w:t>
      </w:r>
      <w:r w:rsidRPr="00CF2FDD">
        <w:rPr>
          <w:rFonts w:ascii="Arial" w:cs="Arial" w:hAnsi="Arial"/>
          <w:color w:val="auto"/>
          <w:sz w:val="20"/>
        </w:rPr>
        <w:t xml:space="preserve"> en 10 exemplaires.</w:t>
      </w:r>
    </w:p>
    <w:p w14:paraId="540B158B" w14:textId="77777777" w:rsidP="00856EBC" w:rsidR="00856EBC" w:rsidRDefault="00856EBC" w:rsidRPr="00CF2FDD">
      <w:pPr>
        <w:pStyle w:val="BodyText2"/>
        <w:rPr>
          <w:rFonts w:ascii="Arial" w:cs="Arial" w:hAnsi="Arial"/>
          <w:color w:val="auto"/>
          <w:sz w:val="20"/>
        </w:rPr>
      </w:pPr>
    </w:p>
    <w:p w14:paraId="3AF6A9C6" w14:textId="77777777" w:rsidP="00856EBC" w:rsidR="00856EBC" w:rsidRDefault="00856EBC" w:rsidRPr="00CF2FDD">
      <w:pPr>
        <w:pStyle w:val="BodyText2"/>
        <w:rPr>
          <w:rFonts w:ascii="Arial" w:cs="Arial" w:hAnsi="Arial"/>
          <w:color w:val="auto"/>
          <w:sz w:val="20"/>
        </w:rPr>
      </w:pPr>
    </w:p>
    <w:p w14:paraId="23DBEE4B" w14:textId="77777777" w:rsidP="00856EBC" w:rsidR="00856EBC" w:rsidRDefault="00856EBC" w:rsidRPr="00CF2FDD">
      <w:pPr>
        <w:pStyle w:val="BodyText2"/>
        <w:rPr>
          <w:rFonts w:ascii="Arial" w:cs="Arial" w:hAnsi="Arial"/>
          <w:color w:val="auto"/>
          <w:sz w:val="20"/>
        </w:rPr>
      </w:pPr>
      <w:r w:rsidRPr="00CF2FDD">
        <w:rPr>
          <w:rFonts w:ascii="Arial" w:cs="Arial" w:hAnsi="Arial"/>
          <w:b/>
          <w:color w:val="auto"/>
          <w:sz w:val="20"/>
          <w:u w:val="single"/>
        </w:rPr>
        <w:t xml:space="preserve">Pour l’ensemble des Sociétés visées dans le cadre de cet accord               </w:t>
      </w:r>
    </w:p>
    <w:p w14:paraId="47517329" w14:textId="77777777" w:rsidP="00856EBC" w:rsidR="00856EBC" w:rsidRDefault="00856EBC" w:rsidRPr="00CF2FDD">
      <w:pPr>
        <w:pStyle w:val="BodyText2"/>
        <w:rPr>
          <w:rFonts w:ascii="Arial" w:cs="Arial" w:hAnsi="Arial"/>
          <w:color w:val="auto"/>
          <w:sz w:val="20"/>
        </w:rPr>
      </w:pPr>
    </w:p>
    <w:p w14:paraId="1ABBC36A" w14:textId="77777777" w:rsidP="00856EBC" w:rsidR="00856EBC" w:rsidRDefault="00856EBC" w:rsidRPr="00CF2FDD">
      <w:pPr>
        <w:pStyle w:val="BodyText2"/>
        <w:rPr>
          <w:rFonts w:ascii="Arial" w:cs="Arial" w:hAnsi="Arial"/>
          <w:color w:val="auto"/>
          <w:sz w:val="20"/>
        </w:rPr>
      </w:pPr>
    </w:p>
    <w:p w14:paraId="720941FC" w14:textId="77777777" w:rsidP="00856EBC" w:rsidR="00856EBC" w:rsidRDefault="00856EBC" w:rsidRPr="00CF2FDD">
      <w:pPr>
        <w:pStyle w:val="BodyText2"/>
        <w:rPr>
          <w:rFonts w:ascii="Arial" w:cs="Arial" w:hAnsi="Arial"/>
          <w:color w:val="auto"/>
          <w:sz w:val="20"/>
        </w:rPr>
      </w:pPr>
    </w:p>
    <w:p w14:paraId="5FCDF9F3" w14:textId="3D71177C" w:rsidP="005B345A" w:rsidR="00856EBC" w:rsidRDefault="00EF62BF" w:rsidRPr="00CF2FDD">
      <w:pPr>
        <w:pStyle w:val="BodyText2"/>
        <w:rPr>
          <w:rFonts w:ascii="Arial" w:cs="Arial" w:hAnsi="Arial"/>
          <w:color w:val="auto"/>
          <w:sz w:val="20"/>
        </w:rPr>
      </w:pPr>
      <w:r>
        <w:rPr>
          <w:rFonts w:ascii="Arial" w:cs="Arial" w:hAnsi="Arial"/>
          <w:color w:val="auto"/>
          <w:sz w:val="20"/>
        </w:rPr>
        <w:t>XX</w:t>
      </w:r>
      <w:r w:rsidR="005B345A" w:rsidRPr="00CF2FDD">
        <w:rPr>
          <w:rFonts w:ascii="Arial" w:cs="Arial" w:hAnsi="Arial"/>
          <w:color w:val="auto"/>
          <w:sz w:val="20"/>
        </w:rPr>
        <w:t>, Directrice Stratégie Sociale et Projets Relations Sociales</w:t>
      </w:r>
    </w:p>
    <w:p w14:paraId="7BFAD2D0" w14:textId="7FD23476" w:rsidP="00856EBC" w:rsidR="00856EBC" w:rsidRDefault="00856EBC" w:rsidRPr="00CF2FDD">
      <w:pPr>
        <w:pStyle w:val="BodyText2"/>
        <w:rPr>
          <w:rFonts w:ascii="Arial" w:cs="Arial" w:hAnsi="Arial"/>
          <w:color w:val="auto"/>
          <w:sz w:val="20"/>
        </w:rPr>
      </w:pPr>
    </w:p>
    <w:p w14:paraId="3E337DCA" w14:textId="24E5DCAE" w:rsidP="00856EBC" w:rsidR="008E4D0F" w:rsidRDefault="008E4D0F" w:rsidRPr="00CF2FDD">
      <w:pPr>
        <w:pStyle w:val="BodyText2"/>
        <w:rPr>
          <w:rFonts w:ascii="Arial" w:cs="Arial" w:hAnsi="Arial"/>
          <w:color w:val="auto"/>
          <w:sz w:val="20"/>
        </w:rPr>
      </w:pPr>
    </w:p>
    <w:p w14:paraId="60767936" w14:textId="77777777" w:rsidP="00856EBC" w:rsidR="00856EBC" w:rsidRDefault="00856EBC" w:rsidRPr="00CF2FDD">
      <w:pPr>
        <w:pStyle w:val="BodyText2"/>
        <w:rPr>
          <w:rFonts w:ascii="Arial" w:cs="Arial" w:hAnsi="Arial"/>
          <w:color w:val="auto"/>
          <w:sz w:val="20"/>
        </w:rPr>
      </w:pPr>
    </w:p>
    <w:p w14:paraId="3C14EC00" w14:textId="7E4EC808" w:rsidP="00856EBC" w:rsidR="00856EBC" w:rsidRDefault="00856EBC" w:rsidRPr="00CF2FDD">
      <w:pPr>
        <w:pStyle w:val="BodyText2"/>
        <w:numPr>
          <w:ilvl w:val="0"/>
          <w:numId w:val="5"/>
        </w:numPr>
        <w:tabs>
          <w:tab w:pos="360" w:val="num"/>
        </w:tabs>
        <w:ind w:hanging="1260"/>
        <w:rPr>
          <w:rFonts w:ascii="Arial" w:cs="Arial" w:hAnsi="Arial"/>
          <w:b/>
          <w:color w:val="auto"/>
          <w:sz w:val="20"/>
          <w:u w:val="single"/>
        </w:rPr>
      </w:pPr>
      <w:r w:rsidRPr="00CF2FDD">
        <w:rPr>
          <w:rFonts w:ascii="Arial" w:cs="Arial" w:hAnsi="Arial"/>
          <w:b/>
          <w:color w:val="auto"/>
          <w:sz w:val="20"/>
          <w:u w:val="single"/>
        </w:rPr>
        <w:t xml:space="preserve">Pour les Organisations Syndicales </w:t>
      </w:r>
      <w:r w:rsidR="00CE25F0" w:rsidRPr="00CF2FDD">
        <w:rPr>
          <w:rFonts w:ascii="Arial" w:cs="Arial" w:hAnsi="Arial"/>
          <w:b/>
          <w:color w:val="auto"/>
          <w:sz w:val="20"/>
          <w:u w:val="single"/>
        </w:rPr>
        <w:t>Représentatives</w:t>
      </w:r>
    </w:p>
    <w:p w14:paraId="09AE9E9C" w14:textId="77777777" w:rsidP="00856EBC" w:rsidR="00856EBC" w:rsidRDefault="00856EBC" w:rsidRPr="00CF2FDD">
      <w:pPr>
        <w:overflowPunct w:val="0"/>
        <w:autoSpaceDE w:val="0"/>
        <w:autoSpaceDN w:val="0"/>
        <w:adjustRightInd w:val="0"/>
        <w:jc w:val="both"/>
        <w:rPr>
          <w:rFonts w:ascii="Arial" w:cs="Arial" w:hAnsi="Arial"/>
          <w:sz w:val="20"/>
          <w:szCs w:val="20"/>
          <w:lang w:val="fr-FR"/>
        </w:rPr>
      </w:pPr>
    </w:p>
    <w:p w14:paraId="0B077BA6" w14:textId="77777777" w:rsidP="00856EBC" w:rsidR="00856EBC" w:rsidRDefault="00856EBC" w:rsidRPr="00CF2FDD">
      <w:pPr>
        <w:overflowPunct w:val="0"/>
        <w:autoSpaceDE w:val="0"/>
        <w:autoSpaceDN w:val="0"/>
        <w:adjustRightInd w:val="0"/>
        <w:jc w:val="both"/>
        <w:rPr>
          <w:rFonts w:ascii="Arial" w:cs="Arial" w:hAnsi="Arial"/>
          <w:sz w:val="20"/>
          <w:szCs w:val="20"/>
          <w:lang w:val="fr-FR"/>
        </w:rPr>
      </w:pPr>
    </w:p>
    <w:p w14:paraId="391F52E4" w14:textId="77777777" w:rsidP="00856EBC" w:rsidR="00856EBC" w:rsidRDefault="00856EBC" w:rsidRPr="00CF2FDD">
      <w:pPr>
        <w:tabs>
          <w:tab w:leader="dot" w:pos="9639" w:val="right"/>
          <w:tab w:pos="9720" w:val="right"/>
        </w:tabs>
        <w:overflowPunct w:val="0"/>
        <w:autoSpaceDE w:val="0"/>
        <w:autoSpaceDN w:val="0"/>
        <w:adjustRightInd w:val="0"/>
        <w:jc w:val="both"/>
        <w:rPr>
          <w:rFonts w:ascii="Arial" w:cs="Arial" w:hAnsi="Arial"/>
          <w:sz w:val="20"/>
          <w:szCs w:val="20"/>
          <w:lang w:eastAsia="fr-FR" w:val="fr-FR"/>
        </w:rPr>
      </w:pPr>
      <w:r w:rsidRPr="00CF2FDD">
        <w:rPr>
          <w:rFonts w:ascii="Arial" w:cs="Arial" w:hAnsi="Arial"/>
          <w:sz w:val="20"/>
          <w:szCs w:val="20"/>
          <w:lang w:val="fr-FR"/>
        </w:rPr>
        <w:t xml:space="preserve">Pour la CFDT, Délégué(e) Syndical(e) de l’U.E.S. </w:t>
      </w:r>
    </w:p>
    <w:p w14:paraId="01BBC887" w14:textId="77777777" w:rsidP="00856EBC" w:rsidR="00856EBC" w:rsidRDefault="00856EBC" w:rsidRPr="00CF2FDD">
      <w:pPr>
        <w:tabs>
          <w:tab w:leader="dot" w:pos="9639" w:val="right"/>
          <w:tab w:pos="9720" w:val="right"/>
        </w:tabs>
        <w:overflowPunct w:val="0"/>
        <w:autoSpaceDE w:val="0"/>
        <w:autoSpaceDN w:val="0"/>
        <w:adjustRightInd w:val="0"/>
        <w:jc w:val="both"/>
        <w:rPr>
          <w:rFonts w:ascii="Arial" w:cs="Arial" w:hAnsi="Arial"/>
          <w:sz w:val="20"/>
          <w:szCs w:val="20"/>
          <w:lang w:eastAsia="fr-FR" w:val="fr-FR"/>
        </w:rPr>
      </w:pPr>
    </w:p>
    <w:p w14:paraId="1C089266" w14:textId="1328CCCD" w:rsidP="00856EBC" w:rsidR="00856EBC" w:rsidRDefault="00856EBC" w:rsidRPr="00CF2FDD">
      <w:pPr>
        <w:tabs>
          <w:tab w:leader="dot" w:pos="9639" w:val="right"/>
          <w:tab w:pos="9720" w:val="right"/>
        </w:tabs>
        <w:overflowPunct w:val="0"/>
        <w:autoSpaceDE w:val="0"/>
        <w:autoSpaceDN w:val="0"/>
        <w:adjustRightInd w:val="0"/>
        <w:jc w:val="both"/>
        <w:rPr>
          <w:rFonts w:ascii="Arial" w:cs="Arial" w:hAnsi="Arial"/>
          <w:sz w:val="20"/>
          <w:szCs w:val="20"/>
          <w:lang w:eastAsia="fr-FR" w:val="fr-FR"/>
        </w:rPr>
      </w:pPr>
    </w:p>
    <w:p w14:paraId="64CD4350" w14:textId="1975DAEA" w:rsidP="00856EBC" w:rsidR="00856EBC" w:rsidRDefault="00856EBC" w:rsidRPr="00CF2FDD">
      <w:pPr>
        <w:tabs>
          <w:tab w:leader="dot" w:pos="9639" w:val="right"/>
          <w:tab w:pos="9720" w:val="right"/>
        </w:tabs>
        <w:overflowPunct w:val="0"/>
        <w:autoSpaceDE w:val="0"/>
        <w:autoSpaceDN w:val="0"/>
        <w:adjustRightInd w:val="0"/>
        <w:jc w:val="both"/>
        <w:rPr>
          <w:rFonts w:ascii="Arial" w:cs="Arial" w:hAnsi="Arial"/>
          <w:sz w:val="20"/>
          <w:szCs w:val="20"/>
          <w:lang w:eastAsia="fr-FR" w:val="fr-FR"/>
        </w:rPr>
      </w:pPr>
    </w:p>
    <w:p w14:paraId="595C0698" w14:textId="3A75C8EA" w:rsidP="00856EBC" w:rsidR="00F96850" w:rsidRDefault="00F96850" w:rsidRPr="00CF2FDD">
      <w:pPr>
        <w:tabs>
          <w:tab w:leader="dot" w:pos="9639" w:val="right"/>
          <w:tab w:pos="9720" w:val="right"/>
        </w:tabs>
        <w:overflowPunct w:val="0"/>
        <w:autoSpaceDE w:val="0"/>
        <w:autoSpaceDN w:val="0"/>
        <w:adjustRightInd w:val="0"/>
        <w:jc w:val="both"/>
        <w:rPr>
          <w:rFonts w:ascii="Arial" w:cs="Arial" w:hAnsi="Arial"/>
          <w:sz w:val="20"/>
          <w:szCs w:val="20"/>
          <w:lang w:eastAsia="fr-FR" w:val="fr-FR"/>
        </w:rPr>
      </w:pPr>
    </w:p>
    <w:p w14:paraId="53A98EBA" w14:textId="77777777" w:rsidP="00856EBC" w:rsidR="00F96850" w:rsidRDefault="00F96850" w:rsidRPr="00CF2FDD">
      <w:pPr>
        <w:tabs>
          <w:tab w:leader="dot" w:pos="9639" w:val="right"/>
          <w:tab w:pos="9720" w:val="right"/>
        </w:tabs>
        <w:overflowPunct w:val="0"/>
        <w:autoSpaceDE w:val="0"/>
        <w:autoSpaceDN w:val="0"/>
        <w:adjustRightInd w:val="0"/>
        <w:jc w:val="both"/>
        <w:rPr>
          <w:rFonts w:ascii="Arial" w:cs="Arial" w:hAnsi="Arial"/>
          <w:sz w:val="20"/>
          <w:szCs w:val="20"/>
          <w:lang w:eastAsia="fr-FR" w:val="fr-FR"/>
        </w:rPr>
      </w:pPr>
    </w:p>
    <w:p w14:paraId="319C5158" w14:textId="77777777" w:rsidP="00856EBC" w:rsidR="00856EBC" w:rsidRDefault="00856EBC" w:rsidRPr="00CF2FDD">
      <w:pPr>
        <w:tabs>
          <w:tab w:leader="dot" w:pos="9639" w:val="right"/>
          <w:tab w:pos="9720" w:val="right"/>
        </w:tabs>
        <w:overflowPunct w:val="0"/>
        <w:autoSpaceDE w:val="0"/>
        <w:autoSpaceDN w:val="0"/>
        <w:adjustRightInd w:val="0"/>
        <w:jc w:val="both"/>
        <w:rPr>
          <w:rFonts w:ascii="Arial" w:cs="Arial" w:hAnsi="Arial"/>
          <w:sz w:val="20"/>
          <w:szCs w:val="20"/>
          <w:lang w:eastAsia="fr-FR" w:val="fr-FR"/>
        </w:rPr>
      </w:pPr>
      <w:r w:rsidRPr="00CF2FDD">
        <w:rPr>
          <w:rFonts w:ascii="Arial" w:cs="Arial" w:hAnsi="Arial"/>
          <w:sz w:val="20"/>
          <w:szCs w:val="20"/>
          <w:lang w:val="fr-FR"/>
        </w:rPr>
        <w:t xml:space="preserve">Pour la CFE-CGC, Délégué(e) Syndical(e) de l’U.E.S. </w:t>
      </w:r>
    </w:p>
    <w:p w14:paraId="54E96B6B" w14:textId="77777777" w:rsidP="00856EBC" w:rsidR="00856EBC" w:rsidRDefault="00856EBC" w:rsidRPr="00CF2FDD">
      <w:pPr>
        <w:tabs>
          <w:tab w:leader="dot" w:pos="9639" w:val="right"/>
          <w:tab w:pos="9720" w:val="right"/>
        </w:tabs>
        <w:overflowPunct w:val="0"/>
        <w:autoSpaceDE w:val="0"/>
        <w:autoSpaceDN w:val="0"/>
        <w:adjustRightInd w:val="0"/>
        <w:jc w:val="both"/>
        <w:rPr>
          <w:rFonts w:ascii="Arial" w:cs="Arial" w:hAnsi="Arial"/>
          <w:sz w:val="20"/>
          <w:szCs w:val="20"/>
          <w:lang w:eastAsia="fr-FR" w:val="fr-FR"/>
        </w:rPr>
      </w:pPr>
    </w:p>
    <w:p w14:paraId="476B0B43" w14:textId="77777777" w:rsidP="00856EBC" w:rsidR="001B3E95" w:rsidRDefault="001B3E95" w:rsidRPr="00CF2FDD">
      <w:pPr>
        <w:tabs>
          <w:tab w:leader="dot" w:pos="9639" w:val="right"/>
          <w:tab w:pos="9720" w:val="right"/>
        </w:tabs>
        <w:overflowPunct w:val="0"/>
        <w:autoSpaceDE w:val="0"/>
        <w:autoSpaceDN w:val="0"/>
        <w:adjustRightInd w:val="0"/>
        <w:jc w:val="both"/>
        <w:rPr>
          <w:rFonts w:ascii="Arial" w:cs="Arial" w:hAnsi="Arial"/>
          <w:sz w:val="20"/>
          <w:szCs w:val="20"/>
          <w:lang w:val="fr-FR"/>
        </w:rPr>
      </w:pPr>
    </w:p>
    <w:p w14:paraId="26C9147F" w14:textId="77777777" w:rsidP="00856EBC" w:rsidR="001B3E95" w:rsidRDefault="001B3E95" w:rsidRPr="00CF2FDD">
      <w:pPr>
        <w:tabs>
          <w:tab w:leader="dot" w:pos="9639" w:val="right"/>
          <w:tab w:pos="9720" w:val="right"/>
        </w:tabs>
        <w:overflowPunct w:val="0"/>
        <w:autoSpaceDE w:val="0"/>
        <w:autoSpaceDN w:val="0"/>
        <w:adjustRightInd w:val="0"/>
        <w:jc w:val="both"/>
        <w:rPr>
          <w:rFonts w:ascii="Arial" w:cs="Arial" w:hAnsi="Arial"/>
          <w:sz w:val="20"/>
          <w:szCs w:val="20"/>
          <w:lang w:val="fr-FR"/>
        </w:rPr>
      </w:pPr>
    </w:p>
    <w:p w14:paraId="251AFEF1" w14:textId="77777777" w:rsidP="00856EBC" w:rsidR="001B3E95" w:rsidRDefault="001B3E95" w:rsidRPr="00CF2FDD">
      <w:pPr>
        <w:tabs>
          <w:tab w:leader="dot" w:pos="9639" w:val="right"/>
          <w:tab w:pos="9720" w:val="right"/>
        </w:tabs>
        <w:overflowPunct w:val="0"/>
        <w:autoSpaceDE w:val="0"/>
        <w:autoSpaceDN w:val="0"/>
        <w:adjustRightInd w:val="0"/>
        <w:jc w:val="both"/>
        <w:rPr>
          <w:rFonts w:ascii="Arial" w:cs="Arial" w:hAnsi="Arial"/>
          <w:sz w:val="20"/>
          <w:szCs w:val="20"/>
          <w:lang w:val="fr-FR"/>
        </w:rPr>
      </w:pPr>
    </w:p>
    <w:p w14:paraId="4EDD1E50" w14:textId="77777777" w:rsidP="00856EBC" w:rsidR="001B3E95" w:rsidRDefault="001B3E95" w:rsidRPr="00CF2FDD">
      <w:pPr>
        <w:tabs>
          <w:tab w:leader="dot" w:pos="9639" w:val="right"/>
          <w:tab w:pos="9720" w:val="right"/>
        </w:tabs>
        <w:overflowPunct w:val="0"/>
        <w:autoSpaceDE w:val="0"/>
        <w:autoSpaceDN w:val="0"/>
        <w:adjustRightInd w:val="0"/>
        <w:jc w:val="both"/>
        <w:rPr>
          <w:rFonts w:ascii="Arial" w:cs="Arial" w:hAnsi="Arial"/>
          <w:sz w:val="20"/>
          <w:szCs w:val="20"/>
          <w:lang w:val="fr-FR"/>
        </w:rPr>
      </w:pPr>
    </w:p>
    <w:p w14:paraId="1B9BB69C" w14:textId="17B3269D" w:rsidP="00856EBC" w:rsidR="00856EBC" w:rsidRDefault="00856EBC" w:rsidRPr="00CF2FDD">
      <w:pPr>
        <w:tabs>
          <w:tab w:leader="dot" w:pos="9639" w:val="right"/>
          <w:tab w:pos="9720" w:val="right"/>
        </w:tabs>
        <w:overflowPunct w:val="0"/>
        <w:autoSpaceDE w:val="0"/>
        <w:autoSpaceDN w:val="0"/>
        <w:adjustRightInd w:val="0"/>
        <w:jc w:val="both"/>
        <w:rPr>
          <w:rFonts w:ascii="Arial" w:cs="Arial" w:hAnsi="Arial"/>
          <w:sz w:val="20"/>
          <w:szCs w:val="20"/>
          <w:lang w:eastAsia="fr-FR" w:val="fr-FR"/>
        </w:rPr>
      </w:pPr>
      <w:r w:rsidRPr="00CF2FDD">
        <w:rPr>
          <w:rFonts w:ascii="Arial" w:cs="Arial" w:hAnsi="Arial"/>
          <w:sz w:val="20"/>
          <w:szCs w:val="20"/>
          <w:lang w:val="fr-FR"/>
        </w:rPr>
        <w:t xml:space="preserve">Pour la CFTC, Délégué(e) Syndical(e) de l’U.E.S. </w:t>
      </w:r>
    </w:p>
    <w:p w14:paraId="3FB93CDD" w14:textId="77777777" w:rsidP="00856EBC" w:rsidR="00856EBC" w:rsidRDefault="00856EBC" w:rsidRPr="00CF2FDD">
      <w:pPr>
        <w:tabs>
          <w:tab w:leader="dot" w:pos="9639" w:val="right"/>
          <w:tab w:pos="9720" w:val="right"/>
        </w:tabs>
        <w:overflowPunct w:val="0"/>
        <w:autoSpaceDE w:val="0"/>
        <w:autoSpaceDN w:val="0"/>
        <w:adjustRightInd w:val="0"/>
        <w:jc w:val="both"/>
        <w:rPr>
          <w:rFonts w:ascii="Arial" w:cs="Arial" w:hAnsi="Arial"/>
          <w:sz w:val="20"/>
          <w:szCs w:val="20"/>
          <w:lang w:eastAsia="fr-FR" w:val="fr-FR"/>
        </w:rPr>
      </w:pPr>
    </w:p>
    <w:p w14:paraId="4060BAFC" w14:textId="77777777" w:rsidP="00856EBC" w:rsidR="00856EBC" w:rsidRDefault="00856EBC" w:rsidRPr="00CF2FDD">
      <w:pPr>
        <w:tabs>
          <w:tab w:leader="dot" w:pos="9639" w:val="right"/>
          <w:tab w:pos="9720" w:val="right"/>
        </w:tabs>
        <w:overflowPunct w:val="0"/>
        <w:autoSpaceDE w:val="0"/>
        <w:autoSpaceDN w:val="0"/>
        <w:adjustRightInd w:val="0"/>
        <w:jc w:val="both"/>
        <w:rPr>
          <w:rFonts w:ascii="Arial" w:cs="Arial" w:hAnsi="Arial"/>
          <w:sz w:val="20"/>
          <w:szCs w:val="20"/>
          <w:lang w:eastAsia="fr-FR" w:val="fr-FR"/>
        </w:rPr>
      </w:pPr>
    </w:p>
    <w:p w14:paraId="59F22113" w14:textId="77777777" w:rsidP="00856EBC" w:rsidR="00856EBC" w:rsidRDefault="00856EBC" w:rsidRPr="00CF2FDD">
      <w:pPr>
        <w:tabs>
          <w:tab w:leader="dot" w:pos="9639" w:val="right"/>
          <w:tab w:pos="9720" w:val="right"/>
        </w:tabs>
        <w:overflowPunct w:val="0"/>
        <w:autoSpaceDE w:val="0"/>
        <w:autoSpaceDN w:val="0"/>
        <w:adjustRightInd w:val="0"/>
        <w:jc w:val="both"/>
        <w:rPr>
          <w:rFonts w:ascii="Arial" w:cs="Arial" w:hAnsi="Arial"/>
          <w:sz w:val="20"/>
          <w:szCs w:val="20"/>
          <w:lang w:eastAsia="fr-FR" w:val="fr-FR"/>
        </w:rPr>
      </w:pPr>
    </w:p>
    <w:p w14:paraId="38EBB357" w14:textId="77777777" w:rsidP="00856EBC" w:rsidR="00856EBC" w:rsidRDefault="00856EBC" w:rsidRPr="00CF2FDD">
      <w:pPr>
        <w:tabs>
          <w:tab w:leader="dot" w:pos="9639" w:val="right"/>
          <w:tab w:pos="9720" w:val="right"/>
        </w:tabs>
        <w:overflowPunct w:val="0"/>
        <w:autoSpaceDE w:val="0"/>
        <w:autoSpaceDN w:val="0"/>
        <w:adjustRightInd w:val="0"/>
        <w:jc w:val="both"/>
        <w:rPr>
          <w:rFonts w:ascii="Arial" w:cs="Arial" w:hAnsi="Arial"/>
          <w:sz w:val="20"/>
          <w:szCs w:val="20"/>
          <w:lang w:eastAsia="fr-FR" w:val="fr-FR"/>
        </w:rPr>
      </w:pPr>
    </w:p>
    <w:p w14:paraId="454BD77D" w14:textId="77777777" w:rsidP="00856EBC" w:rsidR="00856EBC" w:rsidRDefault="00856EBC" w:rsidRPr="00CF2FDD">
      <w:pPr>
        <w:tabs>
          <w:tab w:leader="dot" w:pos="9639" w:val="right"/>
          <w:tab w:pos="9720" w:val="right"/>
        </w:tabs>
        <w:overflowPunct w:val="0"/>
        <w:autoSpaceDE w:val="0"/>
        <w:autoSpaceDN w:val="0"/>
        <w:adjustRightInd w:val="0"/>
        <w:jc w:val="both"/>
        <w:rPr>
          <w:rFonts w:ascii="Arial" w:cs="Arial" w:hAnsi="Arial"/>
          <w:sz w:val="20"/>
          <w:szCs w:val="20"/>
          <w:lang w:eastAsia="fr-FR" w:val="fr-FR"/>
        </w:rPr>
      </w:pPr>
      <w:r w:rsidRPr="00CF2FDD">
        <w:rPr>
          <w:rFonts w:ascii="Arial" w:cs="Arial" w:hAnsi="Arial"/>
          <w:sz w:val="20"/>
          <w:szCs w:val="20"/>
          <w:lang w:val="fr-FR"/>
        </w:rPr>
        <w:t>Pour la CGT, Délégué(e) Syndical(e) de l’U.E.S.</w:t>
      </w:r>
    </w:p>
    <w:p w14:paraId="0996A9CF" w14:textId="77777777" w:rsidP="00856EBC" w:rsidR="00856EBC" w:rsidRDefault="00856EBC" w:rsidRPr="00CF2FDD">
      <w:pPr>
        <w:tabs>
          <w:tab w:leader="dot" w:pos="9639" w:val="right"/>
          <w:tab w:pos="9720" w:val="right"/>
        </w:tabs>
        <w:overflowPunct w:val="0"/>
        <w:autoSpaceDE w:val="0"/>
        <w:autoSpaceDN w:val="0"/>
        <w:adjustRightInd w:val="0"/>
        <w:jc w:val="both"/>
        <w:rPr>
          <w:rFonts w:ascii="Arial" w:cs="Arial" w:hAnsi="Arial"/>
          <w:sz w:val="20"/>
          <w:szCs w:val="20"/>
          <w:lang w:val="fr-FR"/>
        </w:rPr>
      </w:pPr>
    </w:p>
    <w:p w14:paraId="73FD240B" w14:textId="77777777" w:rsidP="00856EBC" w:rsidR="00856EBC" w:rsidRDefault="00856EBC" w:rsidRPr="00CF2FDD">
      <w:pPr>
        <w:tabs>
          <w:tab w:leader="dot" w:pos="9639" w:val="right"/>
          <w:tab w:pos="9720" w:val="right"/>
        </w:tabs>
        <w:overflowPunct w:val="0"/>
        <w:autoSpaceDE w:val="0"/>
        <w:autoSpaceDN w:val="0"/>
        <w:adjustRightInd w:val="0"/>
        <w:jc w:val="both"/>
        <w:rPr>
          <w:rFonts w:ascii="Arial" w:cs="Arial" w:hAnsi="Arial"/>
          <w:sz w:val="20"/>
          <w:szCs w:val="20"/>
          <w:lang w:val="fr-FR"/>
        </w:rPr>
      </w:pPr>
    </w:p>
    <w:p w14:paraId="515C9C87" w14:textId="77777777" w:rsidP="00856EBC" w:rsidR="00856EBC" w:rsidRDefault="00856EBC" w:rsidRPr="00CF2FDD">
      <w:pPr>
        <w:tabs>
          <w:tab w:leader="dot" w:pos="9639" w:val="right"/>
          <w:tab w:pos="9720" w:val="right"/>
        </w:tabs>
        <w:overflowPunct w:val="0"/>
        <w:autoSpaceDE w:val="0"/>
        <w:autoSpaceDN w:val="0"/>
        <w:adjustRightInd w:val="0"/>
        <w:jc w:val="both"/>
        <w:rPr>
          <w:rFonts w:ascii="Arial" w:cs="Arial" w:hAnsi="Arial"/>
          <w:sz w:val="20"/>
          <w:szCs w:val="20"/>
          <w:lang w:val="fr-FR"/>
        </w:rPr>
      </w:pPr>
    </w:p>
    <w:p w14:paraId="68EDBB7C" w14:textId="77777777" w:rsidP="00856EBC" w:rsidR="00856EBC" w:rsidRDefault="00856EBC" w:rsidRPr="00CF2FDD">
      <w:pPr>
        <w:tabs>
          <w:tab w:leader="dot" w:pos="9639" w:val="right"/>
          <w:tab w:pos="9720" w:val="right"/>
        </w:tabs>
        <w:overflowPunct w:val="0"/>
        <w:autoSpaceDE w:val="0"/>
        <w:autoSpaceDN w:val="0"/>
        <w:adjustRightInd w:val="0"/>
        <w:jc w:val="both"/>
        <w:rPr>
          <w:rFonts w:ascii="Arial" w:cs="Arial" w:hAnsi="Arial"/>
          <w:sz w:val="20"/>
          <w:szCs w:val="20"/>
          <w:lang w:val="fr-FR"/>
        </w:rPr>
      </w:pPr>
    </w:p>
    <w:p w14:paraId="61971C73" w14:textId="1ABD0709" w:rsidR="008D02A0" w:rsidRDefault="00856EBC" w:rsidRPr="00CF2FDD">
      <w:pPr>
        <w:rPr>
          <w:lang w:val="fr-FR"/>
        </w:rPr>
      </w:pPr>
      <w:r w:rsidRPr="00CF2FDD">
        <w:rPr>
          <w:rFonts w:ascii="Arial" w:cs="Arial" w:hAnsi="Arial"/>
          <w:sz w:val="20"/>
          <w:szCs w:val="20"/>
          <w:lang w:val="fr-FR"/>
        </w:rPr>
        <w:t>Pour l'UNSA, Délégué(e) Syndical(e) de l’U.E.S</w:t>
      </w:r>
      <w:r w:rsidR="005B345A" w:rsidRPr="00CF2FDD">
        <w:rPr>
          <w:rFonts w:ascii="Arial" w:cs="Arial" w:hAnsi="Arial"/>
          <w:sz w:val="20"/>
          <w:szCs w:val="20"/>
          <w:lang w:val="fr-FR"/>
        </w:rPr>
        <w:t>.</w:t>
      </w:r>
      <w:r w:rsidRPr="00CF2FDD">
        <w:rPr>
          <w:rFonts w:ascii="Arial" w:cs="Arial" w:hAnsi="Arial"/>
          <w:sz w:val="20"/>
          <w:szCs w:val="20"/>
          <w:lang w:val="fr-FR"/>
        </w:rPr>
        <w:tab/>
      </w:r>
    </w:p>
    <w:sectPr w:rsidR="008D02A0" w:rsidRPr="00CF2FDD">
      <w:headerReference r:id="rId8" w:type="default"/>
      <w:footerReference r:id="rId9" w:type="default"/>
      <w:pgSz w:h="15840" w:w="12240"/>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0820B" w14:textId="77777777" w:rsidR="00756B51" w:rsidRDefault="00756B51" w:rsidP="005B345A">
      <w:r>
        <w:separator/>
      </w:r>
    </w:p>
  </w:endnote>
  <w:endnote w:type="continuationSeparator" w:id="0">
    <w:p w14:paraId="689FB3E3" w14:textId="77777777" w:rsidR="00756B51" w:rsidRDefault="00756B51" w:rsidP="005B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1C0B53C2" w14:textId="77777777" w:rsidP="00684AC5" w:rsidR="00684AC5" w:rsidRDefault="00684AC5">
    <w:pPr>
      <w:pStyle w:val="Footer"/>
      <w:jc w:val="right"/>
    </w:pPr>
    <w:r>
      <w:t xml:space="preserve">      </w:t>
    </w:r>
    <w:r>
      <w:tab/>
    </w:r>
    <w:r>
      <w:tab/>
    </w:r>
  </w:p>
  <w:p w14:paraId="1CABEA47" w14:textId="5BB5DAF3" w:rsidP="00684AC5" w:rsidR="005B345A" w:rsidRDefault="00684AC5">
    <w:pPr>
      <w:pStyle w:val="Footer"/>
    </w:pPr>
    <w:r w:rsidRPr="00684AC5">
      <w:rPr>
        <w:sz w:val="20"/>
        <w:szCs w:val="20"/>
      </w:rPr>
      <w:t xml:space="preserve">Direction Stratégie Sociale                                                                  </w:t>
    </w:r>
    <w:sdt>
      <w:sdtPr>
        <w:id w:val="-2106722944"/>
        <w:docPartObj>
          <w:docPartGallery w:val="Page Numbers (Bottom of Page)"/>
          <w:docPartUnique/>
        </w:docPartObj>
      </w:sdtPr>
      <w:sdtEndPr>
        <w:rPr>
          <w:noProof/>
        </w:rPr>
      </w:sdtEndPr>
      <w:sdtContent>
        <w:r>
          <w:t xml:space="preserve">       </w:t>
        </w:r>
        <w:r w:rsidR="006E294D">
          <w:tab/>
        </w:r>
        <w:r>
          <w:t xml:space="preserve">  </w:t>
        </w:r>
        <w:r w:rsidR="005B345A">
          <w:fldChar w:fldCharType="begin"/>
        </w:r>
        <w:r w:rsidR="005B345A">
          <w:instrText xml:space="preserve"> PAGE   \* MERGEFORMAT </w:instrText>
        </w:r>
        <w:r w:rsidR="005B345A">
          <w:fldChar w:fldCharType="separate"/>
        </w:r>
        <w:r w:rsidR="005B345A">
          <w:rPr>
            <w:noProof/>
          </w:rPr>
          <w:t>2</w:t>
        </w:r>
        <w:r w:rsidR="005B345A">
          <w:rPr>
            <w:noProof/>
          </w:rPr>
          <w:fldChar w:fldCharType="end"/>
        </w:r>
      </w:sdtContent>
    </w:sdt>
  </w:p>
  <w:p w14:paraId="5D9261B2" w14:textId="77777777" w:rsidR="005B345A" w:rsidRDefault="005B345A">
    <w:pPr>
      <w:pStyle w:val="Foote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40CDF7D9" w14:textId="77777777" w:rsidP="005B345A" w:rsidR="00756B51" w:rsidRDefault="00756B51">
      <w:r>
        <w:separator/>
      </w:r>
    </w:p>
  </w:footnote>
  <w:footnote w:id="0" w:type="continuationSeparator">
    <w:p w14:paraId="6D719224" w14:textId="77777777" w:rsidP="005B345A" w:rsidR="00756B51" w:rsidRDefault="00756B51">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D9023FA" w14:textId="4DA6FD4A" w:rsidR="006124A9" w:rsidRDefault="005961DF" w:rsidRPr="006124A9">
    <w:pPr>
      <w:pStyle w:val="Header"/>
      <w:rPr>
        <w:b/>
        <w:bCs/>
        <w:u w:val="single"/>
      </w:rPr>
    </w:pPr>
    <w:r>
      <w:tab/>
    </w:r>
    <w:r w:rsidR="006124A9">
      <w:tab/>
    </w:r>
  </w:p>
  <w:p w14:paraId="058B3C95" w14:textId="77777777" w:rsidR="00F24EC4" w:rsidRDefault="00F24EC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28C70950"/>
    <w:multiLevelType w:val="multilevel"/>
    <w:tmpl w:val="D82A7808"/>
    <w:lvl w:ilvl="0">
      <w:start w:val="2"/>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
    <w:nsid w:val="2AFD5905"/>
    <w:multiLevelType w:val="hybridMultilevel"/>
    <w:tmpl w:val="3D8C8A22"/>
    <w:lvl w:ilvl="0" w:tplc="040C0001">
      <w:start w:val="1"/>
      <w:numFmt w:val="bullet"/>
      <w:lvlText w:val=""/>
      <w:lvlJc w:val="left"/>
      <w:pPr>
        <w:tabs>
          <w:tab w:pos="720" w:val="num"/>
        </w:tabs>
        <w:ind w:hanging="360" w:left="720"/>
      </w:pPr>
      <w:rPr>
        <w:rFonts w:ascii="Symbol" w:hAnsi="Symbol" w:hint="default"/>
      </w:rPr>
    </w:lvl>
    <w:lvl w:ilvl="1" w:tplc="DFAC55CC">
      <w:numFmt w:val="bullet"/>
      <w:lvlText w:val="-"/>
      <w:lvlJc w:val="left"/>
      <w:pPr>
        <w:tabs>
          <w:tab w:pos="1440" w:val="num"/>
        </w:tabs>
        <w:ind w:hanging="360" w:left="1440"/>
      </w:pPr>
      <w:rPr>
        <w:rFonts w:ascii="Times New Roman" w:cs="Times New Roman" w:eastAsia="Times New Roman" w:hAnsi="Times New Roman" w:hint="default"/>
      </w:r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2">
    <w:nsid w:val="4402537D"/>
    <w:multiLevelType w:val="hybridMultilevel"/>
    <w:tmpl w:val="5EE8577E"/>
    <w:lvl w:ilvl="0" w:tplc="0FB4D0CC">
      <w:start w:val="1"/>
      <w:numFmt w:val="bullet"/>
      <w:lvlText w:val=""/>
      <w:lvlJc w:val="left"/>
      <w:pPr>
        <w:tabs>
          <w:tab w:pos="720" w:val="num"/>
        </w:tabs>
        <w:ind w:hanging="360" w:left="720"/>
      </w:pPr>
      <w:rPr>
        <w:rFonts w:ascii="Wingdings" w:hAnsi="Wingdings" w:hint="default"/>
      </w:rPr>
    </w:lvl>
    <w:lvl w:ilvl="1" w:tplc="B1F2434A">
      <w:start w:val="1"/>
      <w:numFmt w:val="bullet"/>
      <w:lvlText w:val=""/>
      <w:lvlJc w:val="left"/>
      <w:pPr>
        <w:tabs>
          <w:tab w:pos="1440" w:val="num"/>
        </w:tabs>
        <w:ind w:hanging="360" w:left="1440"/>
      </w:pPr>
      <w:rPr>
        <w:rFonts w:ascii="Wingdings" w:hAnsi="Wingdings" w:hint="default"/>
      </w:rPr>
    </w:lvl>
    <w:lvl w:ilvl="2" w:tplc="D69CE01E">
      <w:start w:val="1"/>
      <w:numFmt w:val="bullet"/>
      <w:lvlText w:val=""/>
      <w:lvlJc w:val="left"/>
      <w:pPr>
        <w:tabs>
          <w:tab w:pos="2160" w:val="num"/>
        </w:tabs>
        <w:ind w:hanging="360" w:left="2160"/>
      </w:pPr>
      <w:rPr>
        <w:rFonts w:ascii="Wingdings" w:hAnsi="Wingdings" w:hint="default"/>
      </w:rPr>
    </w:lvl>
    <w:lvl w:ilvl="3" w:tplc="80ACBCE8">
      <w:start w:val="1"/>
      <w:numFmt w:val="bullet"/>
      <w:lvlText w:val=""/>
      <w:lvlJc w:val="left"/>
      <w:pPr>
        <w:tabs>
          <w:tab w:pos="2880" w:val="num"/>
        </w:tabs>
        <w:ind w:hanging="360" w:left="2880"/>
      </w:pPr>
      <w:rPr>
        <w:rFonts w:ascii="Wingdings" w:hAnsi="Wingdings" w:hint="default"/>
      </w:rPr>
    </w:lvl>
    <w:lvl w:ilvl="4" w:tplc="B95A53BE">
      <w:start w:val="1"/>
      <w:numFmt w:val="bullet"/>
      <w:lvlText w:val=""/>
      <w:lvlJc w:val="left"/>
      <w:pPr>
        <w:tabs>
          <w:tab w:pos="3600" w:val="num"/>
        </w:tabs>
        <w:ind w:hanging="360" w:left="3600"/>
      </w:pPr>
      <w:rPr>
        <w:rFonts w:ascii="Wingdings" w:hAnsi="Wingdings" w:hint="default"/>
      </w:rPr>
    </w:lvl>
    <w:lvl w:ilvl="5" w:tplc="01464F0C">
      <w:start w:val="1"/>
      <w:numFmt w:val="bullet"/>
      <w:lvlText w:val=""/>
      <w:lvlJc w:val="left"/>
      <w:pPr>
        <w:tabs>
          <w:tab w:pos="4320" w:val="num"/>
        </w:tabs>
        <w:ind w:hanging="360" w:left="4320"/>
      </w:pPr>
      <w:rPr>
        <w:rFonts w:ascii="Wingdings" w:hAnsi="Wingdings" w:hint="default"/>
      </w:rPr>
    </w:lvl>
    <w:lvl w:ilvl="6" w:tplc="D4DCA47A">
      <w:start w:val="1"/>
      <w:numFmt w:val="bullet"/>
      <w:lvlText w:val=""/>
      <w:lvlJc w:val="left"/>
      <w:pPr>
        <w:tabs>
          <w:tab w:pos="5040" w:val="num"/>
        </w:tabs>
        <w:ind w:hanging="360" w:left="5040"/>
      </w:pPr>
      <w:rPr>
        <w:rFonts w:ascii="Wingdings" w:hAnsi="Wingdings" w:hint="default"/>
      </w:rPr>
    </w:lvl>
    <w:lvl w:ilvl="7" w:tplc="59FCAD54">
      <w:start w:val="1"/>
      <w:numFmt w:val="bullet"/>
      <w:lvlText w:val=""/>
      <w:lvlJc w:val="left"/>
      <w:pPr>
        <w:tabs>
          <w:tab w:pos="5760" w:val="num"/>
        </w:tabs>
        <w:ind w:hanging="360" w:left="5760"/>
      </w:pPr>
      <w:rPr>
        <w:rFonts w:ascii="Wingdings" w:hAnsi="Wingdings" w:hint="default"/>
      </w:rPr>
    </w:lvl>
    <w:lvl w:ilvl="8" w:tplc="04D0DFF2">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4EF6072A"/>
    <w:multiLevelType w:val="hybridMultilevel"/>
    <w:tmpl w:val="86BAF76C"/>
    <w:lvl w:ilvl="0" w:tplc="04090001">
      <w:start w:val="1"/>
      <w:numFmt w:val="bullet"/>
      <w:lvlText w:val=""/>
      <w:lvlJc w:val="left"/>
      <w:pPr>
        <w:tabs>
          <w:tab w:pos="720" w:val="num"/>
        </w:tabs>
        <w:ind w:hanging="360" w:left="720"/>
      </w:pPr>
      <w:rPr>
        <w:rFonts w:ascii="Symbol" w:hAnsi="Symbol" w:hint="default"/>
      </w:rPr>
    </w:lvl>
    <w:lvl w:ilvl="1" w:tplc="7436BBC2">
      <w:start w:val="1"/>
      <w:numFmt w:val="bullet"/>
      <w:lvlText w:val="-"/>
      <w:lvlJc w:val="left"/>
      <w:pPr>
        <w:tabs>
          <w:tab w:pos="1440" w:val="num"/>
        </w:tabs>
        <w:ind w:hanging="360" w:left="1440"/>
      </w:pPr>
      <w:rPr>
        <w:rFonts w:ascii="Arial" w:cs="Arial" w:eastAsia="Times New Roman" w:hAnsi="Arial" w:hint="default"/>
      </w:rPr>
    </w:lvl>
    <w:lvl w:ilvl="2" w:tplc="040C0001">
      <w:start w:val="1"/>
      <w:numFmt w:val="bullet"/>
      <w:lvlText w:val=""/>
      <w:lvlJc w:val="left"/>
      <w:pPr>
        <w:tabs>
          <w:tab w:pos="2160" w:val="num"/>
        </w:tabs>
        <w:ind w:hanging="360" w:left="2160"/>
      </w:pPr>
      <w:rPr>
        <w:rFonts w:ascii="Symbol" w:hAnsi="Symbol" w:hint="default"/>
      </w:rPr>
    </w:lvl>
    <w:lvl w:ilvl="3" w:tplc="04090001">
      <w:start w:val="1"/>
      <w:numFmt w:val="decimal"/>
      <w:lvlText w:val="%4."/>
      <w:lvlJc w:val="left"/>
      <w:pPr>
        <w:tabs>
          <w:tab w:pos="2880" w:val="num"/>
        </w:tabs>
        <w:ind w:hanging="360" w:left="2880"/>
      </w:pPr>
    </w:lvl>
    <w:lvl w:ilvl="4" w:tplc="04090003">
      <w:start w:val="1"/>
      <w:numFmt w:val="decimal"/>
      <w:lvlText w:val="%5."/>
      <w:lvlJc w:val="left"/>
      <w:pPr>
        <w:tabs>
          <w:tab w:pos="3600" w:val="num"/>
        </w:tabs>
        <w:ind w:hanging="360" w:left="3600"/>
      </w:pPr>
    </w:lvl>
    <w:lvl w:ilvl="5" w:tplc="04090005">
      <w:start w:val="1"/>
      <w:numFmt w:val="decimal"/>
      <w:lvlText w:val="%6."/>
      <w:lvlJc w:val="left"/>
      <w:pPr>
        <w:tabs>
          <w:tab w:pos="4320" w:val="num"/>
        </w:tabs>
        <w:ind w:hanging="360" w:left="4320"/>
      </w:pPr>
    </w:lvl>
    <w:lvl w:ilvl="6" w:tplc="04090001">
      <w:start w:val="1"/>
      <w:numFmt w:val="decimal"/>
      <w:lvlText w:val="%7."/>
      <w:lvlJc w:val="left"/>
      <w:pPr>
        <w:tabs>
          <w:tab w:pos="5040" w:val="num"/>
        </w:tabs>
        <w:ind w:hanging="360" w:left="5040"/>
      </w:pPr>
    </w:lvl>
    <w:lvl w:ilvl="7" w:tplc="04090003">
      <w:start w:val="1"/>
      <w:numFmt w:val="decimal"/>
      <w:lvlText w:val="%8."/>
      <w:lvlJc w:val="left"/>
      <w:pPr>
        <w:tabs>
          <w:tab w:pos="5760" w:val="num"/>
        </w:tabs>
        <w:ind w:hanging="360" w:left="5760"/>
      </w:pPr>
    </w:lvl>
    <w:lvl w:ilvl="8" w:tplc="04090005">
      <w:start w:val="1"/>
      <w:numFmt w:val="decimal"/>
      <w:lvlText w:val="%9."/>
      <w:lvlJc w:val="left"/>
      <w:pPr>
        <w:tabs>
          <w:tab w:pos="6480" w:val="num"/>
        </w:tabs>
        <w:ind w:hanging="360" w:left="6480"/>
      </w:pPr>
    </w:lvl>
  </w:abstractNum>
  <w:abstractNum w15:restartNumberingAfterBreak="0" w:abstractNumId="4">
    <w:nsid w:val="57AD3E60"/>
    <w:multiLevelType w:val="hybridMultilevel"/>
    <w:tmpl w:val="439E53E6"/>
    <w:lvl w:ilvl="0" w:tplc="B1E2AD32">
      <w:start w:val="1"/>
      <w:numFmt w:val="bullet"/>
      <w:lvlText w:val="-"/>
      <w:lvlJc w:val="left"/>
      <w:pPr>
        <w:ind w:hanging="360" w:left="1080"/>
      </w:pPr>
      <w:rPr>
        <w:rFonts w:ascii="Arial" w:cs="Arial" w:eastAsia="Times New Roman" w:hAnsi="Arial" w:hint="default"/>
      </w:rPr>
    </w:lvl>
    <w:lvl w:ilvl="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5">
    <w:nsid w:val="6251169B"/>
    <w:multiLevelType w:val="hybridMultilevel"/>
    <w:tmpl w:val="66B6F3D0"/>
    <w:lvl w:ilvl="0" w:tplc="040C0001">
      <w:start w:val="1"/>
      <w:numFmt w:val="bullet"/>
      <w:lvlText w:val=""/>
      <w:lvlJc w:val="left"/>
      <w:pPr>
        <w:ind w:hanging="360" w:left="720"/>
      </w:pPr>
      <w:rPr>
        <w:rFonts w:ascii="Symbol" w:hAnsi="Symbol"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6">
    <w:nsid w:val="7E9F7A3A"/>
    <w:multiLevelType w:val="hybridMultilevel"/>
    <w:tmpl w:val="07AEE96C"/>
    <w:lvl w:ilvl="0" w:tplc="040C0005">
      <w:start w:val="1"/>
      <w:numFmt w:val="bullet"/>
      <w:lvlText w:val=""/>
      <w:lvlJc w:val="left"/>
      <w:pPr>
        <w:tabs>
          <w:tab w:pos="1080" w:val="num"/>
        </w:tabs>
        <w:ind w:hanging="360" w:left="1080"/>
      </w:pPr>
      <w:rPr>
        <w:rFonts w:ascii="Wingdings" w:hAnsi="Wingdings"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20"/>
  <w:hyphenationZone w:val="425"/>
  <w:characterSpacingControl w:val="doNotCompress"/>
  <w:hdrShapeDefaults>
    <o:shapedefaults spidmax="409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BC"/>
    <w:rsid w:val="000005BC"/>
    <w:rsid w:val="0001083D"/>
    <w:rsid w:val="00014902"/>
    <w:rsid w:val="00020114"/>
    <w:rsid w:val="0003139A"/>
    <w:rsid w:val="00032B5B"/>
    <w:rsid w:val="000356C2"/>
    <w:rsid w:val="00037AA1"/>
    <w:rsid w:val="00037FE2"/>
    <w:rsid w:val="0004210E"/>
    <w:rsid w:val="00042A4D"/>
    <w:rsid w:val="00043DC3"/>
    <w:rsid w:val="000441B1"/>
    <w:rsid w:val="00044CFF"/>
    <w:rsid w:val="00056852"/>
    <w:rsid w:val="000616D5"/>
    <w:rsid w:val="00074965"/>
    <w:rsid w:val="00076F27"/>
    <w:rsid w:val="0007768B"/>
    <w:rsid w:val="000851AB"/>
    <w:rsid w:val="000862D5"/>
    <w:rsid w:val="0009029B"/>
    <w:rsid w:val="00090D03"/>
    <w:rsid w:val="00097941"/>
    <w:rsid w:val="00097F10"/>
    <w:rsid w:val="000A0F9B"/>
    <w:rsid w:val="000A5D1D"/>
    <w:rsid w:val="000B23F7"/>
    <w:rsid w:val="000B419E"/>
    <w:rsid w:val="000B555D"/>
    <w:rsid w:val="000B6912"/>
    <w:rsid w:val="000C084E"/>
    <w:rsid w:val="000C182A"/>
    <w:rsid w:val="000D15D9"/>
    <w:rsid w:val="000D3BE1"/>
    <w:rsid w:val="000D5DE8"/>
    <w:rsid w:val="000F34C7"/>
    <w:rsid w:val="000F7F35"/>
    <w:rsid w:val="00107B15"/>
    <w:rsid w:val="0011027D"/>
    <w:rsid w:val="00116B29"/>
    <w:rsid w:val="00121B66"/>
    <w:rsid w:val="00124C8F"/>
    <w:rsid w:val="00126B9A"/>
    <w:rsid w:val="001310FD"/>
    <w:rsid w:val="00133411"/>
    <w:rsid w:val="0014393E"/>
    <w:rsid w:val="00143AE8"/>
    <w:rsid w:val="00147EA7"/>
    <w:rsid w:val="00155FD2"/>
    <w:rsid w:val="00156F4C"/>
    <w:rsid w:val="001618B7"/>
    <w:rsid w:val="00161DDC"/>
    <w:rsid w:val="001624D1"/>
    <w:rsid w:val="00162D65"/>
    <w:rsid w:val="001633B8"/>
    <w:rsid w:val="00170CBE"/>
    <w:rsid w:val="001711D5"/>
    <w:rsid w:val="00173D4E"/>
    <w:rsid w:val="00177EB0"/>
    <w:rsid w:val="00177ED7"/>
    <w:rsid w:val="00184B31"/>
    <w:rsid w:val="00187DF4"/>
    <w:rsid w:val="00190600"/>
    <w:rsid w:val="00193F77"/>
    <w:rsid w:val="001978FF"/>
    <w:rsid w:val="001A345E"/>
    <w:rsid w:val="001A529B"/>
    <w:rsid w:val="001A5E9C"/>
    <w:rsid w:val="001B2B14"/>
    <w:rsid w:val="001B3E95"/>
    <w:rsid w:val="001C46E5"/>
    <w:rsid w:val="001C6328"/>
    <w:rsid w:val="001D3FEC"/>
    <w:rsid w:val="001D6B94"/>
    <w:rsid w:val="001E0A7B"/>
    <w:rsid w:val="001E23A0"/>
    <w:rsid w:val="001E5DF5"/>
    <w:rsid w:val="001E5E03"/>
    <w:rsid w:val="001F3898"/>
    <w:rsid w:val="001F5F8B"/>
    <w:rsid w:val="00200C41"/>
    <w:rsid w:val="00200DEA"/>
    <w:rsid w:val="0020466C"/>
    <w:rsid w:val="00207BA0"/>
    <w:rsid w:val="00214082"/>
    <w:rsid w:val="00222F69"/>
    <w:rsid w:val="00224A38"/>
    <w:rsid w:val="0023189F"/>
    <w:rsid w:val="002414DD"/>
    <w:rsid w:val="002452A5"/>
    <w:rsid w:val="002479C2"/>
    <w:rsid w:val="002479D1"/>
    <w:rsid w:val="002555D7"/>
    <w:rsid w:val="00257018"/>
    <w:rsid w:val="0026495A"/>
    <w:rsid w:val="002772D3"/>
    <w:rsid w:val="002858AC"/>
    <w:rsid w:val="002874FD"/>
    <w:rsid w:val="002910BB"/>
    <w:rsid w:val="00297405"/>
    <w:rsid w:val="002A0433"/>
    <w:rsid w:val="002A3C7E"/>
    <w:rsid w:val="002B2420"/>
    <w:rsid w:val="002B3C41"/>
    <w:rsid w:val="002C1845"/>
    <w:rsid w:val="002C357A"/>
    <w:rsid w:val="002D79FF"/>
    <w:rsid w:val="002E18E3"/>
    <w:rsid w:val="002E4E89"/>
    <w:rsid w:val="002E52C5"/>
    <w:rsid w:val="002E783F"/>
    <w:rsid w:val="002F17B3"/>
    <w:rsid w:val="002F33F8"/>
    <w:rsid w:val="002F4E31"/>
    <w:rsid w:val="002F78B6"/>
    <w:rsid w:val="003004F6"/>
    <w:rsid w:val="00302489"/>
    <w:rsid w:val="00302682"/>
    <w:rsid w:val="00310336"/>
    <w:rsid w:val="00311EB6"/>
    <w:rsid w:val="00312187"/>
    <w:rsid w:val="00320452"/>
    <w:rsid w:val="00320CDB"/>
    <w:rsid w:val="00322EAA"/>
    <w:rsid w:val="003231BA"/>
    <w:rsid w:val="00325262"/>
    <w:rsid w:val="0032565D"/>
    <w:rsid w:val="0032574A"/>
    <w:rsid w:val="00325E6F"/>
    <w:rsid w:val="00334E76"/>
    <w:rsid w:val="00336C70"/>
    <w:rsid w:val="00344C2B"/>
    <w:rsid w:val="00355A1E"/>
    <w:rsid w:val="0036133A"/>
    <w:rsid w:val="003628BC"/>
    <w:rsid w:val="00370590"/>
    <w:rsid w:val="00370655"/>
    <w:rsid w:val="003A47A3"/>
    <w:rsid w:val="003A47E1"/>
    <w:rsid w:val="003B1569"/>
    <w:rsid w:val="003B4BB9"/>
    <w:rsid w:val="003B63F2"/>
    <w:rsid w:val="003C6CC2"/>
    <w:rsid w:val="003E0315"/>
    <w:rsid w:val="003F3C46"/>
    <w:rsid w:val="003F4D9B"/>
    <w:rsid w:val="003F6732"/>
    <w:rsid w:val="004022E2"/>
    <w:rsid w:val="00402D23"/>
    <w:rsid w:val="00406E3D"/>
    <w:rsid w:val="00416ACB"/>
    <w:rsid w:val="00416F73"/>
    <w:rsid w:val="00424939"/>
    <w:rsid w:val="00430826"/>
    <w:rsid w:val="00441E4E"/>
    <w:rsid w:val="0044309D"/>
    <w:rsid w:val="00446C70"/>
    <w:rsid w:val="00454BE0"/>
    <w:rsid w:val="00467579"/>
    <w:rsid w:val="004675C0"/>
    <w:rsid w:val="00472E45"/>
    <w:rsid w:val="00474B71"/>
    <w:rsid w:val="00483E7D"/>
    <w:rsid w:val="00491F23"/>
    <w:rsid w:val="00494F39"/>
    <w:rsid w:val="004A025B"/>
    <w:rsid w:val="004A4FC3"/>
    <w:rsid w:val="004B6DEC"/>
    <w:rsid w:val="004C0684"/>
    <w:rsid w:val="004E28ED"/>
    <w:rsid w:val="004F686C"/>
    <w:rsid w:val="004F6D81"/>
    <w:rsid w:val="0050065D"/>
    <w:rsid w:val="00500DA1"/>
    <w:rsid w:val="00504268"/>
    <w:rsid w:val="005132F4"/>
    <w:rsid w:val="00522BE2"/>
    <w:rsid w:val="00524BB3"/>
    <w:rsid w:val="0053016E"/>
    <w:rsid w:val="005301FB"/>
    <w:rsid w:val="00531D20"/>
    <w:rsid w:val="0053234C"/>
    <w:rsid w:val="00532F50"/>
    <w:rsid w:val="0053761C"/>
    <w:rsid w:val="00544A0C"/>
    <w:rsid w:val="005463E5"/>
    <w:rsid w:val="00554697"/>
    <w:rsid w:val="00555057"/>
    <w:rsid w:val="00562FC6"/>
    <w:rsid w:val="005723DD"/>
    <w:rsid w:val="005745FF"/>
    <w:rsid w:val="005835D1"/>
    <w:rsid w:val="00591114"/>
    <w:rsid w:val="005912C2"/>
    <w:rsid w:val="00594A1C"/>
    <w:rsid w:val="005961DF"/>
    <w:rsid w:val="00596DFB"/>
    <w:rsid w:val="005977C0"/>
    <w:rsid w:val="005A14CB"/>
    <w:rsid w:val="005B3325"/>
    <w:rsid w:val="005B345A"/>
    <w:rsid w:val="005B524E"/>
    <w:rsid w:val="005B76EB"/>
    <w:rsid w:val="005B7AFB"/>
    <w:rsid w:val="005C33C1"/>
    <w:rsid w:val="005D3801"/>
    <w:rsid w:val="005D51C2"/>
    <w:rsid w:val="005D58F9"/>
    <w:rsid w:val="005E3141"/>
    <w:rsid w:val="005F0DBD"/>
    <w:rsid w:val="00604577"/>
    <w:rsid w:val="00606722"/>
    <w:rsid w:val="00610732"/>
    <w:rsid w:val="00611CBD"/>
    <w:rsid w:val="006124A9"/>
    <w:rsid w:val="0061396F"/>
    <w:rsid w:val="00632F1A"/>
    <w:rsid w:val="006423DE"/>
    <w:rsid w:val="0064504B"/>
    <w:rsid w:val="00645D7F"/>
    <w:rsid w:val="00650F88"/>
    <w:rsid w:val="00651E14"/>
    <w:rsid w:val="00653997"/>
    <w:rsid w:val="00653AA6"/>
    <w:rsid w:val="00656CF6"/>
    <w:rsid w:val="0065757A"/>
    <w:rsid w:val="0067330A"/>
    <w:rsid w:val="0068150F"/>
    <w:rsid w:val="00684AC5"/>
    <w:rsid w:val="006853FD"/>
    <w:rsid w:val="00685854"/>
    <w:rsid w:val="006862ED"/>
    <w:rsid w:val="006863D3"/>
    <w:rsid w:val="00695516"/>
    <w:rsid w:val="00696EBA"/>
    <w:rsid w:val="006A0290"/>
    <w:rsid w:val="006A2667"/>
    <w:rsid w:val="006A68A2"/>
    <w:rsid w:val="006B4278"/>
    <w:rsid w:val="006B4DD8"/>
    <w:rsid w:val="006B570F"/>
    <w:rsid w:val="006C4C79"/>
    <w:rsid w:val="006C6985"/>
    <w:rsid w:val="006D0DD0"/>
    <w:rsid w:val="006D48B6"/>
    <w:rsid w:val="006E21F4"/>
    <w:rsid w:val="006E294D"/>
    <w:rsid w:val="006E6EC6"/>
    <w:rsid w:val="006E7EBC"/>
    <w:rsid w:val="0070785A"/>
    <w:rsid w:val="00707BE8"/>
    <w:rsid w:val="0071742D"/>
    <w:rsid w:val="007174F4"/>
    <w:rsid w:val="00722931"/>
    <w:rsid w:val="00725150"/>
    <w:rsid w:val="007314A8"/>
    <w:rsid w:val="00731C10"/>
    <w:rsid w:val="00742DF7"/>
    <w:rsid w:val="0075537F"/>
    <w:rsid w:val="00755501"/>
    <w:rsid w:val="00756B51"/>
    <w:rsid w:val="007648A9"/>
    <w:rsid w:val="0077204A"/>
    <w:rsid w:val="00772AD7"/>
    <w:rsid w:val="007751A3"/>
    <w:rsid w:val="00786548"/>
    <w:rsid w:val="00792A3B"/>
    <w:rsid w:val="00793FA2"/>
    <w:rsid w:val="007B2613"/>
    <w:rsid w:val="007B319C"/>
    <w:rsid w:val="007B31B6"/>
    <w:rsid w:val="007B7379"/>
    <w:rsid w:val="007C48D7"/>
    <w:rsid w:val="007C6397"/>
    <w:rsid w:val="007D5863"/>
    <w:rsid w:val="007D5EFA"/>
    <w:rsid w:val="007D5F27"/>
    <w:rsid w:val="007E58AB"/>
    <w:rsid w:val="007E6571"/>
    <w:rsid w:val="007F07AA"/>
    <w:rsid w:val="007F7C1A"/>
    <w:rsid w:val="00806BF8"/>
    <w:rsid w:val="008123F4"/>
    <w:rsid w:val="0081342C"/>
    <w:rsid w:val="00821ABA"/>
    <w:rsid w:val="008455FE"/>
    <w:rsid w:val="008511E9"/>
    <w:rsid w:val="00852EFE"/>
    <w:rsid w:val="0085570F"/>
    <w:rsid w:val="008557C8"/>
    <w:rsid w:val="00856EBC"/>
    <w:rsid w:val="008609CE"/>
    <w:rsid w:val="00865E4B"/>
    <w:rsid w:val="00866566"/>
    <w:rsid w:val="00872803"/>
    <w:rsid w:val="008855AF"/>
    <w:rsid w:val="0088731F"/>
    <w:rsid w:val="008873B0"/>
    <w:rsid w:val="00890DBB"/>
    <w:rsid w:val="00891D36"/>
    <w:rsid w:val="008926B7"/>
    <w:rsid w:val="00897A49"/>
    <w:rsid w:val="008A48D0"/>
    <w:rsid w:val="008B2F94"/>
    <w:rsid w:val="008C0D3B"/>
    <w:rsid w:val="008C7FB4"/>
    <w:rsid w:val="008D02A0"/>
    <w:rsid w:val="008D1903"/>
    <w:rsid w:val="008E4D0F"/>
    <w:rsid w:val="008F071D"/>
    <w:rsid w:val="008F1A1B"/>
    <w:rsid w:val="008F5514"/>
    <w:rsid w:val="008F5612"/>
    <w:rsid w:val="0090117B"/>
    <w:rsid w:val="00905FF4"/>
    <w:rsid w:val="009113B3"/>
    <w:rsid w:val="009204A3"/>
    <w:rsid w:val="009258A7"/>
    <w:rsid w:val="009277F2"/>
    <w:rsid w:val="00934449"/>
    <w:rsid w:val="00943B2A"/>
    <w:rsid w:val="00952E08"/>
    <w:rsid w:val="00956310"/>
    <w:rsid w:val="00961A6E"/>
    <w:rsid w:val="00963058"/>
    <w:rsid w:val="00964BDA"/>
    <w:rsid w:val="00966749"/>
    <w:rsid w:val="0097094B"/>
    <w:rsid w:val="009754CD"/>
    <w:rsid w:val="009824D4"/>
    <w:rsid w:val="00982565"/>
    <w:rsid w:val="00987430"/>
    <w:rsid w:val="0099085A"/>
    <w:rsid w:val="0099525A"/>
    <w:rsid w:val="0099576E"/>
    <w:rsid w:val="00995A78"/>
    <w:rsid w:val="00996654"/>
    <w:rsid w:val="009A2621"/>
    <w:rsid w:val="009A266E"/>
    <w:rsid w:val="009A27D9"/>
    <w:rsid w:val="009A2BB7"/>
    <w:rsid w:val="009A34B7"/>
    <w:rsid w:val="009A4B92"/>
    <w:rsid w:val="009B0F75"/>
    <w:rsid w:val="009B1EA8"/>
    <w:rsid w:val="009B2962"/>
    <w:rsid w:val="009B3F82"/>
    <w:rsid w:val="009B62F0"/>
    <w:rsid w:val="009C202C"/>
    <w:rsid w:val="009D3785"/>
    <w:rsid w:val="009D53E2"/>
    <w:rsid w:val="009E2A8F"/>
    <w:rsid w:val="009E521A"/>
    <w:rsid w:val="009F04DF"/>
    <w:rsid w:val="009F22D5"/>
    <w:rsid w:val="009F5578"/>
    <w:rsid w:val="009F5DDB"/>
    <w:rsid w:val="009F6B35"/>
    <w:rsid w:val="00A12DCA"/>
    <w:rsid w:val="00A373E6"/>
    <w:rsid w:val="00A37436"/>
    <w:rsid w:val="00A40C5E"/>
    <w:rsid w:val="00A41EEA"/>
    <w:rsid w:val="00A47CFF"/>
    <w:rsid w:val="00A506F9"/>
    <w:rsid w:val="00A5225C"/>
    <w:rsid w:val="00A63EA8"/>
    <w:rsid w:val="00A6434D"/>
    <w:rsid w:val="00A672BD"/>
    <w:rsid w:val="00A747D0"/>
    <w:rsid w:val="00A80FEB"/>
    <w:rsid w:val="00A96AA3"/>
    <w:rsid w:val="00AA1B67"/>
    <w:rsid w:val="00AA3A93"/>
    <w:rsid w:val="00AA4C2C"/>
    <w:rsid w:val="00AB33C7"/>
    <w:rsid w:val="00AB635F"/>
    <w:rsid w:val="00AB6625"/>
    <w:rsid w:val="00AC372F"/>
    <w:rsid w:val="00AC5AAC"/>
    <w:rsid w:val="00AE4653"/>
    <w:rsid w:val="00AE7BE8"/>
    <w:rsid w:val="00AF3811"/>
    <w:rsid w:val="00B02149"/>
    <w:rsid w:val="00B03E84"/>
    <w:rsid w:val="00B063D0"/>
    <w:rsid w:val="00B27D09"/>
    <w:rsid w:val="00B44D0C"/>
    <w:rsid w:val="00B51ED9"/>
    <w:rsid w:val="00B535A4"/>
    <w:rsid w:val="00B61379"/>
    <w:rsid w:val="00B62006"/>
    <w:rsid w:val="00B63167"/>
    <w:rsid w:val="00B6707D"/>
    <w:rsid w:val="00B67BD3"/>
    <w:rsid w:val="00B71CF0"/>
    <w:rsid w:val="00B72124"/>
    <w:rsid w:val="00B85D4B"/>
    <w:rsid w:val="00B902FD"/>
    <w:rsid w:val="00B9102F"/>
    <w:rsid w:val="00BA18B2"/>
    <w:rsid w:val="00BA21AB"/>
    <w:rsid w:val="00BB2710"/>
    <w:rsid w:val="00BB53EC"/>
    <w:rsid w:val="00BB6589"/>
    <w:rsid w:val="00BC7799"/>
    <w:rsid w:val="00BD6B21"/>
    <w:rsid w:val="00BD7020"/>
    <w:rsid w:val="00BE7967"/>
    <w:rsid w:val="00BF0825"/>
    <w:rsid w:val="00BF3E16"/>
    <w:rsid w:val="00BF681B"/>
    <w:rsid w:val="00C0089E"/>
    <w:rsid w:val="00C24FCB"/>
    <w:rsid w:val="00C33F6B"/>
    <w:rsid w:val="00C43015"/>
    <w:rsid w:val="00C53E5F"/>
    <w:rsid w:val="00C54324"/>
    <w:rsid w:val="00C604E7"/>
    <w:rsid w:val="00C60E24"/>
    <w:rsid w:val="00C6142C"/>
    <w:rsid w:val="00C6196A"/>
    <w:rsid w:val="00C62E80"/>
    <w:rsid w:val="00C65154"/>
    <w:rsid w:val="00C70D10"/>
    <w:rsid w:val="00C73E17"/>
    <w:rsid w:val="00C74A30"/>
    <w:rsid w:val="00C76A9A"/>
    <w:rsid w:val="00C86B6C"/>
    <w:rsid w:val="00C87259"/>
    <w:rsid w:val="00C9299C"/>
    <w:rsid w:val="00C95806"/>
    <w:rsid w:val="00C973D7"/>
    <w:rsid w:val="00CA045B"/>
    <w:rsid w:val="00CA0B60"/>
    <w:rsid w:val="00CA26D4"/>
    <w:rsid w:val="00CA3DB0"/>
    <w:rsid w:val="00CA7A8C"/>
    <w:rsid w:val="00CB2A96"/>
    <w:rsid w:val="00CB557C"/>
    <w:rsid w:val="00CC3E2F"/>
    <w:rsid w:val="00CE25F0"/>
    <w:rsid w:val="00CE30A5"/>
    <w:rsid w:val="00CF2FDD"/>
    <w:rsid w:val="00D04531"/>
    <w:rsid w:val="00D04F01"/>
    <w:rsid w:val="00D10B40"/>
    <w:rsid w:val="00D13D5E"/>
    <w:rsid w:val="00D16262"/>
    <w:rsid w:val="00D25C11"/>
    <w:rsid w:val="00D34877"/>
    <w:rsid w:val="00D3523F"/>
    <w:rsid w:val="00D45F3B"/>
    <w:rsid w:val="00D50777"/>
    <w:rsid w:val="00D50B03"/>
    <w:rsid w:val="00D5158C"/>
    <w:rsid w:val="00D661FD"/>
    <w:rsid w:val="00D733BE"/>
    <w:rsid w:val="00D92F5D"/>
    <w:rsid w:val="00D94C16"/>
    <w:rsid w:val="00D95D72"/>
    <w:rsid w:val="00D964FB"/>
    <w:rsid w:val="00D967ED"/>
    <w:rsid w:val="00D974D8"/>
    <w:rsid w:val="00DA1CD5"/>
    <w:rsid w:val="00DA2B5C"/>
    <w:rsid w:val="00DA3513"/>
    <w:rsid w:val="00DA3E90"/>
    <w:rsid w:val="00DA6176"/>
    <w:rsid w:val="00DB2AC4"/>
    <w:rsid w:val="00DC49EF"/>
    <w:rsid w:val="00DC5E35"/>
    <w:rsid w:val="00DD2055"/>
    <w:rsid w:val="00DD4CA9"/>
    <w:rsid w:val="00DE480A"/>
    <w:rsid w:val="00DF2BB5"/>
    <w:rsid w:val="00DF2DDA"/>
    <w:rsid w:val="00DF7D13"/>
    <w:rsid w:val="00E00CB3"/>
    <w:rsid w:val="00E036F9"/>
    <w:rsid w:val="00E0392A"/>
    <w:rsid w:val="00E10B8A"/>
    <w:rsid w:val="00E114D1"/>
    <w:rsid w:val="00E11673"/>
    <w:rsid w:val="00E12879"/>
    <w:rsid w:val="00E15DBE"/>
    <w:rsid w:val="00E204A9"/>
    <w:rsid w:val="00E205F2"/>
    <w:rsid w:val="00E31E30"/>
    <w:rsid w:val="00E329B3"/>
    <w:rsid w:val="00E411ED"/>
    <w:rsid w:val="00E45F68"/>
    <w:rsid w:val="00E46F64"/>
    <w:rsid w:val="00E577CD"/>
    <w:rsid w:val="00E62A6E"/>
    <w:rsid w:val="00E6473F"/>
    <w:rsid w:val="00E740D5"/>
    <w:rsid w:val="00E74A3F"/>
    <w:rsid w:val="00E77E96"/>
    <w:rsid w:val="00E82B17"/>
    <w:rsid w:val="00E849D6"/>
    <w:rsid w:val="00E93A21"/>
    <w:rsid w:val="00EA06B9"/>
    <w:rsid w:val="00EA11AD"/>
    <w:rsid w:val="00EA401C"/>
    <w:rsid w:val="00EA52D7"/>
    <w:rsid w:val="00EA57C0"/>
    <w:rsid w:val="00EA7AB0"/>
    <w:rsid w:val="00EB436B"/>
    <w:rsid w:val="00EB4F7D"/>
    <w:rsid w:val="00EB6C2F"/>
    <w:rsid w:val="00EC432F"/>
    <w:rsid w:val="00EC5D1C"/>
    <w:rsid w:val="00EC6A0C"/>
    <w:rsid w:val="00EE7491"/>
    <w:rsid w:val="00EF3A2C"/>
    <w:rsid w:val="00EF62BF"/>
    <w:rsid w:val="00EF7251"/>
    <w:rsid w:val="00EF7BA5"/>
    <w:rsid w:val="00F00705"/>
    <w:rsid w:val="00F05201"/>
    <w:rsid w:val="00F07E2A"/>
    <w:rsid w:val="00F11446"/>
    <w:rsid w:val="00F12866"/>
    <w:rsid w:val="00F154B7"/>
    <w:rsid w:val="00F1698A"/>
    <w:rsid w:val="00F22BA7"/>
    <w:rsid w:val="00F24EC4"/>
    <w:rsid w:val="00F25782"/>
    <w:rsid w:val="00F26BDB"/>
    <w:rsid w:val="00F349BE"/>
    <w:rsid w:val="00F35DDD"/>
    <w:rsid w:val="00F368E9"/>
    <w:rsid w:val="00F36938"/>
    <w:rsid w:val="00F42721"/>
    <w:rsid w:val="00F42CD8"/>
    <w:rsid w:val="00F44537"/>
    <w:rsid w:val="00F4734C"/>
    <w:rsid w:val="00F51AC2"/>
    <w:rsid w:val="00F51D96"/>
    <w:rsid w:val="00F52C25"/>
    <w:rsid w:val="00F57AE8"/>
    <w:rsid w:val="00F6087C"/>
    <w:rsid w:val="00F61B4E"/>
    <w:rsid w:val="00F62B60"/>
    <w:rsid w:val="00F63B5E"/>
    <w:rsid w:val="00F70001"/>
    <w:rsid w:val="00F82A19"/>
    <w:rsid w:val="00F82FFF"/>
    <w:rsid w:val="00F844CC"/>
    <w:rsid w:val="00F84F64"/>
    <w:rsid w:val="00F90014"/>
    <w:rsid w:val="00F944E8"/>
    <w:rsid w:val="00F96850"/>
    <w:rsid w:val="00F97BF9"/>
    <w:rsid w:val="00FA36A6"/>
    <w:rsid w:val="00FA58AE"/>
    <w:rsid w:val="00FA6970"/>
    <w:rsid w:val="00FB5D29"/>
    <w:rsid w:val="00FC1F79"/>
    <w:rsid w:val="00FC23BA"/>
    <w:rsid w:val="00FC3127"/>
    <w:rsid w:val="00FC7235"/>
    <w:rsid w:val="00FD3350"/>
    <w:rsid w:val="00FE2059"/>
    <w:rsid w:val="00FE7E4D"/>
    <w:rsid w:val="00FF29DB"/>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4097" v:ext="edit"/>
    <o:shapelayout v:ext="edit">
      <o:idmap data="1" v:ext="edit"/>
    </o:shapelayout>
  </w:shapeDefaults>
  <w:decimalSymbol w:val="."/>
  <w:listSeparator w:val=";"/>
  <w14:docId w14:val="7FBA997B"/>
  <w15:chartTrackingRefBased/>
  <w15:docId w15:val="{0FFD982C-78DB-48D8-A947-A3A146786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856EBC"/>
    <w:pPr>
      <w:spacing w:after="0" w:line="240" w:lineRule="auto"/>
    </w:pPr>
    <w:rPr>
      <w:rFonts w:ascii="Times New Roman" w:cs="Times New Roman" w:eastAsia="Times New Roman" w:hAnsi="Times New Roman"/>
      <w:sz w:val="24"/>
      <w:szCs w:val="24"/>
      <w:lang w:val="en-GB"/>
    </w:rPr>
  </w:style>
  <w:style w:styleId="Heading8" w:type="paragraph">
    <w:name w:val="heading 8"/>
    <w:basedOn w:val="Normal"/>
    <w:next w:val="Normal"/>
    <w:link w:val="Heading8Char"/>
    <w:uiPriority w:val="9"/>
    <w:semiHidden/>
    <w:unhideWhenUsed/>
    <w:qFormat/>
    <w:rsid w:val="00786548"/>
    <w:pPr>
      <w:keepNext/>
      <w:jc w:val="center"/>
      <w:outlineLvl w:val="7"/>
    </w:pPr>
    <w:rPr>
      <w:b/>
      <w:sz w:val="20"/>
      <w:szCs w:val="20"/>
      <w:lang w:eastAsia="fr-FR" w:val="fr-FR"/>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856EBC"/>
    <w:pPr>
      <w:tabs>
        <w:tab w:pos="4153" w:val="center"/>
        <w:tab w:pos="8306" w:val="right"/>
      </w:tabs>
    </w:pPr>
    <w:rPr>
      <w:rFonts w:ascii="Arial" w:hAnsi="Arial"/>
      <w:sz w:val="22"/>
      <w:szCs w:val="20"/>
      <w:lang w:eastAsia="fr-FR" w:val="en-AU"/>
    </w:rPr>
  </w:style>
  <w:style w:customStyle="1" w:styleId="HeaderChar" w:type="character">
    <w:name w:val="Header Char"/>
    <w:basedOn w:val="DefaultParagraphFont"/>
    <w:link w:val="Header"/>
    <w:uiPriority w:val="99"/>
    <w:rsid w:val="00856EBC"/>
    <w:rPr>
      <w:rFonts w:ascii="Arial" w:cs="Times New Roman" w:eastAsia="Times New Roman" w:hAnsi="Arial"/>
      <w:szCs w:val="20"/>
      <w:lang w:eastAsia="fr-FR" w:val="en-AU"/>
    </w:rPr>
  </w:style>
  <w:style w:styleId="Title" w:type="paragraph">
    <w:name w:val="Title"/>
    <w:basedOn w:val="Normal"/>
    <w:link w:val="TitleChar"/>
    <w:qFormat/>
    <w:rsid w:val="00856EBC"/>
    <w:pPr>
      <w:pBdr>
        <w:top w:color="auto" w:shadow="1" w:space="1" w:sz="4" w:val="single"/>
        <w:left w:color="auto" w:shadow="1" w:space="4" w:sz="4" w:val="single"/>
        <w:bottom w:color="auto" w:shadow="1" w:space="1" w:sz="4" w:val="single"/>
        <w:right w:color="auto" w:shadow="1" w:space="4" w:sz="4" w:val="single"/>
      </w:pBdr>
      <w:jc w:val="center"/>
    </w:pPr>
    <w:rPr>
      <w:rFonts w:ascii="Arial" w:hAnsi="Arial"/>
      <w:b/>
      <w:sz w:val="28"/>
      <w:szCs w:val="20"/>
      <w:lang w:eastAsia="fr-FR" w:val="en-AU"/>
    </w:rPr>
  </w:style>
  <w:style w:customStyle="1" w:styleId="TitleChar" w:type="character">
    <w:name w:val="Title Char"/>
    <w:basedOn w:val="DefaultParagraphFont"/>
    <w:link w:val="Title"/>
    <w:rsid w:val="00856EBC"/>
    <w:rPr>
      <w:rFonts w:ascii="Arial" w:cs="Times New Roman" w:eastAsia="Times New Roman" w:hAnsi="Arial"/>
      <w:b/>
      <w:sz w:val="28"/>
      <w:szCs w:val="20"/>
      <w:lang w:eastAsia="fr-FR" w:val="en-AU"/>
    </w:rPr>
  </w:style>
  <w:style w:styleId="BodyText" w:type="paragraph">
    <w:name w:val="Body Text"/>
    <w:basedOn w:val="Normal"/>
    <w:link w:val="BodyTextChar"/>
    <w:unhideWhenUsed/>
    <w:rsid w:val="00856EBC"/>
    <w:pPr>
      <w:jc w:val="both"/>
    </w:pPr>
    <w:rPr>
      <w:rFonts w:ascii="Arial" w:hAnsi="Arial"/>
      <w:sz w:val="22"/>
      <w:szCs w:val="20"/>
      <w:lang w:eastAsia="fr-FR" w:val="en-AU"/>
    </w:rPr>
  </w:style>
  <w:style w:customStyle="1" w:styleId="BodyTextChar" w:type="character">
    <w:name w:val="Body Text Char"/>
    <w:basedOn w:val="DefaultParagraphFont"/>
    <w:link w:val="BodyText"/>
    <w:rsid w:val="00856EBC"/>
    <w:rPr>
      <w:rFonts w:ascii="Arial" w:cs="Times New Roman" w:eastAsia="Times New Roman" w:hAnsi="Arial"/>
      <w:szCs w:val="20"/>
      <w:lang w:eastAsia="fr-FR" w:val="en-AU"/>
    </w:rPr>
  </w:style>
  <w:style w:styleId="BodyText2" w:type="paragraph">
    <w:name w:val="Body Text 2"/>
    <w:basedOn w:val="Normal"/>
    <w:link w:val="BodyText2Char"/>
    <w:semiHidden/>
    <w:unhideWhenUsed/>
    <w:rsid w:val="00856EBC"/>
    <w:pPr>
      <w:jc w:val="both"/>
    </w:pPr>
    <w:rPr>
      <w:rFonts w:ascii="Comic Sans MS" w:hAnsi="Comic Sans MS"/>
      <w:color w:val="0000FF"/>
      <w:sz w:val="22"/>
      <w:szCs w:val="20"/>
      <w:lang w:eastAsia="fr-FR" w:val="fr-FR"/>
    </w:rPr>
  </w:style>
  <w:style w:customStyle="1" w:styleId="BodyText2Char" w:type="character">
    <w:name w:val="Body Text 2 Char"/>
    <w:basedOn w:val="DefaultParagraphFont"/>
    <w:link w:val="BodyText2"/>
    <w:semiHidden/>
    <w:rsid w:val="00856EBC"/>
    <w:rPr>
      <w:rFonts w:ascii="Comic Sans MS" w:cs="Times New Roman" w:eastAsia="Times New Roman" w:hAnsi="Comic Sans MS"/>
      <w:color w:val="0000FF"/>
      <w:szCs w:val="20"/>
      <w:lang w:eastAsia="fr-FR" w:val="fr-FR"/>
    </w:rPr>
  </w:style>
  <w:style w:styleId="ListParagraph" w:type="paragraph">
    <w:name w:val="List Paragraph"/>
    <w:basedOn w:val="Normal"/>
    <w:uiPriority w:val="34"/>
    <w:qFormat/>
    <w:rsid w:val="00856EBC"/>
    <w:pPr>
      <w:ind w:left="708"/>
    </w:pPr>
    <w:rPr>
      <w:sz w:val="20"/>
      <w:szCs w:val="20"/>
      <w:lang w:val="en-AU"/>
    </w:rPr>
  </w:style>
  <w:style w:styleId="PlainText" w:type="paragraph">
    <w:name w:val="Plain Text"/>
    <w:basedOn w:val="Normal"/>
    <w:link w:val="PlainTextChar"/>
    <w:uiPriority w:val="99"/>
    <w:unhideWhenUsed/>
    <w:rsid w:val="00856EBC"/>
    <w:rPr>
      <w:rFonts w:ascii="Calibri" w:eastAsia="Calibri" w:hAnsi="Calibri"/>
      <w:sz w:val="20"/>
      <w:szCs w:val="20"/>
      <w:lang w:val="fr-FR"/>
    </w:rPr>
  </w:style>
  <w:style w:customStyle="1" w:styleId="PlainTextChar" w:type="character">
    <w:name w:val="Plain Text Char"/>
    <w:basedOn w:val="DefaultParagraphFont"/>
    <w:link w:val="PlainText"/>
    <w:uiPriority w:val="99"/>
    <w:rsid w:val="00856EBC"/>
    <w:rPr>
      <w:rFonts w:ascii="Calibri" w:cs="Times New Roman" w:eastAsia="Calibri" w:hAnsi="Calibri"/>
      <w:sz w:val="20"/>
      <w:szCs w:val="20"/>
      <w:lang w:val="fr-FR"/>
    </w:rPr>
  </w:style>
  <w:style w:styleId="Footer" w:type="paragraph">
    <w:name w:val="footer"/>
    <w:basedOn w:val="Normal"/>
    <w:link w:val="FooterChar"/>
    <w:uiPriority w:val="99"/>
    <w:unhideWhenUsed/>
    <w:rsid w:val="005B345A"/>
    <w:pPr>
      <w:tabs>
        <w:tab w:pos="4703" w:val="center"/>
        <w:tab w:pos="9406" w:val="right"/>
      </w:tabs>
    </w:pPr>
  </w:style>
  <w:style w:customStyle="1" w:styleId="FooterChar" w:type="character">
    <w:name w:val="Footer Char"/>
    <w:basedOn w:val="DefaultParagraphFont"/>
    <w:link w:val="Footer"/>
    <w:uiPriority w:val="99"/>
    <w:rsid w:val="005B345A"/>
    <w:rPr>
      <w:rFonts w:ascii="Times New Roman" w:cs="Times New Roman" w:eastAsia="Times New Roman" w:hAnsi="Times New Roman"/>
      <w:sz w:val="24"/>
      <w:szCs w:val="24"/>
      <w:lang w:val="en-GB"/>
    </w:rPr>
  </w:style>
  <w:style w:styleId="BalloonText" w:type="paragraph">
    <w:name w:val="Balloon Text"/>
    <w:basedOn w:val="Normal"/>
    <w:link w:val="BalloonTextChar"/>
    <w:uiPriority w:val="99"/>
    <w:semiHidden/>
    <w:unhideWhenUsed/>
    <w:rsid w:val="002D79FF"/>
    <w:rPr>
      <w:rFonts w:ascii="Segoe UI" w:cs="Segoe UI" w:hAnsi="Segoe UI"/>
      <w:sz w:val="18"/>
      <w:szCs w:val="18"/>
    </w:rPr>
  </w:style>
  <w:style w:customStyle="1" w:styleId="BalloonTextChar" w:type="character">
    <w:name w:val="Balloon Text Char"/>
    <w:basedOn w:val="DefaultParagraphFont"/>
    <w:link w:val="BalloonText"/>
    <w:uiPriority w:val="99"/>
    <w:semiHidden/>
    <w:rsid w:val="002D79FF"/>
    <w:rPr>
      <w:rFonts w:ascii="Segoe UI" w:cs="Segoe UI" w:eastAsia="Times New Roman" w:hAnsi="Segoe UI"/>
      <w:sz w:val="18"/>
      <w:szCs w:val="18"/>
      <w:lang w:val="en-GB"/>
    </w:rPr>
  </w:style>
  <w:style w:customStyle="1" w:styleId="Heading8Char" w:type="character">
    <w:name w:val="Heading 8 Char"/>
    <w:basedOn w:val="DefaultParagraphFont"/>
    <w:link w:val="Heading8"/>
    <w:uiPriority w:val="9"/>
    <w:semiHidden/>
    <w:rsid w:val="00786548"/>
    <w:rPr>
      <w:rFonts w:ascii="Times New Roman" w:cs="Times New Roman" w:eastAsia="Times New Roman" w:hAnsi="Times New Roman"/>
      <w:b/>
      <w:sz w:val="20"/>
      <w:szCs w:val="20"/>
      <w:lang w:eastAsia="fr-FR"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12627">
      <w:bodyDiv w:val="1"/>
      <w:marLeft w:val="0"/>
      <w:marRight w:val="0"/>
      <w:marTop w:val="0"/>
      <w:marBottom w:val="0"/>
      <w:divBdr>
        <w:top w:val="none" w:sz="0" w:space="0" w:color="auto"/>
        <w:left w:val="none" w:sz="0" w:space="0" w:color="auto"/>
        <w:bottom w:val="none" w:sz="0" w:space="0" w:color="auto"/>
        <w:right w:val="none" w:sz="0" w:space="0" w:color="auto"/>
      </w:divBdr>
    </w:div>
    <w:div w:id="293684746">
      <w:bodyDiv w:val="1"/>
      <w:marLeft w:val="0"/>
      <w:marRight w:val="0"/>
      <w:marTop w:val="0"/>
      <w:marBottom w:val="0"/>
      <w:divBdr>
        <w:top w:val="none" w:sz="0" w:space="0" w:color="auto"/>
        <w:left w:val="none" w:sz="0" w:space="0" w:color="auto"/>
        <w:bottom w:val="none" w:sz="0" w:space="0" w:color="auto"/>
        <w:right w:val="none" w:sz="0" w:space="0" w:color="auto"/>
      </w:divBdr>
    </w:div>
    <w:div w:id="59926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C98D1-0834-4979-90A4-A1B9ADC5E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2904</Words>
  <Characters>15976</Characters>
  <Application>Microsoft Office Word</Application>
  <DocSecurity>0</DocSecurity>
  <Lines>133</Lines>
  <Paragraphs>37</Paragraphs>
  <ScaleCrop>false</ScaleCrop>
  <HeadingPairs>
    <vt:vector baseType="variant" size="4">
      <vt:variant>
        <vt:lpstr>Titre</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2022-10-04T13:45:00Z</dcterms:created>
  <cp:lastPrinted>2022-09-22T13:22:00Z</cp:lastPrinted>
  <dcterms:modified xsi:type="dcterms:W3CDTF">2022-10-04T13:53:00Z</dcterms:modified>
  <cp:revision>4</cp:revision>
</cp:coreProperties>
</file>