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503E52B3" w14:textId="34ABFD88" w:rsidP="002A7D1F" w:rsidR="002A7D1F" w:rsidRDefault="000A3BF5" w:rsidRPr="007C6539">
      <w:pPr>
        <w:pStyle w:val="Sansinterligne"/>
        <w:shd w:color="auto" w:fill="4472C4" w:themeFill="accent1" w:val="clear"/>
        <w:jc w:val="center"/>
        <w:rPr>
          <w:rFonts w:asciiTheme="minorHAnsi" w:cstheme="minorHAnsi" w:hAnsiTheme="minorHAnsi"/>
          <w:b/>
          <w:bCs/>
          <w:smallCaps/>
          <w:color w:themeColor="background1" w:val="FFFFFF"/>
          <w:sz w:val="28"/>
          <w:szCs w:val="28"/>
        </w:rPr>
      </w:pPr>
      <w:bookmarkStart w:id="0" w:name="_Hlk27403203"/>
      <w:r w:rsidRPr="000A3BF5">
        <w:rPr>
          <w:rFonts w:asciiTheme="minorHAnsi" w:cstheme="minorHAnsi" w:hAnsiTheme="minorHAnsi"/>
          <w:b/>
          <w:bCs/>
          <w:smallCaps/>
          <w:color w:themeColor="background1" w:val="FFFFFF"/>
          <w:sz w:val="28"/>
          <w:szCs w:val="28"/>
        </w:rPr>
        <w:t>Protocole d’accord portant mesures partielles et anticipées au titre des négociations annuelles obligatoires 2023</w:t>
      </w:r>
    </w:p>
    <w:bookmarkEnd w:id="0"/>
    <w:p w14:paraId="01F77E97" w14:textId="77777777" w:rsidP="002A7D1F" w:rsidR="002A7D1F" w:rsidRDefault="002A7D1F" w:rsidRPr="007C6539"/>
    <w:p w14:paraId="0EC00701" w14:textId="77777777" w:rsidP="002A7D1F" w:rsidR="002A7D1F" w:rsidRDefault="002A7D1F" w:rsidRPr="00513214">
      <w:pPr>
        <w:widowControl/>
        <w:adjustRightInd/>
        <w:spacing w:after="0" w:line="259" w:lineRule="auto"/>
        <w:jc w:val="left"/>
        <w:textAlignment w:val="auto"/>
        <w:rPr>
          <w:rFonts w:asciiTheme="minorHAnsi" w:cstheme="minorHAnsi" w:eastAsiaTheme="majorEastAsia" w:hAnsiTheme="minorHAnsi"/>
          <w:b/>
          <w:smallCaps/>
          <w:color w:val="E4342C"/>
          <w:szCs w:val="22"/>
        </w:rPr>
      </w:pPr>
      <w:r w:rsidRPr="00513214">
        <w:rPr>
          <w:rFonts w:asciiTheme="minorHAnsi" w:cstheme="minorHAnsi" w:hAnsiTheme="minorHAnsi"/>
          <w:b/>
          <w:szCs w:val="22"/>
        </w:rPr>
        <w:t>Entre</w:t>
      </w:r>
      <w:r w:rsidRPr="00513214">
        <w:rPr>
          <w:rFonts w:asciiTheme="minorHAnsi" w:cstheme="minorHAnsi" w:hAnsiTheme="minorHAnsi"/>
          <w:szCs w:val="22"/>
        </w:rPr>
        <w:t> :</w:t>
      </w:r>
      <w:r w:rsidRPr="00513214">
        <w:rPr>
          <w:rFonts w:asciiTheme="minorHAnsi" w:cstheme="minorHAnsi" w:hAnsiTheme="minorHAnsi"/>
          <w:szCs w:val="22"/>
        </w:rPr>
        <w:tab/>
      </w:r>
    </w:p>
    <w:p w14:paraId="77D961EB" w14:textId="77777777" w:rsidP="002A7D1F" w:rsidR="002A7D1F" w:rsidRDefault="002A7D1F" w:rsidRPr="001E55B3">
      <w:pPr>
        <w:pStyle w:val="Pieddepage"/>
        <w:tabs>
          <w:tab w:pos="567" w:val="left"/>
          <w:tab w:pos="4536" w:val="left"/>
        </w:tabs>
        <w:spacing w:after="0"/>
        <w:rPr>
          <w:rFonts w:asciiTheme="minorHAnsi" w:cstheme="minorHAnsi" w:hAnsiTheme="minorHAnsi"/>
          <w:szCs w:val="22"/>
        </w:rPr>
      </w:pPr>
    </w:p>
    <w:p w14:paraId="698E59D2" w14:textId="278C0E04" w:rsidP="002A7D1F" w:rsidR="002A7D1F" w:rsidRDefault="002A7D1F" w:rsidRPr="001E55B3">
      <w:pPr>
        <w:pStyle w:val="Pieddepage"/>
        <w:tabs>
          <w:tab w:pos="567" w:val="left"/>
          <w:tab w:pos="4536" w:val="left"/>
        </w:tabs>
        <w:spacing w:after="0"/>
        <w:rPr>
          <w:rFonts w:asciiTheme="minorHAnsi" w:cstheme="minorHAnsi" w:hAnsiTheme="minorHAnsi"/>
          <w:szCs w:val="22"/>
        </w:rPr>
      </w:pPr>
      <w:r w:rsidRPr="008B6AC8">
        <w:rPr>
          <w:rFonts w:asciiTheme="minorHAnsi" w:cstheme="minorHAnsi" w:hAnsiTheme="minorHAnsi"/>
          <w:szCs w:val="22"/>
        </w:rPr>
        <w:t xml:space="preserve">La Société </w:t>
      </w:r>
      <w:r w:rsidR="009A202C">
        <w:rPr>
          <w:rFonts w:asciiTheme="minorHAnsi" w:cstheme="minorHAnsi" w:hAnsiTheme="minorHAnsi"/>
          <w:szCs w:val="22"/>
        </w:rPr>
        <w:t>TRANSDEV SENART</w:t>
      </w:r>
      <w:r w:rsidRPr="001E55B3">
        <w:rPr>
          <w:rFonts w:asciiTheme="minorHAnsi" w:cstheme="minorHAnsi" w:hAnsiTheme="minorHAnsi"/>
          <w:szCs w:val="22"/>
        </w:rPr>
        <w:t>, représenté</w:t>
      </w:r>
      <w:r w:rsidR="009A202C">
        <w:rPr>
          <w:rFonts w:asciiTheme="minorHAnsi" w:cstheme="minorHAnsi" w:hAnsiTheme="minorHAnsi"/>
          <w:szCs w:val="22"/>
        </w:rPr>
        <w:t>e</w:t>
      </w:r>
      <w:r w:rsidRPr="008B6AC8">
        <w:rPr>
          <w:rFonts w:asciiTheme="minorHAnsi" w:cstheme="minorHAnsi" w:hAnsiTheme="minorHAnsi"/>
          <w:szCs w:val="22"/>
        </w:rPr>
        <w:t xml:space="preserve"> </w:t>
      </w:r>
      <w:r w:rsidRPr="001E55B3">
        <w:rPr>
          <w:rFonts w:asciiTheme="minorHAnsi" w:cstheme="minorHAnsi" w:hAnsiTheme="minorHAnsi"/>
          <w:szCs w:val="22"/>
        </w:rPr>
        <w:t xml:space="preserve">par </w:t>
      </w:r>
      <w:r w:rsidR="009A202C">
        <w:rPr>
          <w:rFonts w:asciiTheme="minorHAnsi" w:cstheme="minorHAnsi" w:hAnsiTheme="minorHAnsi"/>
          <w:szCs w:val="22"/>
        </w:rPr>
        <w:t xml:space="preserve">Monsieur </w:t>
      </w:r>
      <w:r w:rsidR="001322AA">
        <w:rPr>
          <w:rFonts w:asciiTheme="minorHAnsi" w:cstheme="minorHAnsi" w:hAnsiTheme="minorHAnsi"/>
          <w:szCs w:val="22"/>
        </w:rPr>
        <w:t>XXX</w:t>
      </w:r>
      <w:r w:rsidRPr="001E55B3">
        <w:rPr>
          <w:rFonts w:asciiTheme="minorHAnsi" w:cstheme="minorHAnsi" w:hAnsiTheme="minorHAnsi"/>
          <w:szCs w:val="22"/>
        </w:rPr>
        <w:t xml:space="preserve">, en sa qualité de </w:t>
      </w:r>
      <w:r w:rsidR="009A202C">
        <w:rPr>
          <w:rFonts w:asciiTheme="minorHAnsi" w:cstheme="minorHAnsi" w:hAnsiTheme="minorHAnsi"/>
          <w:szCs w:val="22"/>
        </w:rPr>
        <w:t>Directeur</w:t>
      </w:r>
      <w:r w:rsidRPr="001E55B3">
        <w:rPr>
          <w:rFonts w:asciiTheme="minorHAnsi" w:cstheme="minorHAnsi" w:hAnsiTheme="minorHAnsi"/>
          <w:szCs w:val="22"/>
        </w:rPr>
        <w:t>,</w:t>
      </w:r>
    </w:p>
    <w:p w14:paraId="1518CB65" w14:textId="77777777" w:rsidP="002A7D1F" w:rsidR="002A7D1F" w:rsidRDefault="002A7D1F" w:rsidRPr="001E55B3">
      <w:pPr>
        <w:spacing w:after="0"/>
        <w:rPr>
          <w:rFonts w:asciiTheme="minorHAnsi" w:cstheme="minorHAnsi" w:hAnsiTheme="minorHAnsi"/>
          <w:bCs/>
          <w:szCs w:val="22"/>
        </w:rPr>
      </w:pPr>
    </w:p>
    <w:p w14:paraId="733FB010" w14:textId="61F655A3" w:rsidP="002A7D1F" w:rsidR="002A7D1F" w:rsidRDefault="002A7D1F" w:rsidRPr="001E55B3">
      <w:pPr>
        <w:spacing w:after="0"/>
        <w:jc w:val="right"/>
        <w:rPr>
          <w:rFonts w:asciiTheme="minorHAnsi" w:cstheme="minorHAnsi" w:hAnsiTheme="minorHAnsi"/>
          <w:bCs/>
          <w:szCs w:val="22"/>
        </w:rPr>
      </w:pPr>
      <w:r w:rsidRPr="001E55B3">
        <w:rPr>
          <w:rFonts w:asciiTheme="minorHAnsi" w:cstheme="minorHAnsi" w:hAnsiTheme="minorHAnsi"/>
          <w:bCs/>
          <w:szCs w:val="22"/>
        </w:rPr>
        <w:t xml:space="preserve">Ci-après désignée, « </w:t>
      </w:r>
      <w:r w:rsidR="009A202C">
        <w:rPr>
          <w:rFonts w:asciiTheme="minorHAnsi" w:cstheme="minorHAnsi" w:hAnsiTheme="minorHAnsi"/>
          <w:szCs w:val="22"/>
        </w:rPr>
        <w:t>TRANSDEV SENART</w:t>
      </w:r>
      <w:r>
        <w:rPr>
          <w:rFonts w:asciiTheme="minorHAnsi" w:cstheme="minorHAnsi" w:hAnsiTheme="minorHAnsi"/>
          <w:szCs w:val="22"/>
        </w:rPr>
        <w:t xml:space="preserve"> </w:t>
      </w:r>
      <w:r w:rsidRPr="001E55B3">
        <w:rPr>
          <w:rFonts w:asciiTheme="minorHAnsi" w:cstheme="minorHAnsi" w:hAnsiTheme="minorHAnsi"/>
          <w:bCs/>
          <w:szCs w:val="22"/>
        </w:rPr>
        <w:t>»</w:t>
      </w:r>
    </w:p>
    <w:p w14:paraId="6D5255DD" w14:textId="77777777" w:rsidP="002A7D1F" w:rsidR="002A7D1F" w:rsidRDefault="002A7D1F" w:rsidRPr="001E55B3">
      <w:pPr>
        <w:pStyle w:val="Pieddepage"/>
        <w:tabs>
          <w:tab w:pos="4536" w:val="clear"/>
          <w:tab w:pos="9072" w:val="clear"/>
        </w:tabs>
        <w:spacing w:after="0"/>
        <w:rPr>
          <w:rFonts w:asciiTheme="minorHAnsi" w:cstheme="minorHAnsi" w:hAnsiTheme="minorHAnsi"/>
          <w:szCs w:val="22"/>
        </w:rPr>
      </w:pPr>
    </w:p>
    <w:p w14:paraId="0AB4E976" w14:textId="77777777" w:rsidP="002A7D1F" w:rsidR="002A7D1F" w:rsidRDefault="002A7D1F" w:rsidRPr="001E55B3">
      <w:pPr>
        <w:pStyle w:val="Pieddepage"/>
        <w:tabs>
          <w:tab w:pos="4536" w:val="clear"/>
          <w:tab w:pos="9072" w:val="clear"/>
        </w:tabs>
        <w:spacing w:after="0"/>
        <w:jc w:val="right"/>
        <w:rPr>
          <w:rFonts w:asciiTheme="minorHAnsi" w:cstheme="minorHAnsi" w:hAnsiTheme="minorHAnsi"/>
          <w:szCs w:val="22"/>
          <w:u w:val="single"/>
        </w:rPr>
      </w:pPr>
      <w:r w:rsidRPr="001E55B3">
        <w:rPr>
          <w:rFonts w:asciiTheme="minorHAnsi" w:cstheme="minorHAnsi" w:hAnsiTheme="minorHAnsi"/>
          <w:szCs w:val="22"/>
          <w:u w:val="single"/>
        </w:rPr>
        <w:t>D’une part</w:t>
      </w:r>
    </w:p>
    <w:p w14:paraId="596D162D" w14:textId="77777777" w:rsidP="002A7D1F" w:rsidR="002A7D1F" w:rsidRDefault="002A7D1F" w:rsidRPr="001E55B3">
      <w:pPr>
        <w:pStyle w:val="Pieddepage"/>
        <w:tabs>
          <w:tab w:pos="4536" w:val="clear"/>
          <w:tab w:pos="9072" w:val="clear"/>
        </w:tabs>
        <w:spacing w:after="0"/>
        <w:rPr>
          <w:rFonts w:asciiTheme="minorHAnsi" w:cstheme="minorHAnsi" w:hAnsiTheme="minorHAnsi"/>
          <w:szCs w:val="22"/>
        </w:rPr>
      </w:pPr>
    </w:p>
    <w:p w14:paraId="48F8B309" w14:textId="77777777" w:rsidP="002A7D1F" w:rsidR="002A7D1F" w:rsidRDefault="002A7D1F" w:rsidRPr="001E55B3">
      <w:pPr>
        <w:pStyle w:val="Pieddepage"/>
        <w:tabs>
          <w:tab w:pos="4536" w:val="clear"/>
          <w:tab w:pos="9072" w:val="clear"/>
        </w:tabs>
        <w:spacing w:after="0"/>
        <w:rPr>
          <w:rFonts w:asciiTheme="minorHAnsi" w:cstheme="minorHAnsi" w:hAnsiTheme="minorHAnsi"/>
          <w:b/>
          <w:szCs w:val="22"/>
        </w:rPr>
      </w:pPr>
      <w:r w:rsidRPr="001E55B3">
        <w:rPr>
          <w:rFonts w:asciiTheme="minorHAnsi" w:cstheme="minorHAnsi" w:hAnsiTheme="minorHAnsi"/>
          <w:b/>
          <w:szCs w:val="22"/>
        </w:rPr>
        <w:t xml:space="preserve">Et </w:t>
      </w:r>
    </w:p>
    <w:p w14:paraId="07F92F53" w14:textId="77777777" w:rsidP="002A7D1F" w:rsidR="002A7D1F" w:rsidRDefault="002A7D1F" w:rsidRPr="001E55B3">
      <w:pPr>
        <w:pStyle w:val="Pieddepage"/>
        <w:tabs>
          <w:tab w:pos="4536" w:val="clear"/>
          <w:tab w:pos="9072" w:val="clear"/>
        </w:tabs>
        <w:spacing w:after="0"/>
        <w:rPr>
          <w:rFonts w:asciiTheme="minorHAnsi" w:cstheme="minorHAnsi" w:hAnsiTheme="minorHAnsi"/>
          <w:szCs w:val="22"/>
        </w:rPr>
      </w:pPr>
    </w:p>
    <w:p w14:paraId="7D992877" w14:textId="77777777" w:rsidP="002A7D1F" w:rsidR="002A7D1F" w:rsidRDefault="002A7D1F" w:rsidRPr="001E55B3">
      <w:pPr>
        <w:pStyle w:val="Pieddepage"/>
        <w:tabs>
          <w:tab w:pos="4536" w:val="clear"/>
          <w:tab w:pos="9072" w:val="clear"/>
        </w:tabs>
        <w:spacing w:after="0"/>
        <w:rPr>
          <w:rFonts w:asciiTheme="minorHAnsi" w:cstheme="minorHAnsi" w:hAnsiTheme="minorHAnsi"/>
          <w:szCs w:val="22"/>
        </w:rPr>
      </w:pPr>
      <w:r w:rsidRPr="001E55B3">
        <w:rPr>
          <w:rFonts w:asciiTheme="minorHAnsi" w:cstheme="minorHAnsi" w:hAnsiTheme="minorHAnsi"/>
          <w:szCs w:val="22"/>
        </w:rPr>
        <w:t xml:space="preserve">Les Organisations syndicales représentatives, </w:t>
      </w:r>
    </w:p>
    <w:p w14:paraId="77B2489A" w14:textId="77777777" w:rsidP="002A7D1F" w:rsidR="002A7D1F" w:rsidRDefault="002A7D1F" w:rsidRPr="001E55B3">
      <w:pPr>
        <w:pStyle w:val="Pieddepage"/>
        <w:tabs>
          <w:tab w:pos="567" w:val="left"/>
          <w:tab w:pos="4536" w:val="left"/>
        </w:tabs>
        <w:spacing w:after="0"/>
        <w:rPr>
          <w:rFonts w:asciiTheme="minorHAnsi" w:cstheme="minorHAnsi" w:hAnsiTheme="minorHAnsi"/>
          <w:szCs w:val="22"/>
        </w:rPr>
      </w:pPr>
      <w:bookmarkStart w:id="1" w:name="_Hlk66116182"/>
    </w:p>
    <w:p w14:paraId="0D982107" w14:textId="7DDDDAC6" w:rsidP="002A7D1F" w:rsidR="002A7D1F" w:rsidRDefault="009A202C">
      <w:pPr>
        <w:pStyle w:val="Pieddepage"/>
        <w:widowControl/>
        <w:numPr>
          <w:ilvl w:val="0"/>
          <w:numId w:val="3"/>
        </w:numPr>
        <w:tabs>
          <w:tab w:pos="9072" w:val="clear"/>
          <w:tab w:pos="567" w:val="left"/>
          <w:tab w:pos="4536" w:val="left"/>
        </w:tabs>
        <w:adjustRightInd/>
        <w:spacing w:after="120" w:line="276" w:lineRule="auto"/>
        <w:ind w:hanging="357" w:left="641"/>
        <w:textAlignment w:val="auto"/>
        <w:rPr>
          <w:rFonts w:asciiTheme="minorHAnsi" w:cstheme="minorHAnsi" w:hAnsiTheme="minorHAnsi"/>
          <w:szCs w:val="22"/>
        </w:rPr>
      </w:pPr>
      <w:r>
        <w:rPr>
          <w:rFonts w:asciiTheme="minorHAnsi" w:cstheme="minorHAnsi" w:hAnsiTheme="minorHAnsi"/>
          <w:b/>
          <w:bCs/>
          <w:szCs w:val="22"/>
        </w:rPr>
        <w:t>La CFDT</w:t>
      </w:r>
      <w:r w:rsidR="002A7D1F" w:rsidRPr="001E55B3">
        <w:rPr>
          <w:rFonts w:asciiTheme="minorHAnsi" w:cstheme="minorHAnsi" w:hAnsiTheme="minorHAnsi"/>
          <w:szCs w:val="22"/>
        </w:rPr>
        <w:t>, représent</w:t>
      </w:r>
      <w:r>
        <w:rPr>
          <w:rFonts w:asciiTheme="minorHAnsi" w:cstheme="minorHAnsi" w:hAnsiTheme="minorHAnsi"/>
          <w:szCs w:val="22"/>
        </w:rPr>
        <w:t>ée</w:t>
      </w:r>
      <w:r w:rsidR="002A7D1F" w:rsidRPr="001E55B3">
        <w:rPr>
          <w:rFonts w:asciiTheme="minorHAnsi" w:cstheme="minorHAnsi" w:hAnsiTheme="minorHAnsi"/>
          <w:szCs w:val="22"/>
        </w:rPr>
        <w:t xml:space="preserve"> par </w:t>
      </w:r>
      <w:r>
        <w:rPr>
          <w:rFonts w:asciiTheme="minorHAnsi" w:cstheme="minorHAnsi" w:hAnsiTheme="minorHAnsi"/>
          <w:szCs w:val="22"/>
        </w:rPr>
        <w:t xml:space="preserve">Monsieur </w:t>
      </w:r>
      <w:r w:rsidR="001322AA">
        <w:rPr>
          <w:rFonts w:asciiTheme="minorHAnsi" w:cstheme="minorHAnsi" w:hAnsiTheme="minorHAnsi"/>
          <w:szCs w:val="22"/>
        </w:rPr>
        <w:t>XXX</w:t>
      </w:r>
      <w:r w:rsidR="002A7D1F" w:rsidRPr="001E55B3">
        <w:rPr>
          <w:rFonts w:asciiTheme="minorHAnsi" w:cstheme="minorHAnsi" w:hAnsiTheme="minorHAnsi"/>
          <w:szCs w:val="22"/>
        </w:rPr>
        <w:t>, Délégué</w:t>
      </w:r>
      <w:r>
        <w:rPr>
          <w:rFonts w:asciiTheme="minorHAnsi" w:cstheme="minorHAnsi" w:hAnsiTheme="minorHAnsi"/>
          <w:szCs w:val="22"/>
        </w:rPr>
        <w:t xml:space="preserve"> </w:t>
      </w:r>
      <w:r w:rsidR="002A7D1F" w:rsidRPr="001E55B3">
        <w:rPr>
          <w:rFonts w:asciiTheme="minorHAnsi" w:cstheme="minorHAnsi" w:hAnsiTheme="minorHAnsi"/>
          <w:szCs w:val="22"/>
        </w:rPr>
        <w:t>Syndical dûment mandaté</w:t>
      </w:r>
      <w:r w:rsidR="00997B28">
        <w:rPr>
          <w:rFonts w:asciiTheme="minorHAnsi" w:cstheme="minorHAnsi" w:hAnsiTheme="minorHAnsi"/>
          <w:szCs w:val="22"/>
        </w:rPr>
        <w:t> ;</w:t>
      </w:r>
    </w:p>
    <w:p w14:paraId="21F9C9B0" w14:textId="0F59D16A" w:rsidP="002A7D1F" w:rsidR="00997B28" w:rsidRDefault="009A202C" w:rsidRPr="00997B28">
      <w:pPr>
        <w:pStyle w:val="Pieddepage"/>
        <w:widowControl/>
        <w:numPr>
          <w:ilvl w:val="0"/>
          <w:numId w:val="3"/>
        </w:numPr>
        <w:tabs>
          <w:tab w:pos="9072" w:val="clear"/>
          <w:tab w:pos="567" w:val="left"/>
          <w:tab w:pos="4536" w:val="left"/>
        </w:tabs>
        <w:adjustRightInd/>
        <w:spacing w:after="120" w:line="276" w:lineRule="auto"/>
        <w:ind w:hanging="357" w:left="641"/>
        <w:textAlignment w:val="auto"/>
        <w:rPr>
          <w:rFonts w:asciiTheme="minorHAnsi" w:cstheme="minorHAnsi" w:hAnsiTheme="minorHAnsi"/>
          <w:szCs w:val="22"/>
        </w:rPr>
      </w:pPr>
      <w:r>
        <w:rPr>
          <w:rFonts w:asciiTheme="minorHAnsi" w:cstheme="minorHAnsi" w:hAnsiTheme="minorHAnsi"/>
          <w:b/>
          <w:bCs/>
          <w:szCs w:val="22"/>
        </w:rPr>
        <w:t>L’UNSA</w:t>
      </w:r>
      <w:r w:rsidR="00997B28" w:rsidRPr="001E55B3">
        <w:rPr>
          <w:rFonts w:asciiTheme="minorHAnsi" w:cstheme="minorHAnsi" w:hAnsiTheme="minorHAnsi"/>
          <w:szCs w:val="22"/>
        </w:rPr>
        <w:t>, représenté</w:t>
      </w:r>
      <w:r>
        <w:rPr>
          <w:rFonts w:asciiTheme="minorHAnsi" w:cstheme="minorHAnsi" w:hAnsiTheme="minorHAnsi"/>
          <w:szCs w:val="22"/>
        </w:rPr>
        <w:t xml:space="preserve"> </w:t>
      </w:r>
      <w:r w:rsidR="00997B28" w:rsidRPr="001E55B3">
        <w:rPr>
          <w:rFonts w:asciiTheme="minorHAnsi" w:cstheme="minorHAnsi" w:hAnsiTheme="minorHAnsi"/>
          <w:szCs w:val="22"/>
        </w:rPr>
        <w:t xml:space="preserve">par </w:t>
      </w:r>
      <w:r>
        <w:rPr>
          <w:rFonts w:asciiTheme="minorHAnsi" w:cstheme="minorHAnsi" w:hAnsiTheme="minorHAnsi"/>
          <w:szCs w:val="22"/>
        </w:rPr>
        <w:t xml:space="preserve">Monsieur </w:t>
      </w:r>
      <w:r w:rsidR="001322AA">
        <w:rPr>
          <w:rFonts w:asciiTheme="minorHAnsi" w:cstheme="minorHAnsi" w:hAnsiTheme="minorHAnsi"/>
          <w:szCs w:val="22"/>
        </w:rPr>
        <w:t>XXX</w:t>
      </w:r>
      <w:r w:rsidR="00997B28" w:rsidRPr="001E55B3">
        <w:rPr>
          <w:rFonts w:asciiTheme="minorHAnsi" w:cstheme="minorHAnsi" w:hAnsiTheme="minorHAnsi"/>
          <w:szCs w:val="22"/>
        </w:rPr>
        <w:t>, Délégué</w:t>
      </w:r>
      <w:r w:rsidR="00997B28" w:rsidRPr="008B6AC8">
        <w:rPr>
          <w:rFonts w:asciiTheme="minorHAnsi" w:cstheme="minorHAnsi" w:hAnsiTheme="minorHAnsi"/>
          <w:szCs w:val="22"/>
        </w:rPr>
        <w:t xml:space="preserve"> </w:t>
      </w:r>
      <w:r w:rsidR="00997B28" w:rsidRPr="001E55B3">
        <w:rPr>
          <w:rFonts w:asciiTheme="minorHAnsi" w:cstheme="minorHAnsi" w:hAnsiTheme="minorHAnsi"/>
          <w:szCs w:val="22"/>
        </w:rPr>
        <w:t>Syndical</w:t>
      </w:r>
      <w:r>
        <w:rPr>
          <w:rFonts w:asciiTheme="minorHAnsi" w:cstheme="minorHAnsi" w:hAnsiTheme="minorHAnsi"/>
          <w:szCs w:val="22"/>
        </w:rPr>
        <w:t xml:space="preserve"> </w:t>
      </w:r>
      <w:r w:rsidR="00997B28" w:rsidRPr="001E55B3">
        <w:rPr>
          <w:rFonts w:asciiTheme="minorHAnsi" w:cstheme="minorHAnsi" w:hAnsiTheme="minorHAnsi"/>
          <w:szCs w:val="22"/>
        </w:rPr>
        <w:t>dûment mandaté</w:t>
      </w:r>
      <w:r w:rsidR="00997B28" w:rsidRPr="00997B28">
        <w:rPr>
          <w:rFonts w:asciiTheme="minorHAnsi" w:cstheme="minorHAnsi" w:hAnsiTheme="minorHAnsi"/>
          <w:szCs w:val="22"/>
        </w:rPr>
        <w:t> ;</w:t>
      </w:r>
    </w:p>
    <w:p w14:paraId="158EF82A" w14:textId="7E4871EE" w:rsidP="002A7D1F" w:rsidR="002A7D1F" w:rsidRDefault="009A202C">
      <w:pPr>
        <w:pStyle w:val="Pieddepage"/>
        <w:widowControl/>
        <w:numPr>
          <w:ilvl w:val="0"/>
          <w:numId w:val="3"/>
        </w:numPr>
        <w:tabs>
          <w:tab w:pos="9072" w:val="clear"/>
          <w:tab w:pos="567" w:val="left"/>
          <w:tab w:pos="4536" w:val="left"/>
        </w:tabs>
        <w:adjustRightInd/>
        <w:spacing w:after="120" w:line="276" w:lineRule="auto"/>
        <w:ind w:hanging="357" w:left="641"/>
        <w:textAlignment w:val="auto"/>
        <w:rPr>
          <w:rFonts w:asciiTheme="minorHAnsi" w:cstheme="minorHAnsi" w:hAnsiTheme="minorHAnsi"/>
          <w:szCs w:val="22"/>
        </w:rPr>
      </w:pPr>
      <w:r>
        <w:rPr>
          <w:rFonts w:asciiTheme="minorHAnsi" w:cstheme="minorHAnsi" w:hAnsiTheme="minorHAnsi"/>
          <w:b/>
          <w:bCs/>
          <w:szCs w:val="22"/>
        </w:rPr>
        <w:t>L’UST</w:t>
      </w:r>
      <w:r w:rsidR="00997B28" w:rsidRPr="001E55B3">
        <w:rPr>
          <w:rFonts w:asciiTheme="minorHAnsi" w:cstheme="minorHAnsi" w:hAnsiTheme="minorHAnsi"/>
          <w:szCs w:val="22"/>
        </w:rPr>
        <w:t>, représenté</w:t>
      </w:r>
      <w:r>
        <w:rPr>
          <w:rFonts w:asciiTheme="minorHAnsi" w:cstheme="minorHAnsi" w:hAnsiTheme="minorHAnsi"/>
          <w:szCs w:val="22"/>
        </w:rPr>
        <w:t xml:space="preserve"> </w:t>
      </w:r>
      <w:r w:rsidR="00997B28" w:rsidRPr="001E55B3">
        <w:rPr>
          <w:rFonts w:asciiTheme="minorHAnsi" w:cstheme="minorHAnsi" w:hAnsiTheme="minorHAnsi"/>
          <w:szCs w:val="22"/>
        </w:rPr>
        <w:t xml:space="preserve">par </w:t>
      </w:r>
      <w:r>
        <w:rPr>
          <w:rFonts w:asciiTheme="minorHAnsi" w:cstheme="minorHAnsi" w:hAnsiTheme="minorHAnsi"/>
          <w:szCs w:val="22"/>
        </w:rPr>
        <w:t xml:space="preserve">Monsieur </w:t>
      </w:r>
      <w:r w:rsidR="001322AA">
        <w:rPr>
          <w:rFonts w:asciiTheme="minorHAnsi" w:cstheme="minorHAnsi" w:hAnsiTheme="minorHAnsi"/>
          <w:szCs w:val="22"/>
        </w:rPr>
        <w:t>XXX</w:t>
      </w:r>
      <w:r w:rsidR="00997B28" w:rsidRPr="001E55B3">
        <w:rPr>
          <w:rFonts w:asciiTheme="minorHAnsi" w:cstheme="minorHAnsi" w:hAnsiTheme="minorHAnsi"/>
          <w:szCs w:val="22"/>
        </w:rPr>
        <w:t>, Délégué</w:t>
      </w:r>
      <w:r w:rsidR="00997B28" w:rsidRPr="008B6AC8">
        <w:rPr>
          <w:rFonts w:asciiTheme="minorHAnsi" w:cstheme="minorHAnsi" w:hAnsiTheme="minorHAnsi"/>
          <w:szCs w:val="22"/>
        </w:rPr>
        <w:t xml:space="preserve"> </w:t>
      </w:r>
      <w:r w:rsidR="00997B28" w:rsidRPr="001E55B3">
        <w:rPr>
          <w:rFonts w:asciiTheme="minorHAnsi" w:cstheme="minorHAnsi" w:hAnsiTheme="minorHAnsi"/>
          <w:szCs w:val="22"/>
        </w:rPr>
        <w:t>Syndical</w:t>
      </w:r>
      <w:r>
        <w:rPr>
          <w:rFonts w:asciiTheme="minorHAnsi" w:cstheme="minorHAnsi" w:hAnsiTheme="minorHAnsi"/>
          <w:szCs w:val="22"/>
        </w:rPr>
        <w:t xml:space="preserve"> </w:t>
      </w:r>
      <w:r w:rsidR="00997B28" w:rsidRPr="001E55B3">
        <w:rPr>
          <w:rFonts w:asciiTheme="minorHAnsi" w:cstheme="minorHAnsi" w:hAnsiTheme="minorHAnsi"/>
          <w:szCs w:val="22"/>
        </w:rPr>
        <w:t>dûment mandaté</w:t>
      </w:r>
      <w:r w:rsidR="00997B28">
        <w:rPr>
          <w:rFonts w:asciiTheme="minorHAnsi" w:cstheme="minorHAnsi" w:hAnsiTheme="minorHAnsi"/>
          <w:szCs w:val="22"/>
        </w:rPr>
        <w:t>.</w:t>
      </w:r>
    </w:p>
    <w:p w14:paraId="3FA6D543" w14:textId="27C51644" w:rsidP="002A7D1F" w:rsidR="009A202C" w:rsidRDefault="009A202C" w:rsidRPr="00997B28">
      <w:pPr>
        <w:pStyle w:val="Pieddepage"/>
        <w:widowControl/>
        <w:numPr>
          <w:ilvl w:val="0"/>
          <w:numId w:val="3"/>
        </w:numPr>
        <w:tabs>
          <w:tab w:pos="9072" w:val="clear"/>
          <w:tab w:pos="567" w:val="left"/>
          <w:tab w:pos="4536" w:val="left"/>
        </w:tabs>
        <w:adjustRightInd/>
        <w:spacing w:after="120" w:line="276" w:lineRule="auto"/>
        <w:ind w:hanging="357" w:left="641"/>
        <w:textAlignment w:val="auto"/>
        <w:rPr>
          <w:rFonts w:asciiTheme="minorHAnsi" w:cstheme="minorHAnsi" w:hAnsiTheme="minorHAnsi"/>
          <w:szCs w:val="22"/>
        </w:rPr>
      </w:pPr>
      <w:r>
        <w:rPr>
          <w:rFonts w:asciiTheme="minorHAnsi" w:cstheme="minorHAnsi" w:hAnsiTheme="minorHAnsi"/>
          <w:b/>
          <w:bCs/>
          <w:szCs w:val="22"/>
        </w:rPr>
        <w:t xml:space="preserve">La CFE-CGC, </w:t>
      </w:r>
      <w:r w:rsidRPr="009A202C">
        <w:rPr>
          <w:rFonts w:asciiTheme="minorHAnsi" w:cstheme="minorHAnsi" w:hAnsiTheme="minorHAnsi"/>
          <w:szCs w:val="22"/>
        </w:rPr>
        <w:t xml:space="preserve">représenté par Monsieur </w:t>
      </w:r>
      <w:r w:rsidR="001322AA">
        <w:rPr>
          <w:rFonts w:asciiTheme="minorHAnsi" w:cstheme="minorHAnsi" w:hAnsiTheme="minorHAnsi"/>
          <w:szCs w:val="22"/>
        </w:rPr>
        <w:t>XXX</w:t>
      </w:r>
      <w:r>
        <w:rPr>
          <w:rFonts w:asciiTheme="minorHAnsi" w:cstheme="minorHAnsi" w:hAnsiTheme="minorHAnsi"/>
          <w:b/>
          <w:bCs/>
          <w:szCs w:val="22"/>
        </w:rPr>
        <w:t xml:space="preserve">, </w:t>
      </w:r>
      <w:r w:rsidRPr="009A202C">
        <w:rPr>
          <w:rFonts w:asciiTheme="minorHAnsi" w:cstheme="minorHAnsi" w:hAnsiTheme="minorHAnsi"/>
          <w:szCs w:val="22"/>
        </w:rPr>
        <w:t>Délégué Syndical dûment mandaté.</w:t>
      </w:r>
    </w:p>
    <w:p w14:paraId="28D318D5" w14:textId="77777777" w:rsidP="002A7D1F" w:rsidR="002A7D1F" w:rsidRDefault="002A7D1F" w:rsidRPr="00897085">
      <w:pPr>
        <w:pStyle w:val="Pieddepage"/>
        <w:widowControl/>
        <w:tabs>
          <w:tab w:pos="9072" w:val="clear"/>
          <w:tab w:pos="567" w:val="left"/>
          <w:tab w:pos="4536" w:val="left"/>
        </w:tabs>
        <w:adjustRightInd/>
        <w:spacing w:after="120" w:line="276" w:lineRule="auto"/>
        <w:ind w:left="284"/>
        <w:textAlignment w:val="auto"/>
        <w:rPr>
          <w:rFonts w:asciiTheme="minorHAnsi" w:cstheme="minorHAnsi" w:hAnsiTheme="minorHAnsi"/>
          <w:szCs w:val="22"/>
        </w:rPr>
      </w:pPr>
    </w:p>
    <w:bookmarkEnd w:id="1"/>
    <w:p w14:paraId="456C7859" w14:textId="77777777" w:rsidP="002A7D1F" w:rsidR="002A7D1F" w:rsidRDefault="002A7D1F" w:rsidRPr="00513214">
      <w:pPr>
        <w:spacing w:after="0"/>
        <w:jc w:val="right"/>
        <w:rPr>
          <w:rFonts w:asciiTheme="minorHAnsi" w:cstheme="minorHAnsi" w:hAnsiTheme="minorHAnsi"/>
          <w:bCs/>
          <w:szCs w:val="22"/>
        </w:rPr>
      </w:pPr>
      <w:r w:rsidRPr="00513214">
        <w:rPr>
          <w:rFonts w:asciiTheme="minorHAnsi" w:cstheme="minorHAnsi" w:hAnsiTheme="minorHAnsi"/>
          <w:bCs/>
          <w:szCs w:val="22"/>
        </w:rPr>
        <w:t>Ci-après désignées « les Organisations syndicales »</w:t>
      </w:r>
    </w:p>
    <w:p w14:paraId="6D51C76B" w14:textId="77777777" w:rsidP="002A7D1F" w:rsidR="002A7D1F" w:rsidRDefault="002A7D1F" w:rsidRPr="00513214">
      <w:pPr>
        <w:pStyle w:val="Pieddepage"/>
        <w:tabs>
          <w:tab w:pos="4536" w:val="clear"/>
          <w:tab w:pos="9072" w:val="clear"/>
        </w:tabs>
        <w:spacing w:after="0"/>
        <w:rPr>
          <w:rFonts w:asciiTheme="minorHAnsi" w:cstheme="minorHAnsi" w:hAnsiTheme="minorHAnsi"/>
          <w:szCs w:val="22"/>
        </w:rPr>
      </w:pPr>
    </w:p>
    <w:p w14:paraId="755C52F2" w14:textId="77777777" w:rsidP="002A7D1F" w:rsidR="002A7D1F" w:rsidRDefault="002A7D1F" w:rsidRPr="00513214">
      <w:pPr>
        <w:pStyle w:val="Pieddepage"/>
        <w:tabs>
          <w:tab w:pos="4536" w:val="clear"/>
          <w:tab w:pos="9072" w:val="clear"/>
        </w:tabs>
        <w:spacing w:after="0"/>
        <w:jc w:val="right"/>
        <w:rPr>
          <w:rFonts w:asciiTheme="minorHAnsi" w:cstheme="minorHAnsi" w:hAnsiTheme="minorHAnsi"/>
          <w:szCs w:val="22"/>
          <w:u w:val="single"/>
        </w:rPr>
      </w:pPr>
      <w:r w:rsidRPr="00513214">
        <w:rPr>
          <w:rFonts w:asciiTheme="minorHAnsi" w:cstheme="minorHAnsi" w:hAnsiTheme="minorHAnsi"/>
          <w:szCs w:val="22"/>
          <w:u w:val="single"/>
        </w:rPr>
        <w:t>D’autre part</w:t>
      </w:r>
    </w:p>
    <w:p w14:paraId="71E71083" w14:textId="77777777" w:rsidP="002A7D1F" w:rsidR="002A7D1F" w:rsidRDefault="002A7D1F" w:rsidRPr="00513214">
      <w:pPr>
        <w:pStyle w:val="Pieddepage"/>
        <w:tabs>
          <w:tab w:pos="4536" w:val="clear"/>
          <w:tab w:pos="9072" w:val="clear"/>
        </w:tabs>
        <w:spacing w:after="0"/>
        <w:rPr>
          <w:rFonts w:asciiTheme="minorHAnsi" w:cstheme="minorHAnsi" w:hAnsiTheme="minorHAnsi"/>
          <w:szCs w:val="22"/>
        </w:rPr>
      </w:pPr>
    </w:p>
    <w:p w14:paraId="48716282" w14:textId="77777777" w:rsidP="002A7D1F" w:rsidR="002A7D1F" w:rsidRDefault="002A7D1F" w:rsidRPr="00513214">
      <w:pPr>
        <w:pStyle w:val="Pieddepage"/>
        <w:tabs>
          <w:tab w:pos="4536" w:val="clear"/>
          <w:tab w:pos="9072" w:val="clear"/>
        </w:tabs>
        <w:spacing w:after="0"/>
        <w:rPr>
          <w:rFonts w:asciiTheme="minorHAnsi" w:cstheme="minorHAnsi" w:hAnsiTheme="minorHAnsi"/>
          <w:b/>
          <w:szCs w:val="22"/>
        </w:rPr>
      </w:pPr>
    </w:p>
    <w:p w14:paraId="40DCE4E0" w14:textId="77777777" w:rsidP="002A7D1F" w:rsidR="002A7D1F" w:rsidRDefault="002A7D1F" w:rsidRPr="00D90629">
      <w:pPr>
        <w:pStyle w:val="Pieddepage"/>
        <w:tabs>
          <w:tab w:pos="567" w:val="left"/>
          <w:tab w:pos="4536" w:val="left"/>
        </w:tabs>
        <w:spacing w:after="0"/>
        <w:rPr>
          <w:rFonts w:asciiTheme="minorHAnsi" w:cstheme="minorHAnsi" w:hAnsiTheme="minorHAnsi"/>
          <w:szCs w:val="22"/>
        </w:rPr>
      </w:pPr>
      <w:r w:rsidRPr="00513214">
        <w:rPr>
          <w:rFonts w:asciiTheme="minorHAnsi" w:cstheme="minorHAnsi" w:hAnsiTheme="minorHAnsi"/>
          <w:szCs w:val="22"/>
        </w:rPr>
        <w:t>Ci-après ensemble désignées « les Parties »</w:t>
      </w:r>
      <w:r>
        <w:rPr>
          <w:rFonts w:asciiTheme="minorHAnsi" w:cstheme="minorHAnsi" w:hAnsiTheme="minorHAnsi"/>
          <w:szCs w:val="22"/>
        </w:rPr>
        <w:t>.</w:t>
      </w:r>
    </w:p>
    <w:p w14:paraId="7545426F" w14:textId="77777777" w:rsidP="002A7D1F" w:rsidR="002A7D1F" w:rsidRDefault="002A7D1F" w:rsidRPr="005406A4">
      <w:pPr>
        <w:pageBreakBefore/>
        <w:pBdr>
          <w:bottom w:color="auto" w:space="1" w:sz="4" w:val="single"/>
        </w:pBdr>
        <w:rPr>
          <w:b/>
          <w:bCs/>
        </w:rPr>
      </w:pPr>
      <w:r w:rsidRPr="005406A4">
        <w:rPr>
          <w:b/>
          <w:bCs/>
        </w:rPr>
        <w:lastRenderedPageBreak/>
        <w:t>PR</w:t>
      </w:r>
      <w:r>
        <w:rPr>
          <w:rFonts w:cs="Calibri"/>
          <w:b/>
          <w:bCs/>
        </w:rPr>
        <w:t>É</w:t>
      </w:r>
      <w:r w:rsidRPr="005406A4">
        <w:rPr>
          <w:b/>
          <w:bCs/>
        </w:rPr>
        <w:t>AMBULE</w:t>
      </w:r>
    </w:p>
    <w:p w14:paraId="652BDE8D" w14:textId="315E244A" w:rsidP="006A0988" w:rsidR="006A0988" w:rsidRDefault="006A0988">
      <w:bookmarkStart w:id="2" w:name="_Toc67218649"/>
      <w:bookmarkStart w:id="3" w:name="_Toc67508584"/>
      <w:bookmarkStart w:id="4" w:name="_Toc67508656"/>
      <w:bookmarkStart w:id="5" w:name="_Toc67508728"/>
      <w:bookmarkStart w:id="6" w:name="_Toc67555412"/>
      <w:bookmarkStart w:id="7" w:name="_Toc67601411"/>
      <w:bookmarkStart w:id="8" w:name="_Toc67601499"/>
      <w:bookmarkStart w:id="9" w:name="_Toc66103041"/>
      <w:bookmarkStart w:id="10" w:name="_Toc67218650"/>
      <w:bookmarkStart w:id="11" w:name="_Toc67508585"/>
      <w:bookmarkStart w:id="12" w:name="_Toc67508657"/>
      <w:bookmarkStart w:id="13" w:name="_Toc67508729"/>
      <w:bookmarkStart w:id="14" w:name="_Toc67555413"/>
      <w:bookmarkStart w:id="15" w:name="_Toc67601412"/>
      <w:bookmarkStart w:id="16" w:name="_Toc67601500"/>
      <w:bookmarkStart w:id="17" w:name="_Toc66103042"/>
      <w:bookmarkStart w:id="18" w:name="_Toc67218651"/>
      <w:bookmarkStart w:id="19" w:name="_Toc67508586"/>
      <w:bookmarkStart w:id="20" w:name="_Toc67508658"/>
      <w:bookmarkStart w:id="21" w:name="_Toc67508730"/>
      <w:bookmarkStart w:id="22" w:name="_Toc67555414"/>
      <w:bookmarkStart w:id="23" w:name="_Toc67601413"/>
      <w:bookmarkStart w:id="24" w:name="_Toc67601501"/>
      <w:bookmarkStart w:id="25" w:name="_Toc66103043"/>
      <w:bookmarkStart w:id="26" w:name="_Toc67218652"/>
      <w:bookmarkStart w:id="27" w:name="_Toc67508587"/>
      <w:bookmarkStart w:id="28" w:name="_Toc67508659"/>
      <w:bookmarkStart w:id="29" w:name="_Toc67508731"/>
      <w:bookmarkStart w:id="30" w:name="_Toc67555415"/>
      <w:bookmarkStart w:id="31" w:name="_Toc67601414"/>
      <w:bookmarkStart w:id="32" w:name="_Toc67601502"/>
      <w:bookmarkStart w:id="33" w:name="_Ref42883630"/>
      <w:bookmarkStart w:id="34" w:name="_Toc6868976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 xml:space="preserve">Au regard de la situation exceptionnelle d’augmentation de l’inflation et des prévisions d’inflation sur les mois à venir, la Direction et les partenaires sociaux ont décidé à titre dérogatoire d’ouvrir de manière anticipée les négociations annuelles obligatoires 2023 prévues aux articles L. 2242-1 et suivants du Code du travail afin de prendre en compte dès maintenant cette situation. </w:t>
      </w:r>
    </w:p>
    <w:p w14:paraId="7A3F4399" w14:textId="46AE4434" w:rsidP="006A0988" w:rsidR="006A0988" w:rsidRDefault="006A0988">
      <w:r>
        <w:t xml:space="preserve">Il est précisé que les dispositions du présent accord constituent des mesures partielles et en anticipation des discussions qui auront lieu </w:t>
      </w:r>
      <w:r w:rsidR="009E7E09">
        <w:t>début janvier 2023</w:t>
      </w:r>
      <w:r>
        <w:t xml:space="preserve"> et qui les complèteront. </w:t>
      </w:r>
    </w:p>
    <w:p w14:paraId="75FC4DA1" w14:textId="6CB79923" w:rsidP="006A0988" w:rsidR="006A0988" w:rsidRDefault="006A0988">
      <w:r>
        <w:t xml:space="preserve">Ces réunions ultérieures permettront d’aborder également les autres thématiques des négociations annuelles obligatoires telles que prévues </w:t>
      </w:r>
      <w:r w:rsidRPr="00C0629B">
        <w:t>aux</w:t>
      </w:r>
      <w:r>
        <w:t xml:space="preserve"> a</w:t>
      </w:r>
      <w:r w:rsidRPr="00C0629B">
        <w:t xml:space="preserve">rticles L. 2242-1 et suivants </w:t>
      </w:r>
      <w:r>
        <w:t>du Code du travail.</w:t>
      </w:r>
    </w:p>
    <w:p w14:paraId="6B3B1E1C" w14:textId="6A577827" w:rsidP="006A0988" w:rsidR="006A0988" w:rsidRDefault="006A0988">
      <w:r>
        <w:t xml:space="preserve">Après s’être réunis le </w:t>
      </w:r>
      <w:r w:rsidR="0018416F">
        <w:t>22</w:t>
      </w:r>
      <w:r>
        <w:t xml:space="preserve"> septembre 2022</w:t>
      </w:r>
      <w:r w:rsidR="0018416F">
        <w:t xml:space="preserve"> et 27 septembre 2022</w:t>
      </w:r>
      <w:r>
        <w:t xml:space="preserve">, la Direction et les partenaires sociaux ont convenu des dispositions suivantes, </w:t>
      </w:r>
    </w:p>
    <w:p w14:paraId="6FF9823A" w14:textId="0CBD987E" w:rsidP="002A7D1F" w:rsidR="002A7D1F" w:rsidRDefault="002A7D1F">
      <w:pPr>
        <w:widowControl/>
        <w:adjustRightInd/>
        <w:spacing w:after="160" w:line="259" w:lineRule="auto"/>
        <w:textAlignment w:val="auto"/>
        <w:rPr>
          <w:b/>
          <w:bCs/>
          <w:u w:val="single"/>
        </w:rPr>
      </w:pPr>
      <w:r w:rsidRPr="003118EE">
        <w:rPr>
          <w:b/>
          <w:bCs/>
          <w:u w:val="single"/>
        </w:rPr>
        <w:t xml:space="preserve">Article 1 – </w:t>
      </w:r>
      <w:bookmarkEnd w:id="33"/>
      <w:bookmarkEnd w:id="34"/>
      <w:r w:rsidR="00AD691B">
        <w:rPr>
          <w:b/>
          <w:bCs/>
          <w:u w:val="single"/>
        </w:rPr>
        <w:t>Champ d’application</w:t>
      </w:r>
    </w:p>
    <w:p w14:paraId="3EC4C69E" w14:textId="08322B79" w:rsidP="009930CE" w:rsidR="009930CE" w:rsidRDefault="009930CE">
      <w:bookmarkStart w:id="35" w:name="_Toc68725278"/>
      <w:bookmarkStart w:id="36" w:name="_Toc536367539"/>
      <w:r>
        <w:t xml:space="preserve">Le présent accord </w:t>
      </w:r>
      <w:r w:rsidR="00190B8E">
        <w:t>s’applique à tout le personnel titulaire d’un contrat de travail</w:t>
      </w:r>
      <w:r>
        <w:t xml:space="preserve"> </w:t>
      </w:r>
      <w:r w:rsidR="003612D6">
        <w:t xml:space="preserve">(ouvriers, employés dont les agents de médiation, agents de maitrise) </w:t>
      </w:r>
      <w:r w:rsidR="00190B8E">
        <w:t>de la Société Transdev Sénart</w:t>
      </w:r>
      <w:r w:rsidR="001853F0">
        <w:t xml:space="preserve"> </w:t>
      </w:r>
      <w:r>
        <w:t>hor</w:t>
      </w:r>
      <w:r w:rsidR="003002D7">
        <w:t>mis</w:t>
      </w:r>
      <w:r>
        <w:t xml:space="preserve"> les salariés cadres.</w:t>
      </w:r>
    </w:p>
    <w:p w14:paraId="1558DBF1" w14:textId="5C2B5278" w:rsidP="0018144B" w:rsidR="003612D6" w:rsidRDefault="0018144B">
      <w:pPr>
        <w:rPr>
          <w:b/>
          <w:bCs/>
          <w:u w:val="single"/>
        </w:rPr>
      </w:pPr>
      <w:r w:rsidRPr="00501459">
        <w:rPr>
          <w:b/>
          <w:bCs/>
          <w:u w:val="single"/>
        </w:rPr>
        <w:t xml:space="preserve">Article 2 – Augmentation du </w:t>
      </w:r>
      <w:r w:rsidR="004466BD">
        <w:rPr>
          <w:b/>
          <w:bCs/>
          <w:u w:val="single"/>
        </w:rPr>
        <w:t>salaire de base</w:t>
      </w:r>
    </w:p>
    <w:p w14:paraId="198BFFCC" w14:textId="1B217E84" w:rsidP="0018144B" w:rsidR="0018144B" w:rsidRDefault="00C1054A">
      <w:r>
        <w:t>Le salaire de base du personnel visé à l’article 1 du présent accord est augmenté de 3 % à compter du 1</w:t>
      </w:r>
      <w:r>
        <w:rPr>
          <w:sz w:val="17"/>
          <w:szCs w:val="17"/>
          <w:vertAlign w:val="superscript"/>
        </w:rPr>
        <w:t>er</w:t>
      </w:r>
      <w:r>
        <w:t> septembre 2022. A titre exceptionnel, cette revalorisation du salaire de base concerne également les salariés qui, en application de l’Accord Socle des Sociétés Dédiées en IDF, se sont vu maintenir un salaire de base supérieur à la grille d’ancienneté. C</w:t>
      </w:r>
      <w:r w:rsidR="0018144B">
        <w:t>ette augmentation constitue une mesure partielle et anticipée au titre des NAO 2023.</w:t>
      </w:r>
    </w:p>
    <w:p w14:paraId="14FB0B37" w14:textId="5E5A098A" w:rsidP="003612D6" w:rsidR="003612D6" w:rsidRDefault="00D55B53" w:rsidRPr="003612D6">
      <w:r>
        <w:t>L</w:t>
      </w:r>
      <w:r w:rsidR="003612D6">
        <w:t>es</w:t>
      </w:r>
      <w:r>
        <w:t xml:space="preserve"> nouvelle</w:t>
      </w:r>
      <w:r w:rsidR="003612D6">
        <w:t>s</w:t>
      </w:r>
      <w:r>
        <w:t xml:space="preserve"> Grille</w:t>
      </w:r>
      <w:r w:rsidR="003612D6">
        <w:t>s</w:t>
      </w:r>
      <w:r>
        <w:t xml:space="preserve"> d’ancienneté qui en découle</w:t>
      </w:r>
      <w:r w:rsidR="003612D6">
        <w:t>nt</w:t>
      </w:r>
      <w:r>
        <w:t xml:space="preserve"> </w:t>
      </w:r>
      <w:r w:rsidR="003612D6">
        <w:t>sont</w:t>
      </w:r>
      <w:r>
        <w:t xml:space="preserve"> annexée</w:t>
      </w:r>
      <w:r w:rsidR="003612D6">
        <w:t>s</w:t>
      </w:r>
      <w:r>
        <w:t xml:space="preserve"> au présent accord</w:t>
      </w:r>
      <w:r w:rsidR="00754147">
        <w:t>.</w:t>
      </w:r>
    </w:p>
    <w:p w14:paraId="13500374" w14:textId="57C5B102" w:rsidP="003612D6" w:rsidR="003612D6" w:rsidRDefault="003612D6">
      <w:pPr>
        <w:rPr>
          <w:b/>
          <w:bCs/>
          <w:u w:val="single"/>
        </w:rPr>
      </w:pPr>
      <w:r>
        <w:rPr>
          <w:b/>
          <w:bCs/>
          <w:u w:val="single"/>
        </w:rPr>
        <w:t>Article 3 – Application de l’indexation NAO</w:t>
      </w:r>
      <w:r w:rsidR="003002D7">
        <w:rPr>
          <w:b/>
          <w:bCs/>
          <w:u w:val="single"/>
        </w:rPr>
        <w:t xml:space="preserve"> sur la garantie de rémunération</w:t>
      </w:r>
    </w:p>
    <w:p w14:paraId="639164AB" w14:textId="482FBB4E" w:rsidP="0018144B" w:rsidR="003612D6" w:rsidRDefault="003612D6">
      <w:r w:rsidRPr="003612D6">
        <w:t>Conformément à l’article 3.1.1.4 « Indexation du bloc 1 de la garantie de rémunération » de l’Accord Socle Des Sociétés Dédiées Transdev en Ile-de-France, une indexation de +3 % sera appliquée sur le bloc 1 de la garantie de rémunération des salariés visés à l’article 1 du présent accord et disposant d’une garantie de rémunération</w:t>
      </w:r>
      <w:r w:rsidR="003002D7">
        <w:t>,</w:t>
      </w:r>
      <w:r w:rsidRPr="003612D6">
        <w:t xml:space="preserve"> à compter du 1er septembre 2022.</w:t>
      </w:r>
    </w:p>
    <w:p w14:paraId="481E517C" w14:textId="77777777" w:rsidP="0018144B" w:rsidR="00D06C76" w:rsidRDefault="00D06C76">
      <w:r w:rsidRPr="00D06C76">
        <w:t xml:space="preserve">Cette indexation de la garantie de rémunération effective à compter du 1er septembre 2022 sera prise en compte lors de la prochaine régule annuelle du mois de février 2023 sur 4/12e de la période de référence. </w:t>
      </w:r>
    </w:p>
    <w:p w14:paraId="6A3172BB" w14:textId="05B33C56" w:rsidP="0018144B" w:rsidR="00D06C76" w:rsidRDefault="00D06C76" w:rsidRPr="003002D7">
      <w:r w:rsidRPr="00D06C76">
        <w:t>Les mois de janvier à août 2022 ne bénéficiant pas rétroactivement de cette indexation.</w:t>
      </w:r>
    </w:p>
    <w:p w14:paraId="10F1580C" w14:textId="3F7D75BF" w:rsidP="0018144B" w:rsidR="0018144B" w:rsidRDefault="0018144B" w:rsidRPr="00E67E33">
      <w:pPr>
        <w:rPr>
          <w:b/>
          <w:bCs/>
          <w:u w:val="single"/>
        </w:rPr>
      </w:pPr>
      <w:r w:rsidRPr="00501459">
        <w:rPr>
          <w:b/>
          <w:bCs/>
          <w:u w:val="single"/>
        </w:rPr>
        <w:t xml:space="preserve">Article </w:t>
      </w:r>
      <w:r w:rsidR="003002D7">
        <w:rPr>
          <w:b/>
          <w:bCs/>
          <w:u w:val="single"/>
        </w:rPr>
        <w:t>4</w:t>
      </w:r>
      <w:r w:rsidRPr="00501459">
        <w:rPr>
          <w:b/>
          <w:bCs/>
          <w:u w:val="single"/>
        </w:rPr>
        <w:t xml:space="preserve"> – Suite de la NAO </w:t>
      </w:r>
      <w:r w:rsidRPr="00E67E33">
        <w:rPr>
          <w:b/>
          <w:bCs/>
          <w:u w:val="single"/>
        </w:rPr>
        <w:t>2023</w:t>
      </w:r>
    </w:p>
    <w:p w14:paraId="3AF79073" w14:textId="54FC3027" w:rsidP="0018144B" w:rsidR="0018144B" w:rsidRDefault="0018144B" w:rsidRPr="004C160B">
      <w:r w:rsidRPr="00E67E33">
        <w:t xml:space="preserve">Les parties conviennent de se revoir </w:t>
      </w:r>
      <w:r w:rsidR="009E7E09" w:rsidRPr="00E67E33">
        <w:t xml:space="preserve">courant janvier 2023 </w:t>
      </w:r>
      <w:r w:rsidR="00D55B53" w:rsidRPr="00E67E33">
        <w:t xml:space="preserve">au plus tard </w:t>
      </w:r>
      <w:r w:rsidRPr="00E67E33">
        <w:t>afin de poursuivre les discussions de NAO 2023 et, le cas échéant, de compléter les présentes dispositions.</w:t>
      </w:r>
    </w:p>
    <w:p w14:paraId="76B7FE23" w14:textId="2AD6561A" w:rsidP="002A7D1F" w:rsidR="002A7D1F" w:rsidRDefault="002A7D1F" w:rsidRPr="003118EE">
      <w:pPr>
        <w:pBdr>
          <w:bottom w:color="808080" w:space="1" w:sz="8" w:themeColor="background1" w:themeShade="80" w:val="single"/>
        </w:pBdr>
        <w:tabs>
          <w:tab w:pos="284" w:val="left"/>
        </w:tabs>
        <w:spacing w:before="480"/>
        <w:outlineLvl w:val="1"/>
        <w:rPr>
          <w:rFonts w:eastAsia="Calibri"/>
          <w:b/>
          <w:color w:val="454F54"/>
          <w:sz w:val="26"/>
          <w:szCs w:val="28"/>
        </w:rPr>
      </w:pPr>
      <w:r w:rsidRPr="003118EE">
        <w:rPr>
          <w:rFonts w:eastAsia="Calibri"/>
          <w:b/>
          <w:color w:val="454F54"/>
          <w:sz w:val="26"/>
          <w:szCs w:val="28"/>
        </w:rPr>
        <w:t xml:space="preserve">Entrée en vigueur </w:t>
      </w:r>
      <w:r w:rsidR="007F5DB2">
        <w:rPr>
          <w:rFonts w:eastAsia="Calibri"/>
          <w:b/>
          <w:color w:val="454F54"/>
          <w:sz w:val="26"/>
          <w:szCs w:val="28"/>
        </w:rPr>
        <w:t>et durée de l’accord</w:t>
      </w:r>
    </w:p>
    <w:p w14:paraId="360CBFE1" w14:textId="77777777" w:rsidP="007F5DB2" w:rsidR="007F5DB2" w:rsidRDefault="007F5DB2">
      <w:bookmarkStart w:id="37" w:name="_Toc6569843"/>
      <w:bookmarkStart w:id="38" w:name="_Toc68725280"/>
      <w:bookmarkEnd w:id="35"/>
      <w:r w:rsidRPr="00C0629B">
        <w:t>Le présent accord entre en vigueur au 1</w:t>
      </w:r>
      <w:r w:rsidRPr="00C0629B">
        <w:rPr>
          <w:vertAlign w:val="superscript"/>
        </w:rPr>
        <w:t>er</w:t>
      </w:r>
      <w:r w:rsidRPr="00C0629B">
        <w:t xml:space="preserve"> septembre 2</w:t>
      </w:r>
      <w:bookmarkStart w:id="39" w:name="_GoBack"/>
      <w:bookmarkEnd w:id="39"/>
      <w:r w:rsidRPr="00C0629B">
        <w:t>022, pour une durée indéterminée.</w:t>
      </w:r>
    </w:p>
    <w:p w14:paraId="0829C960" w14:textId="4B024DAB" w:rsidP="00BA11CB" w:rsidR="002A7D1F" w:rsidRDefault="002A7D1F" w:rsidRPr="00ED1DDC">
      <w:pPr>
        <w:pStyle w:val="Titre2"/>
        <w:numPr>
          <w:ilvl w:val="0"/>
          <w:numId w:val="0"/>
        </w:numPr>
        <w:ind w:hanging="675" w:left="675"/>
      </w:pPr>
      <w:bookmarkStart w:id="40" w:name="_Toc68725281"/>
      <w:bookmarkEnd w:id="36"/>
      <w:bookmarkEnd w:id="37"/>
      <w:bookmarkEnd w:id="38"/>
      <w:r w:rsidRPr="00462DE2">
        <w:t xml:space="preserve">Dépôt et publicité </w:t>
      </w:r>
      <w:bookmarkEnd w:id="40"/>
      <w:r w:rsidR="00997B28">
        <w:t>de l’accord</w:t>
      </w:r>
    </w:p>
    <w:p w14:paraId="461F0E8A" w14:textId="77777777" w:rsidP="002A7D1F" w:rsidR="002A7D1F" w:rsidRDefault="002A7D1F" w:rsidRPr="00462DE2">
      <w:r w:rsidRPr="00462DE2">
        <w:lastRenderedPageBreak/>
        <w:t xml:space="preserve">La Direction notifiera sans délai le présent accord, par courrier remis en main propre contre décharge auprès des organisations syndicales représentatives. </w:t>
      </w:r>
    </w:p>
    <w:p w14:paraId="307DAA7A" w14:textId="3E2011C8" w:rsidP="00EC31DF" w:rsidR="002A7D1F" w:rsidRDefault="002A7D1F">
      <w:r w:rsidRPr="00462DE2">
        <w:t xml:space="preserve">Le présent accord, sera déposé à l'initiative de la direction, </w:t>
      </w:r>
      <w:r w:rsidR="00EC31DF">
        <w:t xml:space="preserve">sur la plateforme de téléprocédure </w:t>
      </w:r>
      <w:proofErr w:type="spellStart"/>
      <w:r w:rsidR="00EC31DF">
        <w:t>TéléAccords</w:t>
      </w:r>
      <w:proofErr w:type="spellEnd"/>
      <w:r w:rsidRPr="00462DE2">
        <w:t xml:space="preserve">. </w:t>
      </w:r>
    </w:p>
    <w:p w14:paraId="6F56FEE5" w14:textId="77777777" w:rsidP="00EC31DF" w:rsidR="003002D7" w:rsidRDefault="003002D7" w:rsidRPr="00462DE2"/>
    <w:p w14:paraId="794B3997" w14:textId="157CCD44" w:rsidP="002A7D1F" w:rsidR="002A7D1F" w:rsidRDefault="002A7D1F" w:rsidRPr="00BA11CB">
      <w:r w:rsidRPr="00462DE2">
        <w:t>Un exemplaire original sera également remis au secrétariat greffe du Conseil de prud’hommes du lieu de sa conclusion.</w:t>
      </w:r>
    </w:p>
    <w:p w14:paraId="55ED3B9B" w14:textId="084731BA" w:rsidP="002A7D1F" w:rsidR="002A7D1F" w:rsidRDefault="002A7D1F" w:rsidRPr="00D90629">
      <w:pPr>
        <w:rPr>
          <w:rFonts w:asciiTheme="minorHAnsi" w:cstheme="minorHAnsi" w:eastAsia="Calibri" w:hAnsiTheme="minorHAnsi"/>
          <w:szCs w:val="22"/>
        </w:rPr>
      </w:pPr>
      <w:r w:rsidRPr="00D90629">
        <w:rPr>
          <w:rFonts w:asciiTheme="minorHAnsi" w:cstheme="minorHAnsi" w:eastAsia="Calibri" w:hAnsiTheme="minorHAnsi"/>
          <w:szCs w:val="22"/>
        </w:rPr>
        <w:t xml:space="preserve">Fait à </w:t>
      </w:r>
      <w:proofErr w:type="spellStart"/>
      <w:r w:rsidR="003002D7">
        <w:rPr>
          <w:rFonts w:asciiTheme="minorHAnsi" w:cstheme="minorHAnsi" w:eastAsia="Calibri" w:hAnsiTheme="minorHAnsi"/>
          <w:szCs w:val="22"/>
        </w:rPr>
        <w:t>Lieusaint</w:t>
      </w:r>
      <w:proofErr w:type="spellEnd"/>
      <w:r w:rsidRPr="00D90629">
        <w:rPr>
          <w:rFonts w:asciiTheme="minorHAnsi" w:cstheme="minorHAnsi" w:eastAsia="Calibri" w:hAnsiTheme="minorHAnsi"/>
          <w:szCs w:val="22"/>
        </w:rPr>
        <w:t xml:space="preserve">, le </w:t>
      </w:r>
      <w:r w:rsidR="003002D7">
        <w:rPr>
          <w:rFonts w:asciiTheme="minorHAnsi" w:cstheme="minorHAnsi" w:eastAsia="Calibri" w:hAnsiTheme="minorHAnsi"/>
          <w:szCs w:val="22"/>
        </w:rPr>
        <w:t>27 septembre</w:t>
      </w:r>
      <w:r w:rsidRPr="00D90629">
        <w:rPr>
          <w:rFonts w:asciiTheme="minorHAnsi" w:cstheme="minorHAnsi" w:eastAsia="Calibri" w:hAnsiTheme="minorHAnsi"/>
          <w:szCs w:val="22"/>
        </w:rPr>
        <w:t xml:space="preserve"> 202</w:t>
      </w:r>
      <w:r>
        <w:rPr>
          <w:rFonts w:asciiTheme="minorHAnsi" w:cstheme="minorHAnsi" w:eastAsia="Calibri" w:hAnsiTheme="minorHAnsi"/>
          <w:szCs w:val="22"/>
        </w:rPr>
        <w:t>2</w:t>
      </w:r>
      <w:r w:rsidRPr="00D90629">
        <w:rPr>
          <w:rFonts w:asciiTheme="minorHAnsi" w:cstheme="minorHAnsi" w:eastAsia="Calibri" w:hAnsiTheme="minorHAnsi"/>
          <w:szCs w:val="22"/>
        </w:rPr>
        <w:t>, en 7 exemplaires.</w:t>
      </w:r>
    </w:p>
    <w:p w14:paraId="09149CED" w14:textId="77777777" w:rsidP="002A7D1F" w:rsidR="002A7D1F" w:rsidRDefault="002A7D1F" w:rsidRPr="00D90629">
      <w:pPr>
        <w:rPr>
          <w:rFonts w:asciiTheme="minorHAnsi" w:cstheme="minorHAnsi" w:eastAsia="Calibri" w:hAnsiTheme="minorHAnsi"/>
          <w:szCs w:val="22"/>
        </w:rPr>
      </w:pPr>
    </w:p>
    <w:p w14:paraId="76D4EDFC" w14:textId="180FF78E" w:rsidP="002A7D1F" w:rsidR="002A7D1F" w:rsidRDefault="002A7D1F" w:rsidRPr="00D90629">
      <w:pPr>
        <w:spacing w:after="0"/>
        <w:rPr>
          <w:rFonts w:asciiTheme="minorHAnsi" w:cstheme="minorHAnsi" w:eastAsia="Calibri" w:hAnsiTheme="minorHAnsi"/>
          <w:b/>
          <w:szCs w:val="22"/>
        </w:rPr>
      </w:pPr>
      <w:r w:rsidRPr="00D90629">
        <w:rPr>
          <w:rFonts w:asciiTheme="minorHAnsi" w:cstheme="minorHAnsi" w:eastAsia="Calibri" w:hAnsiTheme="minorHAnsi"/>
          <w:b/>
          <w:szCs w:val="22"/>
        </w:rPr>
        <w:t xml:space="preserve">Pour </w:t>
      </w:r>
      <w:r w:rsidRPr="00D90629">
        <w:rPr>
          <w:rFonts w:asciiTheme="minorHAnsi" w:cstheme="minorHAnsi" w:hAnsiTheme="minorHAnsi"/>
          <w:b/>
          <w:szCs w:val="22"/>
        </w:rPr>
        <w:t>la Société</w:t>
      </w:r>
      <w:r w:rsidR="0067179D">
        <w:rPr>
          <w:rFonts w:asciiTheme="minorHAnsi" w:cstheme="minorHAnsi" w:hAnsiTheme="minorHAnsi"/>
          <w:b/>
          <w:szCs w:val="22"/>
        </w:rPr>
        <w:t> </w:t>
      </w:r>
      <w:r w:rsidR="003002D7">
        <w:rPr>
          <w:rFonts w:asciiTheme="minorHAnsi" w:cstheme="minorHAnsi" w:hAnsiTheme="minorHAnsi"/>
          <w:b/>
          <w:szCs w:val="22"/>
        </w:rPr>
        <w:t>TRANSDEV SENART</w:t>
      </w:r>
    </w:p>
    <w:p w14:paraId="61BADE19" w14:textId="288FCF9D" w:rsidP="002A7D1F" w:rsidR="002A7D1F" w:rsidRDefault="003002D7" w:rsidRPr="00D90629">
      <w:pPr>
        <w:spacing w:after="0"/>
        <w:rPr>
          <w:rFonts w:asciiTheme="minorHAnsi" w:cstheme="minorHAnsi" w:hAnsiTheme="minorHAnsi"/>
          <w:szCs w:val="22"/>
        </w:rPr>
      </w:pPr>
      <w:r>
        <w:rPr>
          <w:rFonts w:asciiTheme="minorHAnsi" w:cstheme="minorHAnsi" w:hAnsiTheme="minorHAnsi"/>
          <w:szCs w:val="22"/>
        </w:rPr>
        <w:t xml:space="preserve">Monsieur </w:t>
      </w:r>
      <w:r w:rsidR="001322AA">
        <w:rPr>
          <w:rFonts w:asciiTheme="minorHAnsi" w:cstheme="minorHAnsi" w:hAnsiTheme="minorHAnsi"/>
          <w:szCs w:val="22"/>
        </w:rPr>
        <w:t>XXX</w:t>
      </w:r>
      <w:r w:rsidR="001322AA" w:rsidRPr="00D90629">
        <w:rPr>
          <w:rFonts w:asciiTheme="minorHAnsi" w:cstheme="minorHAnsi" w:hAnsiTheme="minorHAnsi"/>
          <w:szCs w:val="22"/>
        </w:rPr>
        <w:t xml:space="preserve"> </w:t>
      </w:r>
      <w:r w:rsidR="002A7D1F" w:rsidRPr="00D90629">
        <w:rPr>
          <w:rFonts w:asciiTheme="minorHAnsi" w:cstheme="minorHAnsi" w:hAnsiTheme="minorHAnsi"/>
          <w:szCs w:val="22"/>
        </w:rPr>
        <w:t xml:space="preserve">en sa qualité de </w:t>
      </w:r>
      <w:r>
        <w:rPr>
          <w:rFonts w:asciiTheme="minorHAnsi" w:cstheme="minorHAnsi" w:hAnsiTheme="minorHAnsi"/>
          <w:szCs w:val="22"/>
        </w:rPr>
        <w:t>Directeur</w:t>
      </w:r>
    </w:p>
    <w:p w14:paraId="58E7412B" w14:textId="77777777" w:rsidP="002A7D1F" w:rsidR="002A7D1F" w:rsidRDefault="002A7D1F" w:rsidRPr="00D90629">
      <w:pPr>
        <w:spacing w:after="0"/>
        <w:rPr>
          <w:rFonts w:asciiTheme="minorHAnsi" w:cstheme="minorHAnsi" w:hAnsiTheme="minorHAnsi"/>
          <w:szCs w:val="22"/>
        </w:rPr>
      </w:pPr>
    </w:p>
    <w:p w14:paraId="2A0A5CAF" w14:textId="77777777" w:rsidP="002A7D1F" w:rsidR="002A7D1F" w:rsidRDefault="002A7D1F" w:rsidRPr="005726A2">
      <w:pPr>
        <w:pStyle w:val="Pieddepage"/>
        <w:tabs>
          <w:tab w:pos="567" w:val="left"/>
          <w:tab w:pos="4536" w:val="left"/>
        </w:tabs>
        <w:spacing w:after="0"/>
        <w:rPr>
          <w:rFonts w:asciiTheme="minorHAnsi" w:cstheme="minorHAnsi" w:hAnsiTheme="minorHAnsi"/>
          <w:b/>
          <w:sz w:val="24"/>
          <w:szCs w:val="24"/>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414"/>
        <w:gridCol w:w="3648"/>
      </w:tblGrid>
      <w:tr w14:paraId="437F64C8" w14:textId="77777777" w:rsidR="002A7D1F" w:rsidRPr="005726A2" w:rsidTr="00606EE0">
        <w:trPr>
          <w:trHeight w:val="70"/>
        </w:trPr>
        <w:tc>
          <w:tcPr>
            <w:tcW w:type="dxa" w:w="5414"/>
            <w:shd w:color="auto" w:fill="auto" w:val="clear"/>
          </w:tcPr>
          <w:p w14:paraId="6A9271ED" w14:textId="77777777" w:rsidP="00606EE0" w:rsidR="002A7D1F" w:rsidRDefault="002A7D1F" w:rsidRPr="005726A2">
            <w:pPr>
              <w:spacing w:after="0"/>
              <w:rPr>
                <w:rFonts w:ascii="Arial" w:cs="Arial" w:hAnsi="Arial"/>
              </w:rPr>
            </w:pPr>
            <w:bookmarkStart w:id="41" w:name="_Hlk57817818"/>
            <w:r w:rsidRPr="005726A2">
              <w:rPr>
                <w:rFonts w:ascii="Arial" w:cs="Arial" w:hAnsi="Arial"/>
                <w:b/>
                <w:u w:val="single"/>
              </w:rPr>
              <w:t>Pour les organisations syndicales signataires</w:t>
            </w:r>
            <w:r w:rsidRPr="005726A2">
              <w:rPr>
                <w:rFonts w:ascii="Arial" w:cs="Arial" w:hAnsi="Arial"/>
              </w:rPr>
              <w:t xml:space="preserve"> représentée(s) par</w:t>
            </w:r>
          </w:p>
        </w:tc>
        <w:tc>
          <w:tcPr>
            <w:tcW w:type="dxa" w:w="3648"/>
            <w:shd w:color="auto" w:fill="auto" w:val="clear"/>
          </w:tcPr>
          <w:p w14:paraId="0F296E76" w14:textId="77777777" w:rsidP="00606EE0" w:rsidR="002A7D1F" w:rsidRDefault="002A7D1F" w:rsidRPr="005726A2">
            <w:pPr>
              <w:spacing w:after="0"/>
              <w:jc w:val="center"/>
              <w:rPr>
                <w:rFonts w:ascii="Arial" w:cs="Arial" w:hAnsi="Arial"/>
                <w:i/>
              </w:rPr>
            </w:pPr>
            <w:r w:rsidRPr="005726A2">
              <w:rPr>
                <w:rFonts w:ascii="Arial" w:cs="Arial" w:hAnsi="Arial"/>
                <w:i/>
              </w:rPr>
              <w:t>Signature(s)</w:t>
            </w:r>
          </w:p>
        </w:tc>
      </w:tr>
      <w:tr w14:paraId="26685644" w14:textId="77777777" w:rsidR="002A7D1F" w:rsidRPr="005726A2" w:rsidTr="00606EE0">
        <w:trPr>
          <w:trHeight w:val="1043"/>
        </w:trPr>
        <w:tc>
          <w:tcPr>
            <w:tcW w:type="dxa" w:w="5414"/>
            <w:shd w:color="auto" w:fill="auto" w:val="clear"/>
          </w:tcPr>
          <w:p w14:paraId="094A242D" w14:textId="77777777" w:rsidP="00606EE0" w:rsidR="002A7D1F" w:rsidRDefault="002A7D1F" w:rsidRPr="005726A2">
            <w:pPr>
              <w:spacing w:after="0"/>
              <w:rPr>
                <w:rFonts w:ascii="Arial" w:cs="Arial" w:hAnsi="Arial"/>
              </w:rPr>
            </w:pPr>
          </w:p>
          <w:p w14:paraId="7C5A8BD0" w14:textId="5081F6A8" w:rsidP="00606EE0" w:rsidR="002A7D1F" w:rsidRDefault="003002D7" w:rsidRPr="005726A2">
            <w:pPr>
              <w:spacing w:after="0"/>
              <w:rPr>
                <w:rFonts w:asciiTheme="minorHAnsi" w:cstheme="minorHAnsi" w:hAnsiTheme="minorHAnsi"/>
              </w:rPr>
            </w:pPr>
            <w:r>
              <w:rPr>
                <w:rFonts w:asciiTheme="minorHAnsi" w:cstheme="minorHAnsi" w:hAnsiTheme="minorHAnsi"/>
                <w:szCs w:val="22"/>
              </w:rPr>
              <w:t xml:space="preserve">Monsieur </w:t>
            </w:r>
            <w:r w:rsidR="001322AA">
              <w:rPr>
                <w:rFonts w:asciiTheme="minorHAnsi" w:cstheme="minorHAnsi" w:hAnsiTheme="minorHAnsi"/>
                <w:szCs w:val="22"/>
              </w:rPr>
              <w:t>XXX</w:t>
            </w:r>
          </w:p>
          <w:p w14:paraId="38B2B6FB" w14:textId="7158F78F" w:rsidP="00606EE0" w:rsidR="002A7D1F" w:rsidRDefault="002A7D1F" w:rsidRPr="005726A2">
            <w:pPr>
              <w:spacing w:after="0"/>
              <w:rPr>
                <w:rFonts w:ascii="Arial" w:cs="Arial" w:hAnsi="Arial"/>
              </w:rPr>
            </w:pPr>
            <w:r w:rsidRPr="005726A2">
              <w:rPr>
                <w:rFonts w:asciiTheme="minorHAnsi" w:cstheme="minorHAnsi" w:hAnsiTheme="minorHAnsi"/>
              </w:rPr>
              <w:t xml:space="preserve">Pour </w:t>
            </w:r>
            <w:r w:rsidR="003002D7">
              <w:rPr>
                <w:rFonts w:asciiTheme="minorHAnsi" w:cstheme="minorHAnsi" w:hAnsiTheme="minorHAnsi"/>
              </w:rPr>
              <w:t>la CFDT</w:t>
            </w:r>
          </w:p>
        </w:tc>
        <w:tc>
          <w:tcPr>
            <w:tcW w:type="dxa" w:w="3648"/>
            <w:shd w:color="auto" w:fill="auto" w:val="clear"/>
          </w:tcPr>
          <w:p w14:paraId="3B227DF2" w14:textId="77777777" w:rsidP="00606EE0" w:rsidR="002A7D1F" w:rsidRDefault="002A7D1F" w:rsidRPr="005726A2">
            <w:pPr>
              <w:spacing w:after="0"/>
              <w:rPr>
                <w:rFonts w:ascii="Arial" w:cs="Arial" w:hAnsi="Arial"/>
                <w:b/>
                <w:u w:val="single"/>
              </w:rPr>
            </w:pPr>
          </w:p>
          <w:p w14:paraId="354680AF" w14:textId="77777777" w:rsidP="00606EE0" w:rsidR="002A7D1F" w:rsidRDefault="002A7D1F" w:rsidRPr="005726A2">
            <w:pPr>
              <w:spacing w:after="0"/>
              <w:rPr>
                <w:rFonts w:ascii="Arial" w:cs="Arial" w:hAnsi="Arial"/>
                <w:b/>
                <w:u w:val="single"/>
              </w:rPr>
            </w:pPr>
          </w:p>
          <w:p w14:paraId="6CC39642" w14:textId="77777777" w:rsidP="00606EE0" w:rsidR="002A7D1F" w:rsidRDefault="002A7D1F" w:rsidRPr="005726A2">
            <w:pPr>
              <w:spacing w:after="0"/>
              <w:rPr>
                <w:rFonts w:ascii="Arial" w:cs="Arial" w:hAnsi="Arial"/>
                <w:b/>
                <w:u w:val="single"/>
              </w:rPr>
            </w:pPr>
          </w:p>
        </w:tc>
      </w:tr>
      <w:tr w14:paraId="3AD29993" w14:textId="77777777" w:rsidR="002A7D1F" w:rsidRPr="005726A2" w:rsidTr="00606EE0">
        <w:trPr>
          <w:trHeight w:val="1043"/>
        </w:trPr>
        <w:tc>
          <w:tcPr>
            <w:tcW w:type="dxa" w:w="5414"/>
            <w:shd w:color="auto" w:fill="auto" w:val="clear"/>
          </w:tcPr>
          <w:p w14:paraId="0BC244F3" w14:textId="77777777" w:rsidP="00606EE0" w:rsidR="002A7D1F" w:rsidRDefault="002A7D1F" w:rsidRPr="005726A2">
            <w:pPr>
              <w:spacing w:after="0"/>
              <w:rPr>
                <w:rFonts w:ascii="Arial" w:cs="Arial" w:hAnsi="Arial"/>
              </w:rPr>
            </w:pPr>
          </w:p>
          <w:p w14:paraId="6DBF0811" w14:textId="4ECB6952" w:rsidP="00606EE0" w:rsidR="0067179D" w:rsidRDefault="003002D7">
            <w:pPr>
              <w:spacing w:after="0"/>
              <w:rPr>
                <w:rFonts w:asciiTheme="minorHAnsi" w:cstheme="minorHAnsi" w:hAnsiTheme="minorHAnsi"/>
              </w:rPr>
            </w:pPr>
            <w:r>
              <w:rPr>
                <w:rFonts w:asciiTheme="minorHAnsi" w:cstheme="minorHAnsi" w:hAnsiTheme="minorHAnsi"/>
                <w:szCs w:val="22"/>
              </w:rPr>
              <w:t xml:space="preserve">Monsieur </w:t>
            </w:r>
            <w:r w:rsidR="001322AA">
              <w:rPr>
                <w:rFonts w:asciiTheme="minorHAnsi" w:cstheme="minorHAnsi" w:hAnsiTheme="minorHAnsi"/>
                <w:szCs w:val="22"/>
              </w:rPr>
              <w:t>XXX</w:t>
            </w:r>
          </w:p>
          <w:p w14:paraId="2A6F4643" w14:textId="5EC2DE64" w:rsidP="00606EE0" w:rsidR="002A7D1F" w:rsidRDefault="002A7D1F" w:rsidRPr="005726A2">
            <w:pPr>
              <w:spacing w:after="0"/>
              <w:rPr>
                <w:rFonts w:asciiTheme="minorHAnsi" w:cstheme="minorHAnsi" w:hAnsiTheme="minorHAnsi"/>
              </w:rPr>
            </w:pPr>
            <w:r w:rsidRPr="005726A2">
              <w:rPr>
                <w:rFonts w:asciiTheme="minorHAnsi" w:cstheme="minorHAnsi" w:hAnsiTheme="minorHAnsi"/>
              </w:rPr>
              <w:t xml:space="preserve">Pour </w:t>
            </w:r>
            <w:r w:rsidR="003002D7">
              <w:rPr>
                <w:rFonts w:asciiTheme="minorHAnsi" w:cstheme="minorHAnsi" w:hAnsiTheme="minorHAnsi"/>
              </w:rPr>
              <w:t>l’UNSA</w:t>
            </w:r>
          </w:p>
          <w:p w14:paraId="09E73496" w14:textId="77777777" w:rsidP="00606EE0" w:rsidR="002A7D1F" w:rsidRDefault="002A7D1F" w:rsidRPr="005726A2">
            <w:pPr>
              <w:spacing w:after="0"/>
              <w:rPr>
                <w:rFonts w:ascii="Arial" w:cs="Arial" w:hAnsi="Arial"/>
              </w:rPr>
            </w:pPr>
          </w:p>
        </w:tc>
        <w:tc>
          <w:tcPr>
            <w:tcW w:type="dxa" w:w="3648"/>
            <w:shd w:color="auto" w:fill="auto" w:val="clear"/>
          </w:tcPr>
          <w:p w14:paraId="05D91378" w14:textId="77777777" w:rsidP="00606EE0" w:rsidR="002A7D1F" w:rsidRDefault="002A7D1F" w:rsidRPr="005726A2">
            <w:pPr>
              <w:spacing w:after="0"/>
              <w:rPr>
                <w:rFonts w:ascii="Arial" w:cs="Arial" w:hAnsi="Arial"/>
                <w:b/>
                <w:u w:val="single"/>
              </w:rPr>
            </w:pPr>
          </w:p>
          <w:p w14:paraId="73CCA62D" w14:textId="77777777" w:rsidP="00606EE0" w:rsidR="002A7D1F" w:rsidRDefault="002A7D1F" w:rsidRPr="005726A2">
            <w:pPr>
              <w:spacing w:after="0"/>
              <w:rPr>
                <w:rFonts w:ascii="Arial" w:cs="Arial" w:hAnsi="Arial"/>
                <w:b/>
                <w:u w:val="single"/>
              </w:rPr>
            </w:pPr>
          </w:p>
          <w:p w14:paraId="0D100669" w14:textId="77777777" w:rsidP="00606EE0" w:rsidR="002A7D1F" w:rsidRDefault="002A7D1F" w:rsidRPr="005726A2">
            <w:pPr>
              <w:spacing w:after="0"/>
              <w:rPr>
                <w:rFonts w:ascii="Arial" w:cs="Arial" w:hAnsi="Arial"/>
                <w:b/>
                <w:u w:val="single"/>
              </w:rPr>
            </w:pPr>
          </w:p>
        </w:tc>
      </w:tr>
      <w:tr w14:paraId="186E4314" w14:textId="77777777" w:rsidR="002A7D1F" w:rsidRPr="009B215B" w:rsidTr="00606EE0">
        <w:trPr>
          <w:trHeight w:val="1043"/>
        </w:trPr>
        <w:tc>
          <w:tcPr>
            <w:tcW w:type="dxa" w:w="5414"/>
            <w:shd w:color="auto" w:fill="auto" w:val="clear"/>
          </w:tcPr>
          <w:p w14:paraId="3C5A756B" w14:textId="77777777" w:rsidP="00606EE0" w:rsidR="002A7D1F" w:rsidRDefault="002A7D1F" w:rsidRPr="00B12ADF">
            <w:pPr>
              <w:spacing w:after="0"/>
              <w:rPr>
                <w:rFonts w:ascii="Arial" w:cs="Arial" w:hAnsi="Arial"/>
              </w:rPr>
            </w:pPr>
          </w:p>
          <w:p w14:paraId="3F2FA0AA" w14:textId="10FACB6C" w:rsidP="00606EE0" w:rsidR="0067179D" w:rsidRDefault="003002D7">
            <w:pPr>
              <w:spacing w:after="0"/>
              <w:rPr>
                <w:rFonts w:asciiTheme="minorHAnsi" w:cstheme="minorHAnsi" w:hAnsiTheme="minorHAnsi"/>
              </w:rPr>
            </w:pPr>
            <w:r>
              <w:rPr>
                <w:rFonts w:asciiTheme="minorHAnsi" w:cstheme="minorHAnsi" w:hAnsiTheme="minorHAnsi"/>
                <w:szCs w:val="22"/>
              </w:rPr>
              <w:t xml:space="preserve">Monsieur </w:t>
            </w:r>
            <w:r w:rsidR="001322AA">
              <w:rPr>
                <w:rFonts w:asciiTheme="minorHAnsi" w:cstheme="minorHAnsi" w:hAnsiTheme="minorHAnsi"/>
                <w:szCs w:val="22"/>
              </w:rPr>
              <w:t>XXX</w:t>
            </w:r>
          </w:p>
          <w:p w14:paraId="33629CC2" w14:textId="2107649B" w:rsidP="00606EE0" w:rsidR="002A7D1F" w:rsidRDefault="002A7D1F" w:rsidRPr="009B215B">
            <w:pPr>
              <w:spacing w:after="0"/>
              <w:rPr>
                <w:rFonts w:asciiTheme="minorHAnsi" w:cstheme="minorHAnsi" w:hAnsiTheme="minorHAnsi"/>
              </w:rPr>
            </w:pPr>
            <w:r w:rsidRPr="009B215B">
              <w:rPr>
                <w:rFonts w:asciiTheme="minorHAnsi" w:cstheme="minorHAnsi" w:hAnsiTheme="minorHAnsi"/>
              </w:rPr>
              <w:t xml:space="preserve">Pour </w:t>
            </w:r>
            <w:r w:rsidR="003002D7">
              <w:rPr>
                <w:rFonts w:asciiTheme="minorHAnsi" w:cstheme="minorHAnsi" w:hAnsiTheme="minorHAnsi"/>
              </w:rPr>
              <w:t>l’UST</w:t>
            </w:r>
          </w:p>
          <w:p w14:paraId="692488BA" w14:textId="77777777" w:rsidP="00606EE0" w:rsidR="002A7D1F" w:rsidRDefault="002A7D1F" w:rsidRPr="009B215B">
            <w:pPr>
              <w:spacing w:after="0"/>
              <w:rPr>
                <w:rFonts w:ascii="Arial" w:cs="Arial" w:hAnsi="Arial"/>
              </w:rPr>
            </w:pPr>
          </w:p>
        </w:tc>
        <w:tc>
          <w:tcPr>
            <w:tcW w:type="dxa" w:w="3648"/>
            <w:shd w:color="auto" w:fill="auto" w:val="clear"/>
          </w:tcPr>
          <w:p w14:paraId="399E4800" w14:textId="77777777" w:rsidP="00606EE0" w:rsidR="002A7D1F" w:rsidRDefault="002A7D1F" w:rsidRPr="009B215B">
            <w:pPr>
              <w:spacing w:after="0"/>
              <w:rPr>
                <w:rFonts w:ascii="Arial" w:cs="Arial" w:hAnsi="Arial"/>
                <w:b/>
                <w:u w:val="single"/>
              </w:rPr>
            </w:pPr>
          </w:p>
          <w:p w14:paraId="083CE838" w14:textId="77777777" w:rsidP="00606EE0" w:rsidR="002A7D1F" w:rsidRDefault="002A7D1F" w:rsidRPr="009B215B">
            <w:pPr>
              <w:spacing w:after="0"/>
              <w:rPr>
                <w:rFonts w:ascii="Arial" w:cs="Arial" w:hAnsi="Arial"/>
                <w:b/>
                <w:u w:val="single"/>
              </w:rPr>
            </w:pPr>
          </w:p>
          <w:p w14:paraId="23A55302" w14:textId="77777777" w:rsidP="00606EE0" w:rsidR="002A7D1F" w:rsidRDefault="002A7D1F" w:rsidRPr="009B215B">
            <w:pPr>
              <w:spacing w:after="0"/>
              <w:rPr>
                <w:rFonts w:ascii="Arial" w:cs="Arial" w:hAnsi="Arial"/>
                <w:b/>
                <w:u w:val="single"/>
              </w:rPr>
            </w:pPr>
          </w:p>
        </w:tc>
      </w:tr>
      <w:tr w14:paraId="219FF878" w14:textId="77777777" w:rsidR="003002D7" w:rsidRPr="009B215B" w:rsidTr="00606EE0">
        <w:trPr>
          <w:trHeight w:val="1043"/>
        </w:trPr>
        <w:tc>
          <w:tcPr>
            <w:tcW w:type="dxa" w:w="5414"/>
            <w:shd w:color="auto" w:fill="auto" w:val="clear"/>
          </w:tcPr>
          <w:p w14:paraId="10787A52" w14:textId="77777777" w:rsidP="00606EE0" w:rsidR="003002D7" w:rsidRDefault="003002D7">
            <w:pPr>
              <w:spacing w:after="0"/>
              <w:rPr>
                <w:rFonts w:ascii="Arial" w:cs="Arial" w:hAnsi="Arial"/>
              </w:rPr>
            </w:pPr>
          </w:p>
          <w:p w14:paraId="28343FB9" w14:textId="2E7F25DD" w:rsidP="003002D7" w:rsidR="003002D7" w:rsidRDefault="003002D7">
            <w:pPr>
              <w:spacing w:after="0"/>
              <w:rPr>
                <w:rFonts w:asciiTheme="minorHAnsi" w:cstheme="minorHAnsi" w:hAnsiTheme="minorHAnsi"/>
              </w:rPr>
            </w:pPr>
            <w:r>
              <w:rPr>
                <w:rFonts w:asciiTheme="minorHAnsi" w:cstheme="minorHAnsi" w:hAnsiTheme="minorHAnsi"/>
                <w:szCs w:val="22"/>
              </w:rPr>
              <w:t xml:space="preserve">Monsieur </w:t>
            </w:r>
            <w:r w:rsidR="001322AA">
              <w:rPr>
                <w:rFonts w:asciiTheme="minorHAnsi" w:cstheme="minorHAnsi" w:hAnsiTheme="minorHAnsi"/>
                <w:szCs w:val="22"/>
              </w:rPr>
              <w:t>XXX</w:t>
            </w:r>
          </w:p>
          <w:p w14:paraId="777D6F39" w14:textId="1F91B8CC" w:rsidP="003002D7" w:rsidR="003002D7" w:rsidRDefault="003002D7" w:rsidRPr="009B215B">
            <w:pPr>
              <w:spacing w:after="0"/>
              <w:rPr>
                <w:rFonts w:asciiTheme="minorHAnsi" w:cstheme="minorHAnsi" w:hAnsiTheme="minorHAnsi"/>
              </w:rPr>
            </w:pPr>
            <w:r w:rsidRPr="009B215B">
              <w:rPr>
                <w:rFonts w:asciiTheme="minorHAnsi" w:cstheme="minorHAnsi" w:hAnsiTheme="minorHAnsi"/>
              </w:rPr>
              <w:t xml:space="preserve">Pour </w:t>
            </w:r>
            <w:r>
              <w:rPr>
                <w:rFonts w:asciiTheme="minorHAnsi" w:cstheme="minorHAnsi" w:hAnsiTheme="minorHAnsi"/>
              </w:rPr>
              <w:t>la CFE-CGC</w:t>
            </w:r>
          </w:p>
          <w:p w14:paraId="63FEB6DC" w14:textId="5D7BF125" w:rsidP="00606EE0" w:rsidR="003002D7" w:rsidRDefault="003002D7" w:rsidRPr="00B12ADF">
            <w:pPr>
              <w:spacing w:after="0"/>
              <w:rPr>
                <w:rFonts w:ascii="Arial" w:cs="Arial" w:hAnsi="Arial"/>
              </w:rPr>
            </w:pPr>
          </w:p>
        </w:tc>
        <w:tc>
          <w:tcPr>
            <w:tcW w:type="dxa" w:w="3648"/>
            <w:shd w:color="auto" w:fill="auto" w:val="clear"/>
          </w:tcPr>
          <w:p w14:paraId="3DB9F2AF" w14:textId="77777777" w:rsidP="00606EE0" w:rsidR="003002D7" w:rsidRDefault="003002D7" w:rsidRPr="009B215B">
            <w:pPr>
              <w:spacing w:after="0"/>
              <w:rPr>
                <w:rFonts w:ascii="Arial" w:cs="Arial" w:hAnsi="Arial"/>
                <w:b/>
                <w:u w:val="single"/>
              </w:rPr>
            </w:pPr>
          </w:p>
        </w:tc>
      </w:tr>
      <w:bookmarkEnd w:id="41"/>
    </w:tbl>
    <w:p w14:paraId="6641316A" w14:textId="77777777" w:rsidR="00EB45F3" w:rsidRDefault="00EB45F3"/>
    <w:sectPr w:rsidR="00EB45F3" w:rsidSect="00D06C76">
      <w:headerReference r:id="rId12" w:type="even"/>
      <w:headerReference r:id="rId13" w:type="default"/>
      <w:footerReference r:id="rId14" w:type="even"/>
      <w:footerReference r:id="rId15" w:type="default"/>
      <w:headerReference r:id="rId16" w:type="first"/>
      <w:footerReference r:id="rId17" w:type="first"/>
      <w:pgSz w:h="16838" w:w="11906"/>
      <w:pgMar w:bottom="1417" w:footer="567" w:gutter="0" w:header="567" w:left="1417" w:right="1133" w:top="14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FDBF9" w14:textId="77777777" w:rsidR="00863B41" w:rsidRDefault="00863B41" w:rsidP="000A3BF5">
      <w:pPr>
        <w:spacing w:after="0"/>
      </w:pPr>
      <w:r>
        <w:separator/>
      </w:r>
    </w:p>
  </w:endnote>
  <w:endnote w:type="continuationSeparator" w:id="0">
    <w:p w14:paraId="65E5A040" w14:textId="77777777" w:rsidR="00863B41" w:rsidRDefault="00863B41" w:rsidP="000A3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ivers (WN)">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D59AC1E" w14:textId="77777777" w:rsidR="004466BD" w:rsidRDefault="004466BD">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737553899"/>
      <w:docPartObj>
        <w:docPartGallery w:val="Page Numbers (Bottom of Page)"/>
        <w:docPartUnique/>
      </w:docPartObj>
    </w:sdtPr>
    <w:sdtEndPr/>
    <w:sdtContent>
      <w:p w14:paraId="29CC6166" w14:textId="6C20A648" w:rsidP="001C0B12" w:rsidR="001C0B12" w:rsidRDefault="006962D8">
        <w:pPr>
          <w:tabs>
            <w:tab w:pos="4536" w:val="center"/>
            <w:tab w:pos="9072" w:val="right"/>
          </w:tabs>
          <w:rPr>
            <w:rFonts w:ascii="Univers (WN)" w:cs="Arial" w:eastAsia="Times New Roman" w:hAnsi="Univers (WN)"/>
            <w:b/>
            <w:color w:val="000000"/>
            <w:sz w:val="14"/>
            <w:szCs w:val="14"/>
            <w:lang w:eastAsia="fr-FR"/>
          </w:rPr>
        </w:pPr>
        <w:r w:rsidRPr="00C03A1F">
          <w:rPr>
            <w:i/>
            <w:noProof/>
            <w:sz w:val="18"/>
            <w:szCs w:val="18"/>
            <w:highlight w:val="yellow"/>
          </w:rPr>
          <mc:AlternateContent>
            <mc:Choice Requires="wps">
              <w:drawing>
                <wp:anchor allowOverlap="1" behindDoc="0" distB="0" distL="114300" distR="114300" distT="0" layoutInCell="1" locked="0" relativeHeight="251658752" simplePos="0" wp14:anchorId="1E6D6BDC" wp14:editId="66CF958F">
                  <wp:simplePos x="0" y="0"/>
                  <wp:positionH relativeFrom="page">
                    <wp:posOffset>4483459</wp:posOffset>
                  </wp:positionH>
                  <wp:positionV relativeFrom="page">
                    <wp:posOffset>6583680</wp:posOffset>
                  </wp:positionV>
                  <wp:extent cx="71120" cy="6224270"/>
                  <wp:effectExtent b="0" l="9525" r="0" t="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1120" cy="6224270"/>
                          </a:xfrm>
                          <a:prstGeom prst="rect">
                            <a:avLst/>
                          </a:prstGeom>
                          <a:gradFill rotWithShape="1">
                            <a:gsLst>
                              <a:gs pos="0">
                                <a:srgbClr val="D80014"/>
                              </a:gs>
                              <a:gs pos="100000">
                                <a:sysClr lastClr="FFFFFF" val="window"/>
                              </a:gs>
                            </a:gsLst>
                            <a:lin ang="16200000" scaled="0"/>
                          </a:gradFill>
                          <a:ln algn="ctr" cap="flat" cmpd="sng" w="9525">
                            <a:noFill/>
                            <a:prstDash val="solid"/>
                          </a:ln>
                          <a:effectLst/>
                        </wps:spPr>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fillcolor="#d80014" id="Rectangle 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5zSKsQIAAHUFAAAOAAAAZHJzL2Uyb0RvYy54bWysVMtu2zAQvBfoPxC8N7IE5yVEDowYLgoY SdCkyJmmqAdKkSxJW3a/vkNKfjTtqagOAsld7s7OzvLuftdJshXWtVoVNL2YUCIU12Wr6oJ+e11+ uqHEeaZKJrUSBd0LR+9nHz/c9SYXmW60LIUlCKJc3puCNt6bPEkcb0TH3IU2QsFYadsxj62tk9Ky HtE7mWSTyVXSa1saq7lwDqeLwUhnMX5VCe6fqsoJT2RBgc3Hv43/dfgnszuW15aZpuUjDPYPKDrW KiQ9hlowz8jGtn+E6lputdOVv+C6S3RVtVzEGlBNOnlXzUvDjIi1gBxnjjS5/xeWP26fLWlL9A70 KNahR1/BGlO1FARnIKg3Loffi3m2oURnVpp/dzAkv1nCxo0+u8p2xGrQnV6hTfgiO6iX7CL5+yP5 YucJx+F1mmaAwGG5yrJpdh1zJywPsUJeY53/LHRHwqKgFihjULZdOR/QnFzGTpTLVsoA4631TSQT eOKd2uFO9HLEaPA54HO2Xj9IS7YMclncTCbpNBCAyLU7905PJbm9O96ALkvdUyKZ8zgs6DJ+ZyFi pDG1bBUBzWcUEceZFOjFoXQIM9YQcktF+oLeXmaXIIlhVCrJPJadwQWnakqYrDGD3NtYotKheqAf aFkw1wx1OS3bcsQkVbCLOCgji6c2htVal3sIJLYS3XGGL1vQv0KFz8xiVHCI8fdP+FVSA6EeV5Q0 2v7823nwh4JhpaTH6AH+jw2zAsR9UejFbTqdIqyPm+nldZCFPbeszy1q0z1otCuN6OIy+Ht5WFZW d294JeYhK0xMceQeiBo3D354EvDOcDGfRzfMp2F+pV4MP6gmCO9198asGTXoId5HfRhTlr+T4uAb GFZ6vvG6aqNOT7yOI4TZHkQ2vEPh8TjfR6/Tazn7BQAA//8DAFBLAwQUAAYACAAAACEAcbbeIeIA AAAOAQAADwAAAGRycy9kb3ducmV2LnhtbEyPwU7DMBBE70j8g7VI3KgTp62qEKcqIDjBoQWpPbrJ kgTidRq7afh7Nic47szT7Ey2Hm0rBux940hDPItAIBWubKjS8PH+fLcC4YOh0rSOUMMPeljn11eZ SUt3oS0Ou1AJDiGfGg11CF0qpS9qtMbPXIfE3qfrrQl89pUse3PhcNtKFUVLaU1D/KE2HT7WWHzv zlbDy2k4dMnr9u1gv57m+xNuHuZDpfXtzbi5BxFwDH8wTPW5OuTc6ejOVHrRalAqXjLKxkLFCYgJ UVHMc46TlqgFyDyT/2fkvwAAAP//AwBQSwECLQAUAAYACAAAACEAtoM4kv4AAADhAQAAEwAAAAAA AAAAAAAAAAAAAAAAW0NvbnRlbnRfVHlwZXNdLnhtbFBLAQItABQABgAIAAAAIQA4/SH/1gAAAJQB AAALAAAAAAAAAAAAAAAAAC8BAABfcmVscy8ucmVsc1BLAQItABQABgAIAAAAIQCg5zSKsQIAAHUF AAAOAAAAAAAAAAAAAAAAAC4CAABkcnMvZTJvRG9jLnhtbFBLAQItABQABgAIAAAAIQBxtt4h4gAA AA4BAAAPAAAAAAAAAAAAAAAAAAsFAABkcnMvZG93bnJldi54bWxQSwUGAAAAAAQABADzAAAAGgYA AAAA " o:spid="_x0000_s1026" stroked="f" style="position:absolute;margin-left:353.05pt;margin-top:518.4pt;width:5.6pt;height:490.1pt;rotation:-9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w14:anchorId="60F7561E">
                  <v:fill angle="180" color2="window" focus="100%" rotate="t" type="gradient">
                    <o:fill type="gradientUnscaled" v:ext="view"/>
                  </v:fill>
                  <w10:wrap anchorx="page" anchory="page"/>
                </v:rect>
              </w:pict>
            </mc:Fallback>
          </mc:AlternateContent>
        </w:r>
        <w:r w:rsidRPr="001C0B12">
          <w:rPr>
            <w:rFonts w:ascii="Univers (WN)" w:cs="Arial" w:eastAsia="Times New Roman" w:hAnsi="Univers (WN)"/>
            <w:b/>
            <w:color w:val="000000"/>
            <w:sz w:val="14"/>
            <w:szCs w:val="14"/>
            <w:lang w:eastAsia="fr-FR"/>
          </w:rPr>
          <w:t xml:space="preserve"> </w:t>
        </w:r>
      </w:p>
      <w:p w14:paraId="73D93796" w14:textId="77777777" w:rsidP="001C0B12" w:rsidR="003002D7" w:rsidRDefault="00BE1274">
        <w:pPr>
          <w:pStyle w:val="Pieddepage"/>
          <w:spacing w:after="0"/>
          <w:rPr>
            <w:i/>
            <w:sz w:val="17"/>
            <w:szCs w:val="17"/>
          </w:rPr>
        </w:pPr>
        <w:r w:rsidRPr="000A3BF5">
          <w:rPr>
            <w:i/>
            <w:sz w:val="17"/>
            <w:szCs w:val="17"/>
          </w:rPr>
          <w:t>PROTOCOLE D’ACCORD PORTANT MESURES PARTIELLES ET ANTICIPEES AU TITRE DES NEGOCIATIONS ANNUELLES OBLIGATOIRES 2023</w:t>
        </w:r>
        <w:r>
          <w:rPr>
            <w:i/>
            <w:sz w:val="17"/>
            <w:szCs w:val="17"/>
          </w:rPr>
          <w:t xml:space="preserve"> – </w:t>
        </w:r>
        <w:r w:rsidR="003002D7">
          <w:rPr>
            <w:i/>
            <w:sz w:val="17"/>
            <w:szCs w:val="17"/>
          </w:rPr>
          <w:t>TRANSDEV SENART</w:t>
        </w:r>
        <w:r w:rsidR="003002D7">
          <w:rPr>
            <w:i/>
            <w:sz w:val="17"/>
            <w:szCs w:val="17"/>
          </w:rPr>
          <w:tab/>
        </w:r>
      </w:p>
      <w:p w14:paraId="20C1534F" w14:textId="157F38B9" w:rsidP="001C0B12" w:rsidR="00FD11C8" w:rsidRDefault="003002D7" w:rsidRPr="001C0B12">
        <w:pPr>
          <w:pStyle w:val="Pieddepage"/>
          <w:spacing w:after="0"/>
          <w:rPr>
            <w:i/>
            <w:sz w:val="17"/>
            <w:szCs w:val="17"/>
          </w:rPr>
        </w:pPr>
        <w:r>
          <w:rPr>
            <w:i/>
            <w:sz w:val="17"/>
            <w:szCs w:val="17"/>
          </w:rPr>
          <w:tab/>
        </w:r>
        <w:r>
          <w:rPr>
            <w:i/>
            <w:sz w:val="17"/>
            <w:szCs w:val="17"/>
          </w:rPr>
          <w:fldChar w:fldCharType="begin"/>
        </w:r>
        <w:r>
          <w:rPr>
            <w:i/>
            <w:sz w:val="17"/>
            <w:szCs w:val="17"/>
          </w:rPr>
          <w:instrText xml:space="preserve"> PAGE  \* Arabic  \* MERGEFORMAT </w:instrText>
        </w:r>
        <w:r>
          <w:rPr>
            <w:i/>
            <w:sz w:val="17"/>
            <w:szCs w:val="17"/>
          </w:rPr>
          <w:fldChar w:fldCharType="separate"/>
        </w:r>
        <w:r>
          <w:rPr>
            <w:i/>
            <w:noProof/>
            <w:sz w:val="17"/>
            <w:szCs w:val="17"/>
          </w:rPr>
          <w:t>2</w:t>
        </w:r>
        <w:r>
          <w:rPr>
            <w:i/>
            <w:sz w:val="17"/>
            <w:szCs w:val="17"/>
          </w:rPr>
          <w:fldChar w:fldCharType="end"/>
        </w:r>
        <w:r>
          <w:rPr>
            <w:i/>
            <w:sz w:val="17"/>
            <w:szCs w:val="17"/>
          </w:rPr>
          <w:t>/3</w:t>
        </w:r>
      </w:p>
    </w:sdtContent>
  </w:sdt>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56080096"/>
      <w:docPartObj>
        <w:docPartGallery w:val="Page Numbers (Bottom of Page)"/>
        <w:docPartUnique/>
      </w:docPartObj>
    </w:sdtPr>
    <w:sdtEndPr/>
    <w:sdtContent>
      <w:p w14:paraId="395B65AA" w14:textId="77777777" w:rsidP="00C81534" w:rsidR="00FD11C8" w:rsidRDefault="006962D8">
        <w:pPr>
          <w:tabs>
            <w:tab w:pos="4536" w:val="center"/>
            <w:tab w:pos="9072" w:val="right"/>
          </w:tabs>
          <w:rPr>
            <w:rFonts w:ascii="Univers (WN)" w:cs="Arial" w:eastAsia="Times New Roman" w:hAnsi="Univers (WN)"/>
            <w:b/>
            <w:color w:val="000000"/>
            <w:sz w:val="14"/>
            <w:szCs w:val="14"/>
            <w:lang w:eastAsia="fr-FR"/>
          </w:rPr>
        </w:pPr>
        <w:r w:rsidRPr="00FF185B">
          <w:rPr>
            <w:rFonts w:ascii="Times New Roman" w:eastAsia="Times New Roman" w:hAnsi="Times New Roman"/>
            <w:noProof/>
            <w:sz w:val="24"/>
            <w:szCs w:val="24"/>
            <w:lang w:eastAsia="fr-FR"/>
          </w:rPr>
          <mc:AlternateContent>
            <mc:Choice Requires="wps">
              <w:drawing>
                <wp:anchor allowOverlap="1" behindDoc="0" distB="0" distL="114300" distR="114300" distT="0" layoutInCell="1" locked="0" relativeHeight="251655680" simplePos="0" wp14:anchorId="41D74DCE" wp14:editId="7BD0AFF3">
                  <wp:simplePos x="0" y="0"/>
                  <wp:positionH relativeFrom="page">
                    <wp:align>right</wp:align>
                  </wp:positionH>
                  <wp:positionV relativeFrom="page">
                    <wp:posOffset>6624624</wp:posOffset>
                  </wp:positionV>
                  <wp:extent cx="71120" cy="6224270"/>
                  <wp:effectExtent b="0" l="9525" r="0" t="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1120" cy="6224270"/>
                          </a:xfrm>
                          <a:prstGeom prst="rect">
                            <a:avLst/>
                          </a:prstGeom>
                          <a:gradFill rotWithShape="1">
                            <a:gsLst>
                              <a:gs pos="0">
                                <a:srgbClr val="D80014"/>
                              </a:gs>
                              <a:gs pos="100000">
                                <a:sysClr lastClr="FFFFFF" val="window"/>
                              </a:gs>
                            </a:gsLst>
                            <a:lin ang="16200000" scaled="0"/>
                          </a:gradFill>
                          <a:ln algn="ctr" cap="flat" cmpd="sng" w="9525">
                            <a:noFill/>
                            <a:prstDash val="solid"/>
                          </a:ln>
                          <a:effectLst/>
                        </wps:spPr>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fillcolor="#d80014" id="Rectangle 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g5P7sQIAAHMFAAAOAAAAZHJzL2Uyb0RvYy54bWysVNtuGyEQfa/Uf0C8N+tdObdV1pEVy1Ul K4maVHnGLHtRWaCAvXa/vgd2fWnap6o8IGCG4cyZM9zd7zpJtsK6VquCphcTSoTiumxVXdBvr8tP N5Q4z1TJpFaioHvh6P3s44e73uQi042WpbAEQZTLe1PQxnuTJ4njjeiYu9BGKBgrbTvmsbV1UlrW I3onk2wyuUp6bUtjNRfO4XQxGOksxq8qwf1TVTnhiSwosPk42zivw5zM7lheW2aalo8w2D+g6Fir 8Ogx1IJ5Rja2/SNU13Krna78Bdddoquq5SLmgGzSybtsXhpmRMwF5DhzpMn9v7D8cftsSVsWFIVS rEOJvoI0pmopyE2gpzcuh9eLebYhQWdWmn93MCS/WcLGjT67ynbEapCdXqFIGJEbZEt2kfr9kXqx 84Tj8DpNM9SHw3KVZdPsOpYmYXmIFd411vnPQnckLApqATIGZduV8wHNyWWsQ7lspQww3lrfRCqB J96pHe5EL0eMBpsDPmfr9YO0ZMsglsXNZJJOAwGIXLtz7/SUktu74w2ostQ9JZI5j8OCLuM4CxEj jU/LVhGwfEYRcZxJgUocUocsYw7hbalIX9Dby+wSJDE0SiWZx7IzuOBUTQmTNTqQextTVDpkD/QD LQvmmiEvp2VbjpikCnYR22Rk8VTGsFrrcg95xFKiOs7wZQv6V8jwmVk0Cg7R/P4JUyU1EOpxRUmj 7c+/nQd/6BdWSno0HuD/2DArQNwXhVrcptNp6NS4mV5eB1nYc8v63KI23YNGudKILi6Dv5eHZWV1 94Y/Yh5ehYkpjrcHosbNgx8+BPwyXMzn0Q3daZhfqRfDD6oJwnvdvTFrRg16iPdRH5qU5e+kOPgG hpWeb7yu2qjTE69jC6GzB5ENv1D4Os730ev0V85+AQAA//8DAFBLAwQUAAYACAAAACEA90M6iOMA AAAOAQAADwAAAGRycy9kb3ducmV2LnhtbEyPQU/DMAyF70j8h8hI3LaULWVdaToNEJzgsIHEjllr 2kLjdE3WlX+Pd4Kb7ff0/L1sNdpWDNj7xpGGm2kEAqlwZUOVhve3p0kCwgdDpWkdoYYf9LDKLy8y k5buRBsctqESHEI+NRrqELpUSl/UaI2fug6JtU/XWxN47StZ9ubE4baVsyi6ldY0xB9q0+FDjcX3 9mg1PB+GXTd/2bzu7Nej+jjg+l4NldbXV+P6DkTAMfyZ4YzP6JAz094dqfSi1TBRiYrZy0o8WyxA sEctYx7259M8WYLMM/m/Rv4LAAD//wMAUEsBAi0AFAAGAAgAAAAhALaDOJL+AAAA4QEAABMAAAAA AAAAAAAAAAAAAAAAAFtDb250ZW50X1R5cGVzXS54bWxQSwECLQAUAAYACAAAACEAOP0h/9YAAACU AQAACwAAAAAAAAAAAAAAAAAvAQAAX3JlbHMvLnJlbHNQSwECLQAUAAYACAAAACEAqIOT+7ECAABz BQAADgAAAAAAAAAAAAAAAAAuAgAAZHJzL2Uyb0RvYy54bWxQSwECLQAUAAYACAAAACEA90M6iOMA AAAOAQAADwAAAAAAAAAAAAAAAAALBQAAZHJzL2Rvd25yZXYueG1sUEsFBgAAAAAEAAQA8wAAABsG AAAAAA== " o:spid="_x0000_s1026" stroked="f" style="position:absolute;margin-left:-45.6pt;margin-top:521.6pt;width:5.6pt;height:490.1pt;rotation:-90;z-index:25165568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w14:anchorId="779324AC">
                  <v:fill angle="180" color2="window" focus="100%" rotate="t" type="gradient">
                    <o:fill type="gradientUnscaled" v:ext="view"/>
                  </v:fill>
                  <w10:wrap anchorx="page" anchory="page"/>
                </v:rect>
              </w:pict>
            </mc:Fallback>
          </mc:AlternateContent>
        </w:r>
      </w:p>
      <w:p w14:paraId="0257FFBB" w14:textId="564D13EC" w:rsidP="00C81534" w:rsidR="00FD11C8" w:rsidRDefault="000A3BF5" w:rsidRPr="0058261F">
        <w:pPr>
          <w:pStyle w:val="Pieddepage"/>
          <w:spacing w:after="0"/>
          <w:rPr>
            <w:i/>
            <w:sz w:val="17"/>
            <w:szCs w:val="17"/>
          </w:rPr>
        </w:pPr>
        <w:r w:rsidRPr="000A3BF5">
          <w:rPr>
            <w:i/>
            <w:sz w:val="17"/>
            <w:szCs w:val="17"/>
          </w:rPr>
          <w:t>PROTOCOLE D’ACCORD PORTANT MESURES PARTIELLES ET ANTICIPEES AU TITRE DES NEGOCIATIONS ANNUELLES OBLIGATOIRES 2023</w:t>
        </w:r>
        <w:r>
          <w:rPr>
            <w:i/>
            <w:sz w:val="17"/>
            <w:szCs w:val="17"/>
          </w:rPr>
          <w:t xml:space="preserve"> – </w:t>
        </w:r>
        <w:r w:rsidR="009A202C">
          <w:rPr>
            <w:i/>
            <w:sz w:val="17"/>
            <w:szCs w:val="17"/>
          </w:rPr>
          <w:t>TRANSDEV SENART</w:t>
        </w:r>
      </w:p>
      <w:p w14:paraId="04FA5BAA" w14:textId="662C16AF" w:rsidP="00C81534" w:rsidR="00FD11C8" w:rsidRDefault="006962D8" w:rsidRPr="00CD0FFA">
        <w:pPr>
          <w:pStyle w:val="Pieddepage"/>
          <w:rPr>
            <w:i/>
            <w:sz w:val="18"/>
            <w:szCs w:val="18"/>
          </w:rPr>
        </w:pPr>
        <w:r>
          <w:rPr>
            <w:i/>
            <w:color w:themeColor="background1" w:themeShade="80" w:val="808080"/>
            <w:sz w:val="16"/>
          </w:rPr>
          <w:tab/>
        </w:r>
        <w:r w:rsidR="003002D7">
          <w:rPr>
            <w:i/>
            <w:color w:themeColor="background1" w:themeShade="80" w:val="808080"/>
            <w:sz w:val="16"/>
          </w:rPr>
          <w:fldChar w:fldCharType="begin"/>
        </w:r>
        <w:r w:rsidR="003002D7">
          <w:rPr>
            <w:i/>
            <w:color w:themeColor="background1" w:themeShade="80" w:val="808080"/>
            <w:sz w:val="16"/>
          </w:rPr>
          <w:instrText xml:space="preserve"> PAGE  \* Arabic  \* MERGEFORMAT </w:instrText>
        </w:r>
        <w:r w:rsidR="003002D7">
          <w:rPr>
            <w:i/>
            <w:color w:themeColor="background1" w:themeShade="80" w:val="808080"/>
            <w:sz w:val="16"/>
          </w:rPr>
          <w:fldChar w:fldCharType="separate"/>
        </w:r>
        <w:r w:rsidR="003002D7">
          <w:rPr>
            <w:i/>
            <w:noProof/>
            <w:color w:themeColor="background1" w:themeShade="80" w:val="808080"/>
            <w:sz w:val="16"/>
          </w:rPr>
          <w:t>1</w:t>
        </w:r>
        <w:r w:rsidR="003002D7">
          <w:rPr>
            <w:i/>
            <w:color w:themeColor="background1" w:themeShade="80" w:val="808080"/>
            <w:sz w:val="16"/>
          </w:rPr>
          <w:fldChar w:fldCharType="end"/>
        </w:r>
        <w:r w:rsidR="003002D7">
          <w:rPr>
            <w:i/>
            <w:color w:themeColor="background1" w:themeShade="80" w:val="808080"/>
            <w:sz w:val="16"/>
          </w:rPr>
          <w:t>/3</w:t>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C7D7E45" w14:textId="77777777" w:rsidP="000A3BF5" w:rsidR="00863B41" w:rsidRDefault="00863B41">
      <w:pPr>
        <w:spacing w:after="0"/>
      </w:pPr>
      <w:r>
        <w:separator/>
      </w:r>
    </w:p>
  </w:footnote>
  <w:footnote w:id="0" w:type="continuationSeparator">
    <w:p w14:paraId="3DB6AC82" w14:textId="77777777" w:rsidP="000A3BF5" w:rsidR="00863B41" w:rsidRDefault="00863B41">
      <w:pPr>
        <w:spacing w:after="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52445FE" w14:textId="403A1235" w:rsidP="00C81534" w:rsidR="00FD11C8" w:rsidRDefault="001322A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A9CCC55" w14:textId="0ED95FD0" w:rsidP="00C81534" w:rsidR="00FD11C8" w:rsidRDefault="006962D8">
    <w:pPr>
      <w:pStyle w:val="En-tte"/>
      <w:ind w:left="7655"/>
    </w:pPr>
    <w:r>
      <w:rPr>
        <w:noProof/>
        <w:lang w:eastAsia="fr-FR"/>
      </w:rPr>
      <w:drawing>
        <wp:anchor allowOverlap="1" behindDoc="0" distB="0" distL="114300" distR="114300" distT="0" layoutInCell="1" locked="0" relativeHeight="251657728" simplePos="0" wp14:anchorId="73E820DF" wp14:editId="2B4202AD">
          <wp:simplePos x="0" y="0"/>
          <wp:positionH relativeFrom="column">
            <wp:posOffset>5168900</wp:posOffset>
          </wp:positionH>
          <wp:positionV relativeFrom="paragraph">
            <wp:posOffset>-34925</wp:posOffset>
          </wp:positionV>
          <wp:extent cx="1168400" cy="346284"/>
          <wp:effectExtent b="0" l="0" r="0" t="0"/>
          <wp:wrapSquare wrapText="bothSides"/>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68400" cy="346284"/>
                  </a:xfrm>
                  <a:prstGeom prst="rect">
                    <a:avLst/>
                  </a:prstGeom>
                </pic:spPr>
              </pic:pic>
            </a:graphicData>
          </a:graphic>
        </wp:anchor>
      </w:drawing>
    </w:r>
    <w:r w:rsidRPr="00101A1E">
      <w:rPr>
        <w:noProof/>
      </w:rPr>
      <w:t xml:space="preserve"> </w: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81A6B0A" w14:textId="3FD74335" w:rsidP="00C03A1F" w:rsidR="00FD11C8" w:rsidRDefault="006962D8">
    <w:pPr>
      <w:pStyle w:val="En-tte"/>
    </w:pPr>
    <w:r>
      <w:rPr>
        <w:noProof/>
        <w:lang w:eastAsia="fr-FR"/>
      </w:rPr>
      <w:drawing>
        <wp:anchor allowOverlap="1" behindDoc="0" distB="0" distL="114300" distR="114300" distT="0" layoutInCell="1" locked="0" relativeHeight="251656704" simplePos="0" wp14:anchorId="44A98975" wp14:editId="370B26AB">
          <wp:simplePos x="0" y="0"/>
          <wp:positionH relativeFrom="column">
            <wp:posOffset>5291455</wp:posOffset>
          </wp:positionH>
          <wp:positionV relativeFrom="paragraph">
            <wp:posOffset>-80645</wp:posOffset>
          </wp:positionV>
          <wp:extent cx="1168400" cy="346284"/>
          <wp:effectExtent b="0" l="0" r="0" t="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68400" cy="346284"/>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31194D37"/>
    <w:multiLevelType w:val="multilevel"/>
    <w:tmpl w:val="33B4EB58"/>
    <w:lvl w:ilvl="0">
      <w:start w:val="1"/>
      <w:numFmt w:val="decimal"/>
      <w:pStyle w:val="Titre1"/>
      <w:lvlText w:val="%1."/>
      <w:lvlJc w:val="left"/>
      <w:pPr>
        <w:ind w:hanging="360" w:left="360"/>
      </w:pPr>
      <w:rPr>
        <w:rFonts w:hint="default"/>
        <w:color w:themeColor="background1" w:val="FFFFFF"/>
        <w:sz w:val="24"/>
        <w:szCs w:val="28"/>
      </w:rPr>
    </w:lvl>
    <w:lvl w:ilvl="1">
      <w:start w:val="1"/>
      <w:numFmt w:val="decimal"/>
      <w:pStyle w:val="Titre2"/>
      <w:isLgl/>
      <w:lvlText w:val="%1.%2"/>
      <w:lvlJc w:val="left"/>
      <w:pPr>
        <w:tabs>
          <w:tab w:pos="1098" w:val="num"/>
        </w:tabs>
        <w:ind w:hanging="672" w:left="1098"/>
      </w:pPr>
      <w:rPr>
        <w:rFonts w:hint="default"/>
        <w:b/>
        <w:bCs w:val="0"/>
        <w:i w:val="0"/>
        <w:iCs w:val="0"/>
        <w:caps w:val="0"/>
        <w:smallCaps w:val="0"/>
        <w:strike w:val="0"/>
        <w:dstrike w:val="0"/>
        <w:noProof w:val="0"/>
        <w:vanish w:val="0"/>
        <w:color w:val="454F54"/>
        <w:spacing w:val="0"/>
        <w:kern w:val="0"/>
        <w:position w:val="0"/>
        <w:sz w:val="20"/>
        <w:u w:val="none"/>
        <w:effect w:val="none"/>
        <w:vertAlign w:val="baseline"/>
        <w:em w:val="none"/>
        <w:specVanish w:val="0"/>
      </w:rPr>
    </w:lvl>
    <w:lvl w:ilvl="2">
      <w:start w:val="1"/>
      <w:numFmt w:val="decimal"/>
      <w:pStyle w:val="Titre3"/>
      <w:isLgl/>
      <w:lvlText w:val="%1.%2.%3"/>
      <w:lvlJc w:val="left"/>
      <w:pPr>
        <w:tabs>
          <w:tab w:pos="720" w:val="num"/>
        </w:tabs>
        <w:ind w:hanging="720" w:left="720"/>
      </w:pPr>
      <w:rPr>
        <w:rFonts w:cs="Times New Roman" w:hint="default"/>
        <w:b/>
        <w:i w:val="0"/>
        <w:color w:val="auto"/>
        <w:sz w:val="20"/>
        <w:szCs w:val="20"/>
      </w:rPr>
    </w:lvl>
    <w:lvl w:ilvl="3">
      <w:start w:val="1"/>
      <w:numFmt w:val="decimal"/>
      <w:pStyle w:val="Titre4"/>
      <w:isLgl/>
      <w:lvlText w:val="%1.%2.%3.%4"/>
      <w:lvlJc w:val="left"/>
      <w:pPr>
        <w:tabs>
          <w:tab w:pos="2279" w:val="num"/>
        </w:tabs>
        <w:ind w:hanging="720" w:left="2279"/>
      </w:pPr>
      <w:rPr>
        <w:rFonts w:hint="default"/>
        <w:b/>
        <w:bCs/>
        <w:i w:val="0"/>
        <w:iCs/>
        <w:caps w:val="0"/>
        <w:smallCaps w:val="0"/>
        <w:strike w:val="0"/>
        <w:dstrike w:val="0"/>
        <w:noProof w:val="0"/>
        <w:vanish w:val="0"/>
        <w:color w:val="auto"/>
        <w:spacing w:val="0"/>
        <w:kern w:val="0"/>
        <w:position w:val="0"/>
        <w:sz w:val="24"/>
        <w:szCs w:val="24"/>
        <w:u w:val="none"/>
        <w:effect w:val="none"/>
        <w:vertAlign w:val="baseline"/>
        <w:em w:val="none"/>
        <w:specVanish w:val="0"/>
        <w14:shadow w14:algn="none" w14:blurRad="0" w14:dir="0" w14:dist="0" w14:kx="0" w14:ky="0" w14:sx="0" w14:sy="0">
          <w14:srgbClr w14:val="000000"/>
        </w14:shadow>
        <w14:textOutline w14:algn="ctr" w14:cap="rnd" w14:cmpd="sng" w14:w="0">
          <w14:noFill/>
          <w14:prstDash w14:val="solid"/>
          <w14:bevel/>
        </w14:textOutline>
      </w:rPr>
    </w:lvl>
    <w:lvl w:ilvl="4">
      <w:start w:val="1"/>
      <w:numFmt w:val="decimal"/>
      <w:pStyle w:val="Titre5"/>
      <w:isLgl/>
      <w:lvlText w:val="%1.%2.%3.%4.%5"/>
      <w:lvlJc w:val="left"/>
      <w:pPr>
        <w:tabs>
          <w:tab w:pos="-763" w:val="num"/>
        </w:tabs>
        <w:ind w:hanging="1080" w:left="-763"/>
      </w:pPr>
      <w:rPr>
        <w:rFonts w:ascii="Arial" w:cs="Arial" w:hAnsi="Arial" w:hint="default"/>
      </w:rPr>
    </w:lvl>
    <w:lvl w:ilvl="5">
      <w:start w:val="1"/>
      <w:numFmt w:val="decimal"/>
      <w:pStyle w:val="Titre6"/>
      <w:isLgl/>
      <w:lvlText w:val="%1.%2.%3.%4.%5.%6"/>
      <w:lvlJc w:val="left"/>
      <w:pPr>
        <w:tabs>
          <w:tab w:pos="-869" w:val="num"/>
        </w:tabs>
        <w:ind w:hanging="1080" w:left="-869"/>
      </w:pPr>
      <w:rPr>
        <w:rFonts w:cs="Times New Roman" w:hint="default"/>
        <w:color w:themeColor="background1" w:themeShade="80" w:val="808080"/>
      </w:rPr>
    </w:lvl>
    <w:lvl w:ilvl="6">
      <w:start w:val="1"/>
      <w:numFmt w:val="decimal"/>
      <w:pStyle w:val="Titre7"/>
      <w:isLgl/>
      <w:lvlText w:val="%1.%2.%3.%4.%5.%6.%7"/>
      <w:lvlJc w:val="left"/>
      <w:pPr>
        <w:tabs>
          <w:tab w:pos="171" w:val="num"/>
        </w:tabs>
        <w:ind w:hanging="1440" w:left="17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7">
      <w:start w:val="1"/>
      <w:numFmt w:val="decimal"/>
      <w:isLgl/>
      <w:lvlText w:val="%1.%2.%3.%4.%5.%6.%7.%8"/>
      <w:lvlJc w:val="left"/>
      <w:pPr>
        <w:tabs>
          <w:tab w:pos="851" w:val="num"/>
        </w:tabs>
        <w:ind w:hanging="1440" w:left="851"/>
      </w:pPr>
      <w:rPr>
        <w:rFonts w:cs="Times New Roman" w:hint="default"/>
      </w:rPr>
    </w:lvl>
    <w:lvl w:ilvl="8">
      <w:start w:val="1"/>
      <w:numFmt w:val="decimal"/>
      <w:isLgl/>
      <w:lvlText w:val="%1.%2.%3.%4.%5.%6.%7.%8.%9"/>
      <w:lvlJc w:val="left"/>
      <w:pPr>
        <w:tabs>
          <w:tab w:pos="1891" w:val="num"/>
        </w:tabs>
        <w:ind w:hanging="1800" w:left="1891"/>
      </w:pPr>
      <w:rPr>
        <w:rFonts w:cs="Times New Roman" w:hint="default"/>
      </w:rPr>
    </w:lvl>
  </w:abstractNum>
  <w:abstractNum w15:restartNumberingAfterBreak="0" w:abstractNumId="1">
    <w:nsid w:val="37D93569"/>
    <w:multiLevelType w:val="hybridMultilevel"/>
    <w:tmpl w:val="32D6B5A8"/>
    <w:lvl w:ilvl="0" w:tplc="02AE05B2">
      <w:start w:val="15"/>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39A23905"/>
    <w:multiLevelType w:val="hybridMultilevel"/>
    <w:tmpl w:val="FBD8557E"/>
    <w:lvl w:ilvl="0" w:tplc="1C181244">
      <w:start w:val="1"/>
      <w:numFmt w:val="bullet"/>
      <w:pStyle w:val="Paragraphedeliste"/>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1F"/>
    <w:rsid w:val="0001579B"/>
    <w:rsid w:val="00055F7F"/>
    <w:rsid w:val="00091AE1"/>
    <w:rsid w:val="000A3BF5"/>
    <w:rsid w:val="000C3CA3"/>
    <w:rsid w:val="000C7C8A"/>
    <w:rsid w:val="001322AA"/>
    <w:rsid w:val="0016760E"/>
    <w:rsid w:val="0018144B"/>
    <w:rsid w:val="0018416F"/>
    <w:rsid w:val="001853F0"/>
    <w:rsid w:val="00190B8E"/>
    <w:rsid w:val="001A0C1A"/>
    <w:rsid w:val="001F7686"/>
    <w:rsid w:val="0029046F"/>
    <w:rsid w:val="002950B2"/>
    <w:rsid w:val="002A41C8"/>
    <w:rsid w:val="002A7D1F"/>
    <w:rsid w:val="003002D7"/>
    <w:rsid w:val="00324CDD"/>
    <w:rsid w:val="003612D6"/>
    <w:rsid w:val="004466BD"/>
    <w:rsid w:val="004856DF"/>
    <w:rsid w:val="00494BFF"/>
    <w:rsid w:val="004C160B"/>
    <w:rsid w:val="004D0371"/>
    <w:rsid w:val="00501459"/>
    <w:rsid w:val="00507E3F"/>
    <w:rsid w:val="0053441F"/>
    <w:rsid w:val="005A2BB0"/>
    <w:rsid w:val="00603FA0"/>
    <w:rsid w:val="0064338D"/>
    <w:rsid w:val="0064490F"/>
    <w:rsid w:val="0067179D"/>
    <w:rsid w:val="006962D8"/>
    <w:rsid w:val="006A0988"/>
    <w:rsid w:val="006B5A30"/>
    <w:rsid w:val="006D5D4C"/>
    <w:rsid w:val="00717153"/>
    <w:rsid w:val="00734167"/>
    <w:rsid w:val="00754147"/>
    <w:rsid w:val="007674BE"/>
    <w:rsid w:val="007F5DB2"/>
    <w:rsid w:val="008358C2"/>
    <w:rsid w:val="0084265D"/>
    <w:rsid w:val="00861C51"/>
    <w:rsid w:val="00863B41"/>
    <w:rsid w:val="008A580C"/>
    <w:rsid w:val="00921104"/>
    <w:rsid w:val="009930CE"/>
    <w:rsid w:val="00997B28"/>
    <w:rsid w:val="009A0D1B"/>
    <w:rsid w:val="009A202C"/>
    <w:rsid w:val="009E7E09"/>
    <w:rsid w:val="00AC4B71"/>
    <w:rsid w:val="00AD691B"/>
    <w:rsid w:val="00B10374"/>
    <w:rsid w:val="00B65C88"/>
    <w:rsid w:val="00B661D6"/>
    <w:rsid w:val="00BA11CB"/>
    <w:rsid w:val="00BB5D5D"/>
    <w:rsid w:val="00BE1274"/>
    <w:rsid w:val="00BE2D05"/>
    <w:rsid w:val="00C1054A"/>
    <w:rsid w:val="00C33526"/>
    <w:rsid w:val="00C83956"/>
    <w:rsid w:val="00D06C76"/>
    <w:rsid w:val="00D55B53"/>
    <w:rsid w:val="00DA34CE"/>
    <w:rsid w:val="00DF4E66"/>
    <w:rsid w:val="00E21CB7"/>
    <w:rsid w:val="00E67E33"/>
    <w:rsid w:val="00EB45F3"/>
    <w:rsid w:val="00EC31D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289C434C"/>
  <w15:chartTrackingRefBased/>
  <w15:docId w15:val="{D8A29374-4A8B-4E88-8916-41915DEF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aliases w:val="Alixio T"/>
    <w:qFormat/>
    <w:rsid w:val="007F5DB2"/>
    <w:pPr>
      <w:widowControl w:val="0"/>
      <w:adjustRightInd w:val="0"/>
      <w:spacing w:after="200" w:line="240" w:lineRule="auto"/>
      <w:jc w:val="both"/>
      <w:textAlignment w:val="baseline"/>
    </w:pPr>
    <w:rPr>
      <w:rFonts w:ascii="Calibri" w:cs="Times New Roman" w:hAnsi="Calibri"/>
      <w:szCs w:val="20"/>
    </w:rPr>
  </w:style>
  <w:style w:styleId="Titre1" w:type="paragraph">
    <w:name w:val="heading 1"/>
    <w:aliases w:val="Alixio 1"/>
    <w:basedOn w:val="Normal"/>
    <w:next w:val="Normal"/>
    <w:link w:val="Titre1Car"/>
    <w:uiPriority w:val="9"/>
    <w:qFormat/>
    <w:rsid w:val="002A7D1F"/>
    <w:pPr>
      <w:numPr>
        <w:numId w:val="1"/>
      </w:numPr>
      <w:pBdr>
        <w:bottom w:color="auto" w:space="1" w:sz="8" w:val="single"/>
      </w:pBdr>
      <w:spacing w:before="480"/>
      <w:contextualSpacing/>
      <w:outlineLvl w:val="0"/>
    </w:pPr>
    <w:rPr>
      <w:rFonts w:eastAsiaTheme="majorEastAsia"/>
      <w:b/>
      <w:smallCaps/>
      <w:color w:themeColor="text1" w:val="000000"/>
      <w:sz w:val="28"/>
      <w:szCs w:val="28"/>
    </w:rPr>
  </w:style>
  <w:style w:styleId="Titre2" w:type="paragraph">
    <w:name w:val="heading 2"/>
    <w:aliases w:val="Alixio 2,Titre 2 J&amp;J"/>
    <w:basedOn w:val="Titre1"/>
    <w:next w:val="Normal"/>
    <w:link w:val="Titre2Car"/>
    <w:uiPriority w:val="9"/>
    <w:unhideWhenUsed/>
    <w:qFormat/>
    <w:rsid w:val="002A7D1F"/>
    <w:pPr>
      <w:numPr>
        <w:ilvl w:val="1"/>
      </w:numPr>
      <w:pBdr>
        <w:bottom w:color="808080" w:space="1" w:sz="8" w:themeColor="background1" w:themeShade="80" w:val="single"/>
      </w:pBdr>
      <w:tabs>
        <w:tab w:pos="284" w:val="left"/>
      </w:tabs>
      <w:contextualSpacing w:val="0"/>
      <w:outlineLvl w:val="1"/>
    </w:pPr>
    <w:rPr>
      <w:rFonts w:eastAsia="Calibri"/>
      <w:smallCaps w:val="0"/>
      <w:color w:val="454F54"/>
      <w:sz w:val="26"/>
    </w:rPr>
  </w:style>
  <w:style w:styleId="Titre3" w:type="paragraph">
    <w:name w:val="heading 3"/>
    <w:aliases w:val="Alixio 3,Titre 3 J&amp;J"/>
    <w:basedOn w:val="Titre2"/>
    <w:next w:val="Normal"/>
    <w:link w:val="Titre3Car"/>
    <w:uiPriority w:val="9"/>
    <w:unhideWhenUsed/>
    <w:qFormat/>
    <w:rsid w:val="002A7D1F"/>
    <w:pPr>
      <w:numPr>
        <w:ilvl w:val="2"/>
      </w:numPr>
      <w:pBdr>
        <w:bottom w:color="auto" w:space="0" w:sz="0" w:val="none"/>
      </w:pBdr>
      <w:outlineLvl w:val="2"/>
    </w:pPr>
    <w:rPr>
      <w:color w:val="auto"/>
      <w:sz w:val="24"/>
    </w:rPr>
  </w:style>
  <w:style w:styleId="Titre4" w:type="paragraph">
    <w:name w:val="heading 4"/>
    <w:aliases w:val="Alixio 4"/>
    <w:basedOn w:val="Titre3"/>
    <w:next w:val="Normal"/>
    <w:link w:val="Titre4Car"/>
    <w:uiPriority w:val="9"/>
    <w:unhideWhenUsed/>
    <w:qFormat/>
    <w:rsid w:val="002A7D1F"/>
    <w:pPr>
      <w:numPr>
        <w:ilvl w:val="3"/>
      </w:numPr>
      <w:outlineLvl w:val="3"/>
    </w:pPr>
    <w:rPr>
      <w:b w:val="0"/>
      <w:i/>
      <w:sz w:val="22"/>
      <w:lang w:val="en-US"/>
    </w:rPr>
  </w:style>
  <w:style w:styleId="Titre5" w:type="paragraph">
    <w:name w:val="heading 5"/>
    <w:aliases w:val="Titre 5 J&amp;J"/>
    <w:basedOn w:val="Titre4"/>
    <w:next w:val="Normal"/>
    <w:link w:val="Titre5Car"/>
    <w:uiPriority w:val="9"/>
    <w:unhideWhenUsed/>
    <w:qFormat/>
    <w:rsid w:val="002A7D1F"/>
    <w:pPr>
      <w:numPr>
        <w:ilvl w:val="4"/>
      </w:numPr>
      <w:outlineLvl w:val="4"/>
    </w:pPr>
  </w:style>
  <w:style w:styleId="Titre6" w:type="paragraph">
    <w:name w:val="heading 6"/>
    <w:aliases w:val="Titre 6 J&amp;J"/>
    <w:basedOn w:val="Titre5"/>
    <w:next w:val="Normal"/>
    <w:link w:val="Titre6Car"/>
    <w:uiPriority w:val="9"/>
    <w:unhideWhenUsed/>
    <w:qFormat/>
    <w:rsid w:val="002A7D1F"/>
    <w:pPr>
      <w:numPr>
        <w:ilvl w:val="5"/>
      </w:numPr>
      <w:outlineLvl w:val="5"/>
    </w:pPr>
    <w:rPr>
      <w:color w:themeColor="background1" w:themeShade="80" w:val="808080"/>
    </w:rPr>
  </w:style>
  <w:style w:styleId="Titre7" w:type="paragraph">
    <w:name w:val="heading 7"/>
    <w:basedOn w:val="Titre6"/>
    <w:next w:val="Normal"/>
    <w:link w:val="Titre7Car"/>
    <w:uiPriority w:val="99"/>
    <w:unhideWhenUsed/>
    <w:qFormat/>
    <w:rsid w:val="002A7D1F"/>
    <w:pPr>
      <w:numPr>
        <w:ilvl w:val="6"/>
      </w:numPr>
      <w:outlineLvl w:val="6"/>
    </w:pPr>
    <w:rPr>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Alixio 1 Car"/>
    <w:basedOn w:val="Policepardfaut"/>
    <w:link w:val="Titre1"/>
    <w:uiPriority w:val="9"/>
    <w:rsid w:val="002A7D1F"/>
    <w:rPr>
      <w:rFonts w:ascii="Calibri" w:cs="Times New Roman" w:eastAsiaTheme="majorEastAsia" w:hAnsi="Calibri"/>
      <w:b/>
      <w:smallCaps/>
      <w:color w:themeColor="text1" w:val="000000"/>
      <w:sz w:val="28"/>
      <w:szCs w:val="28"/>
    </w:rPr>
  </w:style>
  <w:style w:customStyle="1" w:styleId="Titre2Car" w:type="character">
    <w:name w:val="Titre 2 Car"/>
    <w:aliases w:val="Alixio 2 Car,Titre 2 J&amp;J Car"/>
    <w:basedOn w:val="Policepardfaut"/>
    <w:link w:val="Titre2"/>
    <w:uiPriority w:val="9"/>
    <w:rsid w:val="002A7D1F"/>
    <w:rPr>
      <w:rFonts w:ascii="Calibri" w:cs="Times New Roman" w:eastAsia="Calibri" w:hAnsi="Calibri"/>
      <w:b/>
      <w:color w:val="454F54"/>
      <w:sz w:val="26"/>
      <w:szCs w:val="28"/>
    </w:rPr>
  </w:style>
  <w:style w:customStyle="1" w:styleId="Titre3Car" w:type="character">
    <w:name w:val="Titre 3 Car"/>
    <w:aliases w:val="Alixio 3 Car,Titre 3 J&amp;J Car"/>
    <w:basedOn w:val="Policepardfaut"/>
    <w:link w:val="Titre3"/>
    <w:uiPriority w:val="9"/>
    <w:rsid w:val="002A7D1F"/>
    <w:rPr>
      <w:rFonts w:ascii="Calibri" w:cs="Times New Roman" w:eastAsia="Calibri" w:hAnsi="Calibri"/>
      <w:b/>
      <w:sz w:val="24"/>
      <w:szCs w:val="28"/>
    </w:rPr>
  </w:style>
  <w:style w:customStyle="1" w:styleId="Titre4Car" w:type="character">
    <w:name w:val="Titre 4 Car"/>
    <w:aliases w:val="Alixio 4 Car"/>
    <w:basedOn w:val="Policepardfaut"/>
    <w:link w:val="Titre4"/>
    <w:uiPriority w:val="9"/>
    <w:rsid w:val="002A7D1F"/>
    <w:rPr>
      <w:rFonts w:ascii="Calibri" w:cs="Times New Roman" w:eastAsia="Calibri" w:hAnsi="Calibri"/>
      <w:i/>
      <w:szCs w:val="28"/>
      <w:lang w:val="en-US"/>
    </w:rPr>
  </w:style>
  <w:style w:customStyle="1" w:styleId="Titre5Car" w:type="character">
    <w:name w:val="Titre 5 Car"/>
    <w:aliases w:val="Titre 5 J&amp;J Car"/>
    <w:basedOn w:val="Policepardfaut"/>
    <w:link w:val="Titre5"/>
    <w:uiPriority w:val="9"/>
    <w:rsid w:val="002A7D1F"/>
    <w:rPr>
      <w:rFonts w:ascii="Calibri" w:cs="Times New Roman" w:eastAsia="Calibri" w:hAnsi="Calibri"/>
      <w:i/>
      <w:szCs w:val="28"/>
      <w:lang w:val="en-US"/>
    </w:rPr>
  </w:style>
  <w:style w:customStyle="1" w:styleId="Titre6Car" w:type="character">
    <w:name w:val="Titre 6 Car"/>
    <w:aliases w:val="Titre 6 J&amp;J Car"/>
    <w:basedOn w:val="Policepardfaut"/>
    <w:link w:val="Titre6"/>
    <w:uiPriority w:val="9"/>
    <w:rsid w:val="002A7D1F"/>
    <w:rPr>
      <w:rFonts w:ascii="Calibri" w:cs="Times New Roman" w:eastAsia="Calibri" w:hAnsi="Calibri"/>
      <w:i/>
      <w:color w:themeColor="background1" w:themeShade="80" w:val="808080"/>
      <w:szCs w:val="28"/>
      <w:lang w:val="en-US"/>
    </w:rPr>
  </w:style>
  <w:style w:customStyle="1" w:styleId="Titre7Car" w:type="character">
    <w:name w:val="Titre 7 Car"/>
    <w:basedOn w:val="Policepardfaut"/>
    <w:link w:val="Titre7"/>
    <w:uiPriority w:val="99"/>
    <w:rsid w:val="002A7D1F"/>
    <w:rPr>
      <w:rFonts w:ascii="Calibri" w:cs="Times New Roman" w:eastAsia="Calibri" w:hAnsi="Calibri"/>
      <w:i/>
      <w:color w:themeColor="text1" w:val="000000"/>
      <w:szCs w:val="28"/>
      <w:lang w:val="en-US"/>
    </w:rPr>
  </w:style>
  <w:style w:styleId="En-tte" w:type="paragraph">
    <w:name w:val="header"/>
    <w:basedOn w:val="Normal"/>
    <w:link w:val="En-tteCar"/>
    <w:uiPriority w:val="99"/>
    <w:unhideWhenUsed/>
    <w:rsid w:val="002A7D1F"/>
    <w:pPr>
      <w:tabs>
        <w:tab w:pos="4536" w:val="center"/>
        <w:tab w:pos="9072" w:val="right"/>
      </w:tabs>
    </w:pPr>
  </w:style>
  <w:style w:customStyle="1" w:styleId="En-tteCar" w:type="character">
    <w:name w:val="En-tête Car"/>
    <w:basedOn w:val="Policepardfaut"/>
    <w:link w:val="En-tte"/>
    <w:uiPriority w:val="99"/>
    <w:rsid w:val="002A7D1F"/>
    <w:rPr>
      <w:rFonts w:ascii="Calibri" w:cs="Times New Roman" w:hAnsi="Calibri"/>
      <w:szCs w:val="20"/>
    </w:rPr>
  </w:style>
  <w:style w:styleId="Pieddepage" w:type="paragraph">
    <w:name w:val="footer"/>
    <w:basedOn w:val="Normal"/>
    <w:link w:val="PieddepageCar"/>
    <w:uiPriority w:val="99"/>
    <w:unhideWhenUsed/>
    <w:rsid w:val="002A7D1F"/>
    <w:pPr>
      <w:tabs>
        <w:tab w:pos="4536" w:val="center"/>
        <w:tab w:pos="9072" w:val="right"/>
      </w:tabs>
    </w:pPr>
  </w:style>
  <w:style w:customStyle="1" w:styleId="PieddepageCar" w:type="character">
    <w:name w:val="Pied de page Car"/>
    <w:basedOn w:val="Policepardfaut"/>
    <w:link w:val="Pieddepage"/>
    <w:uiPriority w:val="99"/>
    <w:rsid w:val="002A7D1F"/>
    <w:rPr>
      <w:rFonts w:ascii="Calibri" w:cs="Times New Roman" w:hAnsi="Calibri"/>
      <w:szCs w:val="20"/>
    </w:rPr>
  </w:style>
  <w:style w:styleId="Paragraphedeliste" w:type="paragraph">
    <w:name w:val="List Paragraph"/>
    <w:aliases w:val="Alixio 5,Alixio - Puce,Sous catégorie,Conclusion de partie,Body Texte,Para. de Liste,PBM ART,Par. de liste,IS Weekly Report,List Paragraph1,Bullet List 1,titre 6,Bullet 1,Key,Bullet List,FooterText,numbered,Bulletr List Paragraph"/>
    <w:basedOn w:val="Normal"/>
    <w:link w:val="ParagraphedelisteCar"/>
    <w:qFormat/>
    <w:rsid w:val="002A7D1F"/>
    <w:pPr>
      <w:numPr>
        <w:numId w:val="2"/>
      </w:numPr>
      <w:spacing w:after="160" w:before="320"/>
      <w:contextualSpacing/>
    </w:pPr>
  </w:style>
  <w:style w:styleId="Sansinterligne" w:type="paragraph">
    <w:name w:val="No Spacing"/>
    <w:link w:val="SansinterligneCar"/>
    <w:uiPriority w:val="1"/>
    <w:qFormat/>
    <w:rsid w:val="002A7D1F"/>
    <w:pPr>
      <w:widowControl w:val="0"/>
      <w:adjustRightInd w:val="0"/>
      <w:spacing w:after="0" w:line="240" w:lineRule="auto"/>
      <w:jc w:val="both"/>
      <w:textAlignment w:val="baseline"/>
    </w:pPr>
    <w:rPr>
      <w:rFonts w:ascii="Times New Roman" w:cs="Times New Roman" w:eastAsia="Times New Roman" w:hAnsi="Times New Roman"/>
      <w:sz w:val="20"/>
      <w:szCs w:val="20"/>
      <w:lang w:eastAsia="fr-FR"/>
    </w:rPr>
  </w:style>
  <w:style w:customStyle="1" w:styleId="SansinterligneCar" w:type="character">
    <w:name w:val="Sans interligne Car"/>
    <w:link w:val="Sansinterligne"/>
    <w:uiPriority w:val="1"/>
    <w:rsid w:val="002A7D1F"/>
    <w:rPr>
      <w:rFonts w:ascii="Times New Roman" w:cs="Times New Roman" w:eastAsia="Times New Roman" w:hAnsi="Times New Roman"/>
      <w:sz w:val="20"/>
      <w:szCs w:val="20"/>
      <w:lang w:eastAsia="fr-FR"/>
    </w:rPr>
  </w:style>
  <w:style w:customStyle="1" w:styleId="ParagraphedelisteCar" w:type="character">
    <w:name w:val="Paragraphe de liste Car"/>
    <w:aliases w:val="Alixio 5 Car,Alixio - Puce Car,Sous catégorie Car,Conclusion de partie Car,Body Texte Car,Para. de Liste Car,PBM ART Car,Par. de liste Car,IS Weekly Report Car,List Paragraph1 Car,Bullet List 1 Car,titre 6 Car,Bullet 1 Car"/>
    <w:link w:val="Paragraphedeliste"/>
    <w:locked/>
    <w:rsid w:val="002A7D1F"/>
    <w:rPr>
      <w:rFonts w:ascii="Calibri" w:cs="Times New Roman" w:hAnsi="Calibri"/>
      <w:szCs w:val="20"/>
    </w:rPr>
  </w:style>
  <w:style w:styleId="Marquedecommentaire" w:type="character">
    <w:name w:val="annotation reference"/>
    <w:basedOn w:val="Policepardfaut"/>
    <w:uiPriority w:val="99"/>
    <w:semiHidden/>
    <w:unhideWhenUsed/>
    <w:rsid w:val="001853F0"/>
    <w:rPr>
      <w:sz w:val="16"/>
      <w:szCs w:val="16"/>
    </w:rPr>
  </w:style>
  <w:style w:styleId="Commentaire" w:type="paragraph">
    <w:name w:val="annotation text"/>
    <w:basedOn w:val="Normal"/>
    <w:link w:val="CommentaireCar"/>
    <w:uiPriority w:val="99"/>
    <w:semiHidden/>
    <w:unhideWhenUsed/>
    <w:rsid w:val="001853F0"/>
    <w:rPr>
      <w:sz w:val="20"/>
    </w:rPr>
  </w:style>
  <w:style w:customStyle="1" w:styleId="CommentaireCar" w:type="character">
    <w:name w:val="Commentaire Car"/>
    <w:basedOn w:val="Policepardfaut"/>
    <w:link w:val="Commentaire"/>
    <w:uiPriority w:val="99"/>
    <w:semiHidden/>
    <w:rsid w:val="001853F0"/>
    <w:rPr>
      <w:rFonts w:ascii="Calibri" w:cs="Times New Roman" w:hAnsi="Calibri"/>
      <w:sz w:val="20"/>
      <w:szCs w:val="20"/>
    </w:rPr>
  </w:style>
  <w:style w:styleId="Objetducommentaire" w:type="paragraph">
    <w:name w:val="annotation subject"/>
    <w:basedOn w:val="Commentaire"/>
    <w:next w:val="Commentaire"/>
    <w:link w:val="ObjetducommentaireCar"/>
    <w:uiPriority w:val="99"/>
    <w:semiHidden/>
    <w:unhideWhenUsed/>
    <w:rsid w:val="001853F0"/>
    <w:rPr>
      <w:b/>
      <w:bCs/>
    </w:rPr>
  </w:style>
  <w:style w:customStyle="1" w:styleId="ObjetducommentaireCar" w:type="character">
    <w:name w:val="Objet du commentaire Car"/>
    <w:basedOn w:val="CommentaireCar"/>
    <w:link w:val="Objetducommentaire"/>
    <w:uiPriority w:val="99"/>
    <w:semiHidden/>
    <w:rsid w:val="001853F0"/>
    <w:rPr>
      <w:rFonts w:ascii="Calibri" w:cs="Times New Roman" w:hAnsi="Calibri"/>
      <w:b/>
      <w:bCs/>
      <w:sz w:val="20"/>
      <w:szCs w:val="20"/>
    </w:rPr>
  </w:style>
  <w:style w:styleId="Textedebulles" w:type="paragraph">
    <w:name w:val="Balloon Text"/>
    <w:basedOn w:val="Normal"/>
    <w:link w:val="TextedebullesCar"/>
    <w:uiPriority w:val="99"/>
    <w:semiHidden/>
    <w:unhideWhenUsed/>
    <w:rsid w:val="001853F0"/>
    <w:pPr>
      <w:spacing w:after="0"/>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1853F0"/>
    <w:rPr>
      <w:rFonts w:ascii="Segoe UI" w:cs="Segoe UI" w:hAnsi="Segoe UI"/>
      <w:sz w:val="18"/>
      <w:szCs w:val="18"/>
    </w:rPr>
  </w:style>
  <w:style w:styleId="Notedebasdepage" w:type="paragraph">
    <w:name w:val="footnote text"/>
    <w:basedOn w:val="Normal"/>
    <w:link w:val="NotedebasdepageCar"/>
    <w:uiPriority w:val="99"/>
    <w:semiHidden/>
    <w:unhideWhenUsed/>
    <w:rsid w:val="000C3CA3"/>
    <w:pPr>
      <w:spacing w:after="0"/>
    </w:pPr>
    <w:rPr>
      <w:sz w:val="20"/>
    </w:rPr>
  </w:style>
  <w:style w:customStyle="1" w:styleId="NotedebasdepageCar" w:type="character">
    <w:name w:val="Note de bas de page Car"/>
    <w:basedOn w:val="Policepardfaut"/>
    <w:link w:val="Notedebasdepage"/>
    <w:uiPriority w:val="99"/>
    <w:semiHidden/>
    <w:rsid w:val="000C3CA3"/>
    <w:rPr>
      <w:rFonts w:ascii="Calibri" w:cs="Times New Roman" w:hAnsi="Calibri"/>
      <w:sz w:val="20"/>
      <w:szCs w:val="20"/>
    </w:rPr>
  </w:style>
  <w:style w:styleId="Appelnotedebasdep" w:type="character">
    <w:name w:val="footnote reference"/>
    <w:basedOn w:val="Policepardfaut"/>
    <w:uiPriority w:val="99"/>
    <w:semiHidden/>
    <w:unhideWhenUsed/>
    <w:rsid w:val="000C3C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4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header3.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SharedContentType xmlns="Microsoft.SharePoint.Taxonomy.ContentTypeSync" SourceId="b49a2378-73c7-4e4c-bff8-b85a2f404b86"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268BF69BA319044AAE421402B36F1BD7" ma:contentTypeVersion="15" ma:contentTypeDescription="Crée un document." ma:contentTypeScope="" ma:versionID="f0911850c86235bc63626e1ee654304a">
  <xsd:schema xmlns:xsd="http://www.w3.org/2001/XMLSchema" xmlns:xs="http://www.w3.org/2001/XMLSchema" xmlns:p="http://schemas.microsoft.com/office/2006/metadata/properties" xmlns:ns3="add2dec8-4234-4dcb-b8bf-97192b6488bb" xmlns:ns4="9f5c2b33-8df0-4a1f-a4c5-f91be6854ec8" targetNamespace="http://schemas.microsoft.com/office/2006/metadata/properties" ma:root="true" ma:fieldsID="07864f3dda6fb041e8695379a5509610" ns3:_="" ns4:_="">
    <xsd:import namespace="add2dec8-4234-4dcb-b8bf-97192b6488bb"/>
    <xsd:import namespace="9f5c2b33-8df0-4a1f-a4c5-f91be6854ec8"/>
    <xsd:element name="properties">
      <xsd:complexType>
        <xsd:sequence>
          <xsd:element name="documentManagement">
            <xsd:complexType>
              <xsd:all>
                <xsd:element ref="ns3:MediaServiceFastMetadata" minOccurs="0"/>
                <xsd:element ref="ns3:MediaServiceDateTaken" minOccurs="0"/>
                <xsd:element ref="ns3:MediaServiceAutoTags" minOccurs="0"/>
                <xsd:element ref="ns3:MediaServiceOCR" minOccurs="0"/>
                <xsd:element ref="ns4:SharedWithDetails" minOccurs="0"/>
                <xsd:element ref="ns4:SharingHintHash" minOccurs="0"/>
                <xsd:element ref="ns3:MediaServiceLocation" minOccurs="0"/>
                <xsd:element ref="ns3:MediaServiceMetadata" minOccurs="0"/>
                <xsd:element ref="ns4:SharedWithUsers"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ec8-4234-4dcb-b8bf-97192b6488bb" elementFormDefault="qualified">
    <xsd:import namespace="http://schemas.microsoft.com/office/2006/documentManagement/types"/>
    <xsd:import namespace="http://schemas.microsoft.com/office/infopath/2007/PartnerControls"/>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hidden="true" ma:internalName="MediaServiceDateTaken" ma:readOnly="true">
      <xsd:simpleType>
        <xsd:restriction base="dms:Text"/>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c2b33-8df0-4a1f-a4c5-f91be6854ec8" elementFormDefault="qualified">
    <xsd:import namespace="http://schemas.microsoft.com/office/2006/documentManagement/types"/>
    <xsd:import namespace="http://schemas.microsoft.com/office/infopath/2007/PartnerControls"/>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element name="SharedWithUsers" ma:index="16"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F852E-C876-4D20-A068-6D1622AC350E}">
  <ds:schemaRefs>
    <ds:schemaRef ds:uri="Microsoft.SharePoint.Taxonomy.ContentTypeSync"/>
  </ds:schemaRefs>
</ds:datastoreItem>
</file>

<file path=customXml/itemProps2.xml><?xml version="1.0" encoding="utf-8"?>
<ds:datastoreItem xmlns:ds="http://schemas.openxmlformats.org/officeDocument/2006/customXml" ds:itemID="{D4F402C6-3FF7-4181-B2EE-835F130BD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ec8-4234-4dcb-b8bf-97192b6488bb"/>
    <ds:schemaRef ds:uri="9f5c2b33-8df0-4a1f-a4c5-f91be6854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A387A1-BB38-4D47-A78D-934E2F9D2BDA}">
  <ds:schemaRefs>
    <ds:schemaRef ds:uri="http://schemas.microsoft.com/office/2006/documentManagement/types"/>
    <ds:schemaRef ds:uri="http://schemas.microsoft.com/office/infopath/2007/PartnerControls"/>
    <ds:schemaRef ds:uri="http://purl.org/dc/elements/1.1/"/>
    <ds:schemaRef ds:uri="9f5c2b33-8df0-4a1f-a4c5-f91be6854ec8"/>
    <ds:schemaRef ds:uri="add2dec8-4234-4dcb-b8bf-97192b6488bb"/>
    <ds:schemaRef ds:uri="http://purl.org/dc/dcmitype/"/>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117DCD48-AF3F-492C-B48E-C2813F963319}">
  <ds:schemaRefs>
    <ds:schemaRef ds:uri="http://schemas.microsoft.com/sharepoint/v3/contenttype/forms"/>
  </ds:schemaRefs>
</ds:datastoreItem>
</file>

<file path=customXml/itemProps5.xml><?xml version="1.0" encoding="utf-8"?>
<ds:datastoreItem xmlns:ds="http://schemas.openxmlformats.org/officeDocument/2006/customXml" ds:itemID="{9E80A8FD-5068-4A06-A2B0-D3E83B95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3635</Characters>
  <Application>Microsoft Office Word</Application>
  <DocSecurity>0</DocSecurity>
  <Lines>30</Lines>
  <Paragraphs>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2022-11-30T13:11:00Z</dcterms:created>
  <dcterms:modified xsi:type="dcterms:W3CDTF">2022-11-30T13:11:00Z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0x010100268BF69BA319044AAE421402B36F1BD7</vt:lpwstr>
  </property>
</Properties>
</file>