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Verdana"/>
          <w:sz w:val="20"/>
        </w:rPr>
      </w:pPr>
      <w:r>
        <w:rPr>
          <w:rFonts w:cs="Verdana" w:ascii="Verdana" w:hAnsi="Verdana"/>
          <w:sz w:val="20"/>
        </w:rPr>
      </w:r>
    </w:p>
    <w:p>
      <w:pPr>
        <w:pStyle w:val="Normal"/>
        <w:jc w:val="both"/>
        <w:rPr>
          <w:rFonts w:ascii="Verdana" w:hAnsi="Verdana" w:cs="Verdana"/>
          <w:sz w:val="20"/>
        </w:rPr>
      </w:pPr>
      <w:r>
        <w:rPr>
          <w:rFonts w:cs="Verdana" w:ascii="Verdana" w:hAnsi="Verdana"/>
          <w:sz w:val="20"/>
        </w:rPr>
      </w:r>
    </w:p>
    <w:p>
      <w:pPr>
        <w:pStyle w:val="Normal"/>
        <w:pBdr>
          <w:top w:val="single" w:sz="4" w:space="1" w:color="000000"/>
          <w:left w:val="single" w:sz="4" w:space="4" w:color="000000"/>
          <w:bottom w:val="single" w:sz="4" w:space="1" w:color="000000"/>
          <w:right w:val="single" w:sz="4" w:space="4" w:color="000000"/>
        </w:pBdr>
        <w:ind w:right="71" w:hanging="0"/>
        <w:jc w:val="both"/>
        <w:rPr>
          <w:rFonts w:ascii="Verdana" w:hAnsi="Verdana" w:cs="Verdana"/>
          <w:sz w:val="20"/>
        </w:rPr>
      </w:pPr>
      <w:r>
        <w:rPr>
          <w:rFonts w:cs="Verdana" w:ascii="Verdana" w:hAnsi="Verdana"/>
          <w:sz w:val="20"/>
        </w:rPr>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t xml:space="preserve">PROTOCOLE D’ACCORD </w:t>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t>VALEUR DU POINT MAI 2022</w:t>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t>DARVA</w:t>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t>Le 28 JUIN 2022</w:t>
      </w:r>
    </w:p>
    <w:p>
      <w:pPr>
        <w:pStyle w:val="Normal"/>
        <w:pBdr>
          <w:top w:val="single" w:sz="4" w:space="1" w:color="000000"/>
          <w:left w:val="single" w:sz="4" w:space="4" w:color="000000"/>
          <w:bottom w:val="single" w:sz="4" w:space="1" w:color="000000"/>
          <w:right w:val="single" w:sz="4" w:space="4" w:color="000000"/>
        </w:pBdr>
        <w:ind w:right="71" w:hanging="0"/>
        <w:jc w:val="center"/>
        <w:rPr>
          <w:rFonts w:ascii="Verdana" w:hAnsi="Verdana" w:cs="Verdana"/>
          <w:b/>
          <w:b/>
        </w:rPr>
      </w:pPr>
      <w:r>
        <w:rPr>
          <w:rFonts w:cs="Verdana" w:ascii="Verdana" w:hAnsi="Verdana"/>
          <w:b/>
        </w:rPr>
      </w:r>
    </w:p>
    <w:p>
      <w:pPr>
        <w:pStyle w:val="Normal"/>
        <w:jc w:val="both"/>
        <w:rPr>
          <w:rFonts w:ascii="Verdana" w:hAnsi="Verdana" w:cs="Verdana"/>
          <w:sz w:val="20"/>
        </w:rPr>
      </w:pPr>
      <w:r>
        <w:rPr>
          <w:rFonts w:cs="Verdana" w:ascii="Verdana" w:hAnsi="Verdana"/>
          <w:sz w:val="20"/>
        </w:rPr>
      </w:r>
    </w:p>
    <w:p>
      <w:pPr>
        <w:pStyle w:val="Normal"/>
        <w:jc w:val="both"/>
        <w:rPr>
          <w:rFonts w:ascii="Verdana" w:hAnsi="Verdana" w:cs="Verdana"/>
          <w:sz w:val="20"/>
        </w:rPr>
      </w:pPr>
      <w:r>
        <w:rPr>
          <w:rFonts w:cs="Verdana" w:ascii="Verdana" w:hAnsi="Verdana"/>
          <w:sz w:val="20"/>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b/>
          <w:b/>
          <w:i/>
          <w:i/>
          <w:sz w:val="18"/>
        </w:rPr>
      </w:pPr>
      <w:r>
        <w:rPr>
          <w:rFonts w:cs="Verdana" w:ascii="Verdana" w:hAnsi="Verdana"/>
          <w:b/>
          <w:i/>
          <w:sz w:val="18"/>
        </w:rPr>
        <w:t>Entre les soussignés :</w:t>
      </w:r>
    </w:p>
    <w:p>
      <w:pPr>
        <w:pStyle w:val="Normal"/>
        <w:jc w:val="both"/>
        <w:rPr>
          <w:rFonts w:ascii="Verdana" w:hAnsi="Verdana" w:cs="Verdana"/>
          <w:b/>
          <w:b/>
          <w:i/>
          <w:i/>
          <w:sz w:val="18"/>
        </w:rPr>
      </w:pPr>
      <w:r>
        <w:rPr>
          <w:rFonts w:cs="Verdana" w:ascii="Verdana" w:hAnsi="Verdana"/>
          <w:b/>
          <w:i/>
          <w:sz w:val="18"/>
        </w:rPr>
      </w:r>
    </w:p>
    <w:p>
      <w:pPr>
        <w:pStyle w:val="Normal"/>
        <w:numPr>
          <w:ilvl w:val="0"/>
          <w:numId w:val="2"/>
        </w:numPr>
        <w:tabs>
          <w:tab w:val="left" w:pos="426" w:leader="none"/>
        </w:tabs>
        <w:jc w:val="both"/>
        <w:rPr>
          <w:rFonts w:ascii="Verdana" w:hAnsi="Verdana" w:cs="Verdana"/>
          <w:sz w:val="18"/>
        </w:rPr>
      </w:pPr>
      <w:r>
        <w:rPr>
          <w:rFonts w:cs="Verdana" w:ascii="Verdana" w:hAnsi="Verdana"/>
          <w:sz w:val="18"/>
        </w:rPr>
        <w:t>La société DARVA SAS</w:t>
      </w:r>
    </w:p>
    <w:p>
      <w:pPr>
        <w:pStyle w:val="Normal"/>
        <w:tabs>
          <w:tab w:val="left" w:pos="7088" w:leader="none"/>
        </w:tabs>
        <w:ind w:left="360" w:hanging="0"/>
        <w:jc w:val="both"/>
        <w:rPr>
          <w:rFonts w:ascii="Verdana" w:hAnsi="Verdana" w:cs="Verdana"/>
          <w:i/>
          <w:i/>
          <w:sz w:val="18"/>
        </w:rPr>
      </w:pPr>
      <w:r>
        <w:rPr>
          <w:rFonts w:cs="Verdana" w:ascii="Verdana" w:hAnsi="Verdana"/>
          <w:i/>
          <w:sz w:val="18"/>
        </w:rPr>
        <w:tab/>
        <w:t>D'une part,</w:t>
      </w:r>
    </w:p>
    <w:p>
      <w:pPr>
        <w:pStyle w:val="Normal"/>
        <w:jc w:val="both"/>
        <w:rPr>
          <w:rFonts w:ascii="Verdana" w:hAnsi="Verdana" w:cs="Verdana"/>
          <w:i/>
          <w:i/>
          <w:sz w:val="18"/>
        </w:rPr>
      </w:pPr>
      <w:r>
        <w:rPr>
          <w:rFonts w:cs="Verdana" w:ascii="Verdana" w:hAnsi="Verdana"/>
          <w:i/>
          <w:sz w:val="18"/>
        </w:rPr>
        <w:t>Et</w:t>
      </w:r>
    </w:p>
    <w:p>
      <w:pPr>
        <w:pStyle w:val="Normal"/>
        <w:jc w:val="both"/>
        <w:rPr>
          <w:rFonts w:ascii="Verdana" w:hAnsi="Verdana" w:cs="Verdana"/>
          <w:i/>
          <w:i/>
          <w:sz w:val="18"/>
        </w:rPr>
      </w:pPr>
      <w:r>
        <w:rPr>
          <w:rFonts w:cs="Verdana" w:ascii="Verdana" w:hAnsi="Verdana"/>
          <w:i/>
          <w:sz w:val="18"/>
        </w:rPr>
      </w:r>
    </w:p>
    <w:p>
      <w:pPr>
        <w:pStyle w:val="Normal"/>
        <w:tabs>
          <w:tab w:val="left" w:pos="426" w:leader="none"/>
        </w:tabs>
        <w:jc w:val="both"/>
        <w:rPr>
          <w:rFonts w:ascii="Verdana" w:hAnsi="Verdana" w:cs="Verdana"/>
          <w:sz w:val="18"/>
        </w:rPr>
      </w:pPr>
      <w:r>
        <w:rPr>
          <w:rFonts w:cs="Verdana" w:ascii="Verdana" w:hAnsi="Verdana"/>
          <w:sz w:val="18"/>
        </w:rPr>
      </w:r>
    </w:p>
    <w:p>
      <w:pPr>
        <w:pStyle w:val="Normal"/>
        <w:tabs>
          <w:tab w:val="left" w:pos="426" w:leader="none"/>
        </w:tabs>
        <w:jc w:val="both"/>
        <w:rPr>
          <w:rFonts w:ascii="Verdana" w:hAnsi="Verdana" w:cs="Verdana"/>
          <w:sz w:val="18"/>
        </w:rPr>
      </w:pPr>
      <w:r>
        <w:rPr>
          <w:rFonts w:cs="Verdana" w:ascii="Verdana" w:hAnsi="Verdana"/>
          <w:sz w:val="18"/>
        </w:rPr>
      </w:r>
    </w:p>
    <w:p>
      <w:pPr>
        <w:pStyle w:val="Normal"/>
        <w:tabs>
          <w:tab w:val="left" w:pos="7088" w:leader="none"/>
        </w:tabs>
        <w:ind w:left="360" w:hanging="0"/>
        <w:jc w:val="both"/>
        <w:rPr>
          <w:rFonts w:ascii="Verdana" w:hAnsi="Verdana" w:cs="Verdana"/>
          <w:i/>
          <w:i/>
          <w:sz w:val="18"/>
        </w:rPr>
      </w:pPr>
      <w:r>
        <w:rPr>
          <w:rFonts w:cs="Verdana" w:ascii="Verdana" w:hAnsi="Verdana"/>
          <w:i/>
          <w:sz w:val="18"/>
        </w:rPr>
        <w:tab/>
        <w:t>D’autre part,</w:t>
      </w:r>
    </w:p>
    <w:p>
      <w:pPr>
        <w:pStyle w:val="Normal"/>
        <w:jc w:val="both"/>
        <w:rPr>
          <w:rFonts w:ascii="Verdana" w:hAnsi="Verdana" w:cs="Verdana"/>
          <w:i/>
          <w:i/>
          <w:sz w:val="18"/>
        </w:rPr>
      </w:pPr>
      <w:r>
        <w:rPr>
          <w:rFonts w:cs="Verdana" w:ascii="Verdana" w:hAnsi="Verdana"/>
          <w:i/>
          <w:sz w:val="18"/>
        </w:rPr>
      </w:r>
    </w:p>
    <w:p>
      <w:pPr>
        <w:pStyle w:val="Normal"/>
        <w:jc w:val="both"/>
        <w:rPr>
          <w:rFonts w:ascii="Verdana" w:hAnsi="Verdana" w:cs="Verdana"/>
          <w:sz w:val="18"/>
        </w:rPr>
      </w:pPr>
      <w:r>
        <w:rPr>
          <w:rFonts w:cs="Verdana" w:ascii="Verdana" w:hAnsi="Verdana"/>
          <w:sz w:val="18"/>
        </w:rPr>
      </w:r>
    </w:p>
    <w:p>
      <w:pPr>
        <w:pStyle w:val="Normal"/>
        <w:suppressAutoHyphens w:val="true"/>
        <w:jc w:val="both"/>
        <w:rPr>
          <w:rFonts w:ascii="Verdana" w:hAnsi="Verdana" w:cs="Arial"/>
          <w:sz w:val="18"/>
          <w:szCs w:val="18"/>
        </w:rPr>
      </w:pPr>
      <w:r>
        <w:rPr>
          <w:rFonts w:cs="Arial" w:ascii="Verdana" w:hAnsi="Verdana"/>
          <w:b/>
          <w:bCs/>
          <w:sz w:val="18"/>
          <w:szCs w:val="18"/>
        </w:rPr>
        <w:t>PRÉAMBULE</w:t>
      </w:r>
    </w:p>
    <w:p>
      <w:pPr>
        <w:pStyle w:val="Normal"/>
        <w:suppressAutoHyphens w:val="true"/>
        <w:jc w:val="both"/>
        <w:rPr>
          <w:rFonts w:ascii="Verdana" w:hAnsi="Verdana" w:cs="Arial"/>
          <w:sz w:val="18"/>
          <w:szCs w:val="22"/>
        </w:rPr>
      </w:pPr>
      <w:r>
        <w:rPr>
          <w:rFonts w:cs="Arial" w:ascii="Verdana" w:hAnsi="Verdana"/>
          <w:sz w:val="18"/>
          <w:szCs w:val="22"/>
        </w:rPr>
      </w:r>
    </w:p>
    <w:p>
      <w:pPr>
        <w:pStyle w:val="Normal"/>
        <w:suppressAutoHyphens w:val="true"/>
        <w:jc w:val="both"/>
        <w:rPr>
          <w:rFonts w:ascii="Verdana" w:hAnsi="Verdana" w:cs="Arial"/>
          <w:sz w:val="18"/>
          <w:szCs w:val="22"/>
        </w:rPr>
      </w:pPr>
      <w:r>
        <w:rPr>
          <w:rFonts w:cs="Arial" w:ascii="Verdana" w:hAnsi="Verdana"/>
          <w:sz w:val="18"/>
          <w:szCs w:val="22"/>
        </w:rPr>
      </w:r>
    </w:p>
    <w:p>
      <w:pPr>
        <w:pStyle w:val="Paragraphedeliste"/>
        <w:spacing w:lineRule="auto" w:line="276" w:before="0" w:after="200"/>
        <w:ind w:left="0" w:hanging="0"/>
        <w:contextualSpacing/>
        <w:jc w:val="both"/>
        <w:rPr>
          <w:rFonts w:ascii="Verdana" w:hAnsi="Verdana" w:cs="Arial"/>
          <w:sz w:val="18"/>
          <w:szCs w:val="22"/>
        </w:rPr>
      </w:pPr>
      <w:r>
        <w:rPr>
          <w:rFonts w:cs="Arial" w:ascii="Verdana" w:hAnsi="Verdana"/>
          <w:sz w:val="18"/>
          <w:szCs w:val="22"/>
        </w:rPr>
        <w:t>Les parties entendent rappeler que dans le cadre des NOE 2021, la Direction avait proposé de faire un point avec les organisations syndicales à la fin du mois de mai 2022, en fonction de l’évolution constatée et prévisionnelle de l’inflation et des perspectives économiques de l’entreprise, afin d’envisager un éventuel réajustement de la valeur du point sur le second semestre 2022.</w:t>
      </w:r>
    </w:p>
    <w:p>
      <w:pPr>
        <w:pStyle w:val="Paragraphedeliste"/>
        <w:spacing w:lineRule="auto" w:line="276" w:before="0" w:after="200"/>
        <w:ind w:left="0" w:hanging="0"/>
        <w:contextualSpacing/>
        <w:jc w:val="both"/>
        <w:rPr>
          <w:rFonts w:ascii="Verdana" w:hAnsi="Verdana" w:cs="Arial"/>
          <w:sz w:val="18"/>
          <w:szCs w:val="22"/>
        </w:rPr>
      </w:pPr>
      <w:r>
        <w:rPr>
          <w:rFonts w:cs="Arial" w:ascii="Verdana" w:hAnsi="Verdana"/>
          <w:sz w:val="18"/>
          <w:szCs w:val="22"/>
        </w:rPr>
        <w:t>A l’issue de plusieurs points de rencontre ayant eu lieu à ce sujet en mai et juin 2022, les parties ont abouti à un accord.</w:t>
      </w:r>
    </w:p>
    <w:p>
      <w:pPr>
        <w:pStyle w:val="TextBody"/>
        <w:rPr>
          <w:rFonts w:ascii="Verdana" w:hAnsi="Verdana" w:cs="Arial"/>
          <w:sz w:val="18"/>
          <w:szCs w:val="22"/>
        </w:rPr>
      </w:pPr>
      <w:r>
        <w:rPr>
          <w:rFonts w:cs="Arial"/>
          <w:sz w:val="18"/>
          <w:szCs w:val="22"/>
        </w:rPr>
      </w:r>
    </w:p>
    <w:p>
      <w:pPr>
        <w:pStyle w:val="Texte"/>
        <w:rPr>
          <w:rFonts w:ascii="Verdana" w:hAnsi="Verdana" w:cs="Verdana"/>
          <w:b/>
          <w:b/>
          <w:bCs/>
          <w:sz w:val="18"/>
          <w:u w:val="single"/>
        </w:rPr>
      </w:pPr>
      <w:r>
        <w:rPr>
          <w:rFonts w:cs="Verdana" w:ascii="Verdana" w:hAnsi="Verdana"/>
          <w:b/>
          <w:bCs/>
          <w:sz w:val="18"/>
          <w:u w:val="single"/>
        </w:rPr>
      </w:r>
    </w:p>
    <w:p>
      <w:pPr>
        <w:pStyle w:val="Texte"/>
        <w:rPr/>
      </w:pPr>
      <w:r>
        <w:rPr>
          <w:rFonts w:cs="Verdana" w:ascii="Verdana" w:hAnsi="Verdana"/>
          <w:b/>
          <w:bCs/>
          <w:sz w:val="18"/>
          <w:u w:val="single"/>
        </w:rPr>
        <w:t>Article 1. - CHAMP D’APPLICATION</w:t>
      </w:r>
    </w:p>
    <w:p>
      <w:pPr>
        <w:pStyle w:val="Texte"/>
        <w:rPr>
          <w:rFonts w:ascii="Verdana" w:hAnsi="Verdana" w:cs="Verdana"/>
          <w:b/>
          <w:b/>
          <w:bCs/>
          <w:sz w:val="18"/>
          <w:u w:val="single"/>
        </w:rPr>
      </w:pPr>
      <w:r>
        <w:rPr>
          <w:rFonts w:cs="Verdana" w:ascii="Verdana" w:hAnsi="Verdana"/>
          <w:b/>
          <w:bCs/>
          <w:sz w:val="18"/>
          <w:u w:val="single"/>
        </w:rPr>
      </w:r>
    </w:p>
    <w:p>
      <w:pPr>
        <w:pStyle w:val="Texte"/>
        <w:rPr>
          <w:rFonts w:ascii="Verdana" w:hAnsi="Verdana" w:cs="Verdana"/>
          <w:sz w:val="18"/>
        </w:rPr>
      </w:pPr>
      <w:r>
        <w:rPr>
          <w:rFonts w:cs="Verdana" w:ascii="Verdana" w:hAnsi="Verdana"/>
          <w:sz w:val="18"/>
        </w:rPr>
        <w:t>Le présent accord s’applique à l'ensemble des salariés de la société DARVA présents à l’effectif au 01/06/2022.</w:t>
      </w:r>
    </w:p>
    <w:p>
      <w:pPr>
        <w:pStyle w:val="Texte"/>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b/>
          <w:b/>
          <w:bCs/>
          <w:sz w:val="18"/>
          <w:u w:val="single"/>
        </w:rPr>
      </w:pPr>
      <w:r>
        <w:rPr>
          <w:rFonts w:cs="Verdana" w:ascii="Verdana" w:hAnsi="Verdana"/>
          <w:b/>
          <w:bCs/>
          <w:sz w:val="18"/>
          <w:u w:val="single"/>
        </w:rPr>
        <w:t>Article 2. - EVOLUTION DE LA VALEUR DU POINT</w:t>
      </w:r>
    </w:p>
    <w:p>
      <w:pPr>
        <w:pStyle w:val="Normal"/>
        <w:jc w:val="both"/>
        <w:rPr>
          <w:rFonts w:ascii="Verdana" w:hAnsi="Verdana" w:cs="Verdana"/>
          <w:b/>
          <w:b/>
          <w:bCs/>
          <w:sz w:val="18"/>
          <w:u w:val="single"/>
        </w:rPr>
      </w:pPr>
      <w:r>
        <w:rPr>
          <w:rFonts w:cs="Verdana" w:ascii="Verdana" w:hAnsi="Verdana"/>
          <w:b/>
          <w:bCs/>
          <w:sz w:val="18"/>
          <w:u w:val="single"/>
        </w:rPr>
      </w:r>
    </w:p>
    <w:p>
      <w:pPr>
        <w:pStyle w:val="Normal"/>
        <w:jc w:val="both"/>
        <w:rPr>
          <w:rFonts w:ascii="Verdana" w:hAnsi="Verdana" w:cs="Arial"/>
          <w:sz w:val="18"/>
          <w:szCs w:val="22"/>
        </w:rPr>
      </w:pPr>
      <w:r>
        <w:rPr>
          <w:rFonts w:cs="Arial" w:ascii="Verdana" w:hAnsi="Verdana"/>
          <w:sz w:val="18"/>
          <w:szCs w:val="22"/>
        </w:rPr>
        <w:t>En tenant compte à la fois de l’observation de l’inflation et des perspectives économiques 2022 de DARVA, il a été décidé d’augmenter la valeur du point de 2% et ce de manière rétroactive depuis le 1er mai.</w:t>
      </w:r>
    </w:p>
    <w:p>
      <w:pPr>
        <w:pStyle w:val="Retraitcorpsdetexte2"/>
        <w:ind w:left="0" w:hanging="0"/>
        <w:rPr>
          <w:rFonts w:ascii="Verdana" w:hAnsi="Verdana" w:cs="Arial"/>
          <w:sz w:val="18"/>
          <w:szCs w:val="22"/>
        </w:rPr>
      </w:pPr>
      <w:r>
        <w:rPr>
          <w:rFonts w:cs="Arial"/>
          <w:sz w:val="18"/>
          <w:szCs w:val="22"/>
        </w:rPr>
      </w:r>
    </w:p>
    <w:p>
      <w:pPr>
        <w:pStyle w:val="Retraitcorpsdetexte2"/>
        <w:ind w:left="0" w:hanging="0"/>
        <w:rPr/>
      </w:pPr>
      <w:r>
        <w:rPr/>
        <w:t>La valeur du point est donc portée à 10.592€ à compter du 1</w:t>
      </w:r>
      <w:r>
        <w:rPr>
          <w:vertAlign w:val="superscript"/>
        </w:rPr>
        <w:t>er</w:t>
      </w:r>
      <w:r>
        <w:rPr/>
        <w:t xml:space="preserve"> mai 2022.</w:t>
      </w:r>
    </w:p>
    <w:p>
      <w:pPr>
        <w:pStyle w:val="Retraitcorpsdetexte2"/>
        <w:ind w:left="0" w:hanging="0"/>
        <w:rPr/>
      </w:pPr>
      <w:r>
        <w:rPr/>
      </w:r>
    </w:p>
    <w:p>
      <w:pPr>
        <w:pStyle w:val="Retraitcorpsdetexte2"/>
        <w:ind w:left="0" w:hanging="0"/>
        <w:rPr/>
      </w:pPr>
      <w:r>
        <w:rPr/>
        <w:t>Cette augmentation de la valeur du point s’appliquera sur les bulletins de salaire de juin 2022, de manière rétroactive.</w:t>
      </w:r>
    </w:p>
    <w:p>
      <w:pPr>
        <w:pStyle w:val="Retraitcorpsdetexte2"/>
        <w:rPr/>
      </w:pPr>
      <w:r>
        <w:rPr/>
      </w:r>
    </w:p>
    <w:p>
      <w:pPr>
        <w:pStyle w:val="Retraitcorpsdetexte2"/>
        <w:ind w:left="0" w:hanging="0"/>
        <w:rPr>
          <w:b/>
          <w:b/>
          <w:caps/>
          <w:szCs w:val="18"/>
          <w:u w:val="single"/>
        </w:rPr>
      </w:pPr>
      <w:r>
        <w:rPr>
          <w:b/>
          <w:u w:val="single"/>
        </w:rPr>
        <w:t>Article</w:t>
      </w:r>
      <w:r>
        <w:rPr>
          <w:b/>
          <w:caps/>
          <w:szCs w:val="18"/>
          <w:u w:val="single"/>
        </w:rPr>
        <w:t xml:space="preserve"> 3. – OBSERVATOIRE DE LA VALEUR DU POINT :</w:t>
      </w:r>
    </w:p>
    <w:p>
      <w:pPr>
        <w:pStyle w:val="Retraitcorpsdetexte2"/>
        <w:ind w:left="0" w:hanging="0"/>
        <w:rPr>
          <w:b/>
          <w:b/>
          <w:caps/>
          <w:szCs w:val="18"/>
          <w:u w:val="single"/>
        </w:rPr>
      </w:pPr>
      <w:r>
        <w:rPr>
          <w:b/>
          <w:caps/>
          <w:szCs w:val="18"/>
          <w:u w:val="single"/>
        </w:rPr>
      </w:r>
    </w:p>
    <w:p>
      <w:pPr>
        <w:pStyle w:val="Retraitcorpsdetexte2"/>
        <w:ind w:left="0" w:hanging="0"/>
        <w:rPr/>
      </w:pPr>
      <w:r>
        <w:rPr/>
        <w:t>Il est précisé que l’indice retenu pour servir de base aux négociations est le suivant :</w:t>
      </w:r>
    </w:p>
    <w:p>
      <w:pPr>
        <w:pStyle w:val="Retraitcorpsdetexte2"/>
        <w:numPr>
          <w:ilvl w:val="0"/>
          <w:numId w:val="2"/>
        </w:numPr>
        <w:rPr/>
      </w:pPr>
      <w:r>
        <w:rPr/>
        <w:t>Indice des prix à la consommation – Ensemble des ménages France – Base 2015 – Ensemble hors tabac.</w:t>
      </w:r>
    </w:p>
    <w:p>
      <w:pPr>
        <w:pStyle w:val="Normal"/>
        <w:tabs>
          <w:tab w:val="left" w:pos="426" w:leader="none"/>
        </w:tabs>
        <w:jc w:val="both"/>
        <w:rPr>
          <w:rFonts w:ascii="Verdana" w:hAnsi="Verdana" w:cs="Verdana"/>
          <w:b/>
          <w:b/>
          <w:sz w:val="18"/>
          <w:u w:val="single"/>
        </w:rPr>
      </w:pPr>
      <w:r>
        <w:rPr>
          <w:rFonts w:cs="Verdana" w:ascii="Verdana" w:hAnsi="Verdana"/>
          <w:b/>
          <w:sz w:val="18"/>
          <w:u w:val="single"/>
        </w:rPr>
      </w:r>
    </w:p>
    <w:p>
      <w:pPr>
        <w:pStyle w:val="Normal"/>
        <w:tabs>
          <w:tab w:val="left" w:pos="426" w:leader="none"/>
        </w:tabs>
        <w:jc w:val="both"/>
        <w:rPr>
          <w:rFonts w:ascii="Verdana" w:hAnsi="Verdana" w:cs="Verdana"/>
          <w:b/>
          <w:b/>
          <w:sz w:val="18"/>
          <w:u w:val="single"/>
        </w:rPr>
      </w:pPr>
      <w:r>
        <w:rPr>
          <w:rFonts w:cs="Verdana" w:ascii="Verdana" w:hAnsi="Verdana"/>
          <w:b/>
          <w:sz w:val="18"/>
          <w:u w:val="single"/>
        </w:rPr>
      </w:r>
    </w:p>
    <w:p>
      <w:pPr>
        <w:pStyle w:val="Normal"/>
        <w:tabs>
          <w:tab w:val="left" w:pos="426" w:leader="none"/>
        </w:tabs>
        <w:jc w:val="both"/>
        <w:rPr>
          <w:rFonts w:ascii="Verdana" w:hAnsi="Verdana" w:cs="Verdana"/>
          <w:b/>
          <w:b/>
          <w:caps/>
          <w:sz w:val="18"/>
          <w:szCs w:val="18"/>
        </w:rPr>
      </w:pPr>
      <w:r>
        <w:rPr>
          <w:rFonts w:cs="Verdana" w:ascii="Verdana" w:hAnsi="Verdana"/>
          <w:b/>
          <w:sz w:val="18"/>
          <w:u w:val="single"/>
        </w:rPr>
        <w:t xml:space="preserve">Article 4. – </w:t>
      </w:r>
      <w:r>
        <w:rPr>
          <w:rFonts w:cs="Verdana" w:ascii="Verdana" w:hAnsi="Verdana"/>
          <w:b/>
          <w:caps/>
          <w:sz w:val="18"/>
          <w:szCs w:val="18"/>
          <w:u w:val="single"/>
        </w:rPr>
        <w:t xml:space="preserve">Information des salariés </w:t>
      </w:r>
      <w:r>
        <w:rPr>
          <w:rFonts w:cs="Verdana" w:ascii="Verdana" w:hAnsi="Verdana"/>
          <w:b/>
          <w:caps/>
          <w:sz w:val="18"/>
          <w:szCs w:val="18"/>
        </w:rPr>
        <w:t>:</w:t>
      </w:r>
    </w:p>
    <w:p>
      <w:pPr>
        <w:pStyle w:val="Normal"/>
        <w:tabs>
          <w:tab w:val="left" w:pos="426" w:leader="none"/>
        </w:tabs>
        <w:jc w:val="both"/>
        <w:rPr>
          <w:rFonts w:ascii="Verdana" w:hAnsi="Verdana" w:cs="Verdana"/>
          <w:b/>
          <w:b/>
          <w:caps/>
          <w:sz w:val="18"/>
          <w:szCs w:val="18"/>
        </w:rPr>
      </w:pPr>
      <w:r>
        <w:rPr>
          <w:rFonts w:cs="Verdana" w:ascii="Verdana" w:hAnsi="Verdana"/>
          <w:b/>
          <w:caps/>
          <w:sz w:val="18"/>
          <w:szCs w:val="18"/>
        </w:rPr>
      </w:r>
    </w:p>
    <w:p>
      <w:pPr>
        <w:pStyle w:val="Normal"/>
        <w:tabs>
          <w:tab w:val="left" w:pos="426" w:leader="none"/>
        </w:tabs>
        <w:jc w:val="both"/>
        <w:rPr>
          <w:rFonts w:ascii="Verdana" w:hAnsi="Verdana" w:cs="Verdana"/>
          <w:sz w:val="18"/>
        </w:rPr>
      </w:pPr>
      <w:r>
        <w:rPr>
          <w:rFonts w:cs="Verdana" w:ascii="Verdana" w:hAnsi="Verdana"/>
          <w:sz w:val="18"/>
        </w:rPr>
        <w:t>Il sera porté mention du présent accord de négociation annuelle obligatoire à chacun des salariés par publication dans l’intranet.</w:t>
      </w:r>
    </w:p>
    <w:p>
      <w:pPr>
        <w:pStyle w:val="Normal"/>
        <w:tabs>
          <w:tab w:val="left" w:pos="426" w:leader="none"/>
        </w:tabs>
        <w:jc w:val="both"/>
        <w:rPr>
          <w:rFonts w:ascii="Verdana" w:hAnsi="Verdana" w:cs="Verdana"/>
          <w:sz w:val="18"/>
        </w:rPr>
      </w:pPr>
      <w:r>
        <w:rPr>
          <w:rFonts w:cs="Verdana" w:ascii="Verdana" w:hAnsi="Verdana"/>
          <w:sz w:val="18"/>
        </w:rPr>
      </w:r>
    </w:p>
    <w:p>
      <w:pPr>
        <w:pStyle w:val="Normal"/>
        <w:tabs>
          <w:tab w:val="left" w:pos="426" w:leader="none"/>
        </w:tabs>
        <w:jc w:val="both"/>
        <w:rPr>
          <w:rFonts w:ascii="Verdana" w:hAnsi="Verdana" w:cs="Verdana"/>
          <w:sz w:val="18"/>
        </w:rPr>
      </w:pPr>
      <w:r>
        <w:rPr>
          <w:rFonts w:cs="Verdana" w:ascii="Verdana" w:hAnsi="Verdana"/>
          <w:sz w:val="18"/>
        </w:rPr>
      </w:r>
    </w:p>
    <w:p>
      <w:pPr>
        <w:pStyle w:val="Normal"/>
        <w:tabs>
          <w:tab w:val="left" w:pos="426" w:leader="none"/>
        </w:tabs>
        <w:jc w:val="both"/>
        <w:rPr>
          <w:rFonts w:ascii="Verdana" w:hAnsi="Verdana" w:cs="Verdana"/>
          <w:sz w:val="18"/>
        </w:rPr>
      </w:pPr>
      <w:r>
        <w:rPr>
          <w:rFonts w:cs="Verdana" w:ascii="Verdana" w:hAnsi="Verdana"/>
          <w:sz w:val="18"/>
        </w:rPr>
      </w:r>
    </w:p>
    <w:p>
      <w:pPr>
        <w:pStyle w:val="Normal"/>
        <w:tabs>
          <w:tab w:val="left" w:pos="426" w:leader="none"/>
        </w:tabs>
        <w:jc w:val="both"/>
        <w:rPr/>
      </w:pPr>
      <w:r>
        <w:rPr>
          <w:rFonts w:cs="Verdana" w:ascii="Verdana" w:hAnsi="Verdana"/>
          <w:b/>
          <w:sz w:val="18"/>
          <w:u w:val="single"/>
        </w:rPr>
        <w:t xml:space="preserve">Article 5. - </w:t>
      </w:r>
      <w:r>
        <w:rPr>
          <w:rFonts w:cs="Verdana" w:ascii="Verdana" w:hAnsi="Verdana"/>
          <w:b/>
          <w:caps/>
          <w:sz w:val="18"/>
          <w:szCs w:val="18"/>
          <w:u w:val="single"/>
        </w:rPr>
        <w:t>Publicité - Dépôt</w:t>
      </w:r>
      <w:r>
        <w:rPr>
          <w:rFonts w:cs="Verdana" w:ascii="Verdana" w:hAnsi="Verdana"/>
          <w:b/>
          <w:sz w:val="18"/>
          <w:u w:val="single"/>
        </w:rPr>
        <w:t xml:space="preserve"> :</w:t>
      </w:r>
    </w:p>
    <w:p>
      <w:pPr>
        <w:pStyle w:val="Normal"/>
        <w:jc w:val="both"/>
        <w:rPr>
          <w:rFonts w:ascii="Verdana" w:hAnsi="Verdana" w:cs="Verdana"/>
          <w:b/>
          <w:b/>
          <w:sz w:val="18"/>
          <w:u w:val="single"/>
        </w:rPr>
      </w:pPr>
      <w:r>
        <w:rPr>
          <w:rFonts w:cs="Verdana" w:ascii="Verdana" w:hAnsi="Verdana"/>
          <w:b/>
          <w:sz w:val="18"/>
          <w:u w:val="single"/>
        </w:rPr>
      </w:r>
    </w:p>
    <w:p>
      <w:pPr>
        <w:pStyle w:val="Normal"/>
        <w:jc w:val="both"/>
        <w:rPr>
          <w:rFonts w:ascii="Verdana" w:hAnsi="Verdana" w:cs="Verdana"/>
          <w:b/>
          <w:b/>
          <w:sz w:val="18"/>
        </w:rPr>
      </w:pPr>
      <w:r>
        <w:rPr>
          <w:rFonts w:cs="Verdana" w:ascii="Verdana" w:hAnsi="Verdana"/>
          <w:b/>
          <w:sz w:val="18"/>
        </w:rPr>
      </w:r>
    </w:p>
    <w:p>
      <w:pPr>
        <w:pStyle w:val="TextBody"/>
        <w:rPr>
          <w:sz w:val="18"/>
        </w:rPr>
      </w:pPr>
      <w:r>
        <w:rPr>
          <w:sz w:val="18"/>
        </w:rPr>
        <w:t>La direction de la société notifiera, sans délai, par courrier recommandé avec AR (ou par remise en main propre contre décharge auprès du délégué syndical) le présent accord à l'ensemble des organisations syndicales représentatives dans l'entreprise.</w:t>
      </w:r>
    </w:p>
    <w:p>
      <w:pPr>
        <w:pStyle w:val="TextBody"/>
        <w:rPr>
          <w:sz w:val="18"/>
        </w:rPr>
      </w:pPr>
      <w:r>
        <w:rPr>
          <w:sz w:val="18"/>
        </w:rPr>
      </w:r>
    </w:p>
    <w:p>
      <w:pPr>
        <w:pStyle w:val="Normal"/>
        <w:jc w:val="both"/>
        <w:rPr>
          <w:rFonts w:ascii="Verdana" w:hAnsi="Verdana" w:cs="Verdana"/>
          <w:sz w:val="18"/>
        </w:rPr>
      </w:pPr>
      <w:r>
        <w:rPr>
          <w:rFonts w:cs="Verdana" w:ascii="Verdana" w:hAnsi="Verdana"/>
          <w:sz w:val="18"/>
        </w:rPr>
        <w:t>A l'expiration du délai d'opposition de huit jours, le présent accord sera déposé par la direction de la société à l’unité territoriale des Deux-Sèvres de la DIRECCTE, en deux exemplaires, un exemplaire sur support papier et un exemplaire sur support électronique et au Conseil de Prud'hommes de NIORT.</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t>Le présent accord sera publié sur la base nationale des données.</w:t>
      </w:r>
    </w:p>
    <w:p>
      <w:pPr>
        <w:pStyle w:val="Normal"/>
        <w:jc w:val="both"/>
        <w:rPr>
          <w:rFonts w:ascii="Verdana" w:hAnsi="Verdana" w:cs="Verdana"/>
          <w:sz w:val="18"/>
        </w:rPr>
      </w:pPr>
      <w:r>
        <w:rPr>
          <w:rFonts w:cs="Verdana" w:ascii="Verdana" w:hAnsi="Verdana"/>
          <w:sz w:val="18"/>
        </w:rPr>
      </w:r>
    </w:p>
    <w:p>
      <w:pPr>
        <w:pStyle w:val="Texte"/>
        <w:rPr>
          <w:rFonts w:ascii="Verdana" w:hAnsi="Verdana" w:cs="Verdana"/>
          <w:sz w:val="18"/>
        </w:rPr>
      </w:pPr>
      <w:r>
        <w:rPr>
          <w:rFonts w:cs="Verdana" w:ascii="Verdana" w:hAnsi="Verdana"/>
          <w:sz w:val="18"/>
        </w:rPr>
        <w:t>Un exemplaire en sera remis à chacun des signataires.</w:t>
      </w:r>
    </w:p>
    <w:p>
      <w:pPr>
        <w:pStyle w:val="Texte"/>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t>Mention de son existence sera faite sur le tableau d'affichage et sur l’Intranet.</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r>
    </w:p>
    <w:p>
      <w:pPr>
        <w:pStyle w:val="Normal"/>
        <w:ind w:left="5664" w:hanging="0"/>
        <w:jc w:val="both"/>
        <w:rPr>
          <w:rFonts w:ascii="Verdana" w:hAnsi="Verdana" w:cs="Verdana"/>
          <w:sz w:val="18"/>
        </w:rPr>
      </w:pPr>
      <w:r>
        <w:rPr>
          <w:rFonts w:cs="Verdana" w:ascii="Verdana" w:hAnsi="Verdana"/>
          <w:sz w:val="18"/>
        </w:rPr>
      </w:r>
    </w:p>
    <w:p>
      <w:pPr>
        <w:pStyle w:val="Normal"/>
        <w:ind w:left="5664" w:hanging="0"/>
        <w:jc w:val="both"/>
        <w:rPr>
          <w:rFonts w:ascii="Verdana" w:hAnsi="Verdana" w:cs="Verdana"/>
          <w:sz w:val="18"/>
        </w:rPr>
      </w:pPr>
      <w:r>
        <w:rPr>
          <w:rFonts w:cs="Verdana" w:ascii="Verdana" w:hAnsi="Verdana"/>
          <w:sz w:val="18"/>
        </w:rPr>
        <w:t>Fait à NIORT,</w:t>
      </w:r>
    </w:p>
    <w:p>
      <w:pPr>
        <w:pStyle w:val="Normal"/>
        <w:ind w:left="5664" w:hanging="0"/>
        <w:jc w:val="both"/>
        <w:rPr>
          <w:rFonts w:ascii="Verdana" w:hAnsi="Verdana" w:cs="Verdana"/>
          <w:sz w:val="18"/>
        </w:rPr>
      </w:pPr>
      <w:r>
        <w:rPr>
          <w:rFonts w:cs="Verdana" w:ascii="Verdana" w:hAnsi="Verdana"/>
          <w:sz w:val="18"/>
        </w:rPr>
        <w:t>Le 28 juin 2022</w:t>
      </w:r>
    </w:p>
    <w:p>
      <w:pPr>
        <w:pStyle w:val="Normal"/>
        <w:ind w:left="5664" w:hanging="0"/>
        <w:jc w:val="both"/>
        <w:rPr>
          <w:rFonts w:ascii="Verdana" w:hAnsi="Verdana" w:cs="Verdana"/>
          <w:sz w:val="18"/>
        </w:rPr>
      </w:pPr>
      <w:r>
        <w:rPr>
          <w:rFonts w:cs="Verdana" w:ascii="Verdana" w:hAnsi="Verdana"/>
          <w:sz w:val="18"/>
        </w:rPr>
        <w:t>en 4 exemplaires originaux</w:t>
      </w:r>
    </w:p>
    <w:p>
      <w:pPr>
        <w:pStyle w:val="Normal"/>
        <w:jc w:val="both"/>
        <w:rPr>
          <w:rFonts w:ascii="Verdana" w:hAnsi="Verdana" w:cs="Verdana"/>
          <w:sz w:val="18"/>
        </w:rPr>
      </w:pPr>
      <w:r>
        <w:rPr>
          <w:rFonts w:cs="Verdana" w:ascii="Verdana" w:hAnsi="Verdana"/>
          <w:sz w:val="18"/>
        </w:rPr>
      </w:r>
    </w:p>
    <w:tbl>
      <w:tblPr>
        <w:tblW w:w="9405" w:type="dxa"/>
        <w:jc w:val="left"/>
        <w:tblInd w:w="0" w:type="dxa"/>
        <w:tblBorders/>
        <w:tblCellMar>
          <w:top w:w="0" w:type="dxa"/>
          <w:left w:w="70" w:type="dxa"/>
          <w:bottom w:w="0" w:type="dxa"/>
          <w:right w:w="70" w:type="dxa"/>
        </w:tblCellMar>
      </w:tblPr>
      <w:tblGrid>
        <w:gridCol w:w="3135"/>
        <w:gridCol w:w="3135"/>
        <w:gridCol w:w="3135"/>
      </w:tblGrid>
      <w:tr>
        <w:trPr>
          <w:trHeight w:val="443" w:hRule="atLeast"/>
        </w:trPr>
        <w:tc>
          <w:tcPr>
            <w:tcW w:w="3135" w:type="dxa"/>
            <w:tcBorders/>
            <w:shd w:fill="auto" w:val="clear"/>
          </w:tcPr>
          <w:p>
            <w:pPr>
              <w:pStyle w:val="Normal"/>
              <w:snapToGrid w:val="false"/>
              <w:jc w:val="both"/>
              <w:rPr>
                <w:rFonts w:ascii="Verdana" w:hAnsi="Verdana" w:cs="Verdana"/>
                <w:sz w:val="18"/>
              </w:rPr>
            </w:pPr>
            <w:r>
              <w:rPr>
                <w:rFonts w:cs="Verdana" w:ascii="Verdana" w:hAnsi="Verdana"/>
                <w:sz w:val="18"/>
              </w:rPr>
            </w:r>
          </w:p>
        </w:tc>
        <w:tc>
          <w:tcPr>
            <w:tcW w:w="3135" w:type="dxa"/>
            <w:tcBorders/>
            <w:shd w:fill="auto" w:val="clear"/>
          </w:tcPr>
          <w:p>
            <w:pPr>
              <w:pStyle w:val="Normal"/>
              <w:snapToGrid w:val="false"/>
              <w:jc w:val="both"/>
              <w:rPr>
                <w:rFonts w:ascii="Verdana" w:hAnsi="Verdana" w:cs="Verdana"/>
                <w:sz w:val="18"/>
              </w:rPr>
            </w:pPr>
            <w:r>
              <w:rPr>
                <w:rFonts w:cs="Verdana" w:ascii="Verdana" w:hAnsi="Verdana"/>
                <w:sz w:val="18"/>
              </w:rPr>
            </w:r>
          </w:p>
        </w:tc>
        <w:tc>
          <w:tcPr>
            <w:tcW w:w="3135" w:type="dxa"/>
            <w:tcBorders/>
            <w:shd w:fill="auto" w:val="clear"/>
          </w:tcPr>
          <w:p>
            <w:pPr>
              <w:pStyle w:val="Normal"/>
              <w:snapToGrid w:val="false"/>
              <w:jc w:val="both"/>
              <w:rPr>
                <w:rFonts w:ascii="Verdana" w:hAnsi="Verdana" w:cs="Verdana"/>
                <w:sz w:val="18"/>
              </w:rPr>
            </w:pPr>
            <w:r>
              <w:rPr>
                <w:rFonts w:cs="Verdana" w:ascii="Verdana" w:hAnsi="Verdana"/>
                <w:sz w:val="18"/>
              </w:rPr>
            </w:r>
          </w:p>
        </w:tc>
      </w:tr>
      <w:tr>
        <w:trPr>
          <w:trHeight w:val="1483" w:hRule="atLeast"/>
        </w:trPr>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r>
      <w:tr>
        <w:trPr>
          <w:trHeight w:val="80" w:hRule="atLeast"/>
        </w:trPr>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i/>
                <w:i/>
                <w:sz w:val="18"/>
              </w:rPr>
            </w:pPr>
            <w:r>
              <w:rPr>
                <w:rFonts w:cs="Verdana" w:ascii="Verdana" w:hAnsi="Verdana"/>
                <w:i/>
                <w:sz w:val="18"/>
              </w:rPr>
            </w:r>
          </w:p>
        </w:tc>
        <w:tc>
          <w:tcPr>
            <w:tcW w:w="3135" w:type="dxa"/>
            <w:tcBorders/>
            <w:shd w:fill="auto" w:val="clear"/>
          </w:tcPr>
          <w:p>
            <w:pPr>
              <w:pStyle w:val="Normal"/>
              <w:snapToGrid w:val="false"/>
              <w:jc w:val="both"/>
              <w:rPr>
                <w:rFonts w:ascii="Verdana" w:hAnsi="Verdana" w:cs="Verdana"/>
                <w:i/>
                <w:i/>
                <w:sz w:val="18"/>
              </w:rPr>
            </w:pPr>
            <w:r>
              <w:rPr>
                <w:rFonts w:cs="Verdana" w:ascii="Verdana" w:hAnsi="Verdana"/>
                <w:i/>
                <w:sz w:val="18"/>
              </w:rPr>
            </w:r>
          </w:p>
        </w:tc>
      </w:tr>
      <w:tr>
        <w:trPr>
          <w:trHeight w:val="229" w:hRule="atLeast"/>
        </w:trPr>
        <w:tc>
          <w:tcPr>
            <w:tcW w:w="3135" w:type="dxa"/>
            <w:tcBorders/>
            <w:shd w:fill="auto" w:val="clear"/>
          </w:tcPr>
          <w:p>
            <w:pPr>
              <w:pStyle w:val="Normal"/>
              <w:snapToGrid w:val="false"/>
              <w:jc w:val="both"/>
              <w:rPr>
                <w:rFonts w:ascii="Verdana" w:hAnsi="Verdana" w:cs="Verdana"/>
                <w:b/>
                <w:b/>
                <w:sz w:val="18"/>
              </w:rPr>
            </w:pPr>
            <w:r>
              <w:rPr>
                <w:rFonts w:cs="Verdana" w:ascii="Verdana" w:hAnsi="Verdana"/>
                <w:b/>
                <w:sz w:val="18"/>
              </w:rPr>
            </w:r>
          </w:p>
        </w:tc>
        <w:tc>
          <w:tcPr>
            <w:tcW w:w="3135" w:type="dxa"/>
            <w:tcBorders/>
            <w:shd w:fill="auto" w:val="clear"/>
          </w:tcPr>
          <w:p>
            <w:pPr>
              <w:pStyle w:val="Normal"/>
              <w:snapToGrid w:val="false"/>
              <w:jc w:val="both"/>
              <w:rPr>
                <w:rFonts w:ascii="Verdana" w:hAnsi="Verdana" w:cs="Verdana"/>
                <w:sz w:val="18"/>
              </w:rPr>
            </w:pPr>
            <w:r>
              <w:rPr>
                <w:rFonts w:cs="Verdana" w:ascii="Verdana" w:hAnsi="Verdana"/>
                <w:sz w:val="18"/>
              </w:rPr>
            </w:r>
          </w:p>
        </w:tc>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r>
      <w:tr>
        <w:trPr>
          <w:trHeight w:val="678" w:hRule="atLeast"/>
        </w:trPr>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i/>
                <w:i/>
                <w:sz w:val="18"/>
              </w:rPr>
            </w:pPr>
            <w:r>
              <w:rPr>
                <w:rFonts w:cs="Verdana" w:ascii="Verdana" w:hAnsi="Verdana"/>
                <w:i/>
                <w:sz w:val="18"/>
              </w:rPr>
            </w:r>
          </w:p>
        </w:tc>
        <w:tc>
          <w:tcPr>
            <w:tcW w:w="3135" w:type="dxa"/>
            <w:tcBorders/>
            <w:shd w:fill="auto" w:val="clear"/>
          </w:tcPr>
          <w:p>
            <w:pPr>
              <w:pStyle w:val="Normal"/>
              <w:snapToGrid w:val="false"/>
              <w:jc w:val="both"/>
              <w:rPr>
                <w:rFonts w:ascii="Verdana" w:hAnsi="Verdana" w:cs="Verdana"/>
                <w:i/>
                <w:i/>
                <w:sz w:val="18"/>
              </w:rPr>
            </w:pPr>
            <w:r>
              <w:rPr>
                <w:rFonts w:cs="Verdana" w:ascii="Verdana" w:hAnsi="Verdana"/>
                <w:i/>
                <w:sz w:val="18"/>
              </w:rPr>
            </w:r>
          </w:p>
        </w:tc>
      </w:tr>
      <w:tr>
        <w:trPr>
          <w:trHeight w:val="87" w:hRule="atLeast"/>
        </w:trPr>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b/>
                <w:b/>
                <w:i/>
                <w:i/>
                <w:sz w:val="18"/>
              </w:rPr>
            </w:pPr>
            <w:r>
              <w:rPr>
                <w:rFonts w:cs="Verdana" w:ascii="Verdana" w:hAnsi="Verdana"/>
                <w:b/>
                <w:i/>
                <w:sz w:val="18"/>
              </w:rPr>
            </w:r>
          </w:p>
        </w:tc>
        <w:tc>
          <w:tcPr>
            <w:tcW w:w="3135" w:type="dxa"/>
            <w:tcBorders/>
            <w:shd w:fill="auto" w:val="clear"/>
          </w:tcPr>
          <w:p>
            <w:pPr>
              <w:pStyle w:val="Normal"/>
              <w:snapToGrid w:val="false"/>
              <w:jc w:val="both"/>
              <w:rPr>
                <w:rFonts w:ascii="Verdana" w:hAnsi="Verdana" w:cs="Verdana"/>
                <w:sz w:val="18"/>
              </w:rPr>
            </w:pPr>
            <w:r>
              <w:rPr>
                <w:rFonts w:cs="Verdana" w:ascii="Verdana" w:hAnsi="Verdana"/>
                <w:sz w:val="18"/>
              </w:rPr>
            </w:r>
          </w:p>
        </w:tc>
      </w:tr>
    </w:tbl>
    <w:p>
      <w:pPr>
        <w:pStyle w:val="Heading1"/>
        <w:numPr>
          <w:ilvl w:val="0"/>
          <w:numId w:val="1"/>
        </w:numPr>
        <w:rPr/>
      </w:pPr>
      <w:r>
        <w:rPr/>
      </w:r>
    </w:p>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Verdana" w:hAnsi="Verdana" w:cs="Verdana"/>
        <w:sz w:val="18"/>
      </w:rPr>
    </w:pPr>
    <w:r>
      <w:rPr>
        <w:rStyle w:val="PageNumber"/>
        <w:rFonts w:cs="Verdana" w:ascii="Verdana" w:hAnsi="Verdana"/>
      </w:rPr>
      <w:tab/>
    </w:r>
    <w:r>
      <w:rPr>
        <w:rStyle w:val="PageNumber"/>
        <w:rFonts w:cs="Verdana" w:ascii="Verdana" w:hAnsi="Verdana"/>
        <w:sz w:val="18"/>
      </w:rPr>
      <w:t xml:space="preserve">Page </w:t>
    </w:r>
    <w:r>
      <w:rPr>
        <w:rStyle w:val="PageNumber"/>
        <w:rFonts w:cs="Verdana" w:ascii="Verdana" w:hAnsi="Verdana"/>
        <w:sz w:val="18"/>
      </w:rPr>
      <w:fldChar w:fldCharType="begin"/>
    </w:r>
    <w:r>
      <w:instrText> PAGE </w:instrText>
    </w:r>
    <w:r>
      <w:fldChar w:fldCharType="separate"/>
    </w:r>
    <w:r>
      <w:t>2</w:t>
    </w:r>
    <w:r>
      <w:fldChar w:fldCharType="end"/>
    </w:r>
    <w:r>
      <w:rPr>
        <w:rStyle w:val="PageNumber"/>
        <w:rFonts w:cs="Verdana" w:ascii="Verdana" w:hAnsi="Verdana"/>
        <w:sz w:val="18"/>
      </w:rPr>
      <w:t xml:space="preserve"> sur 2</w:t>
    </w:r>
  </w:p>
  <w:p>
    <w:pPr>
      <w:pStyle w:val="Footer"/>
      <w:rPr>
        <w:rStyle w:val="PageNumber"/>
        <w:rFonts w:ascii="Verdana" w:hAnsi="Verdana" w:cs="Verdana"/>
        <w:sz w:val="18"/>
      </w:rPr>
    </w:pPr>
    <w:r>
      <w:rPr/>
    </w:r>
  </w:p>
  <w:p>
    <w:pPr>
      <w:pStyle w:val="Footer"/>
      <w:rPr>
        <w:rFonts w:ascii="Verdana" w:hAnsi="Verdana" w:cs="Verdana"/>
        <w:sz w:val="18"/>
      </w:rPr>
    </w:pPr>
    <w:r>
      <w:rPr>
        <w:rFonts w:cs="Verdana" w:ascii="Verdana" w:hAnsi="Verdana"/>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1" w:type="dxa"/>
      <w:jc w:val="left"/>
      <w:tblInd w:w="0" w:type="dxa"/>
      <w:tblBorders/>
      <w:tblCellMar>
        <w:top w:w="0" w:type="dxa"/>
        <w:left w:w="70" w:type="dxa"/>
        <w:bottom w:w="0" w:type="dxa"/>
        <w:right w:w="70" w:type="dxa"/>
      </w:tblCellMar>
    </w:tblPr>
    <w:tblGrid>
      <w:gridCol w:w="2950"/>
      <w:gridCol w:w="1133"/>
      <w:gridCol w:w="5768"/>
    </w:tblGrid>
    <w:tr>
      <w:trPr>
        <w:trHeight w:val="732" w:hRule="atLeast"/>
      </w:trPr>
      <w:tc>
        <w:tcPr>
          <w:tcW w:w="2950" w:type="dxa"/>
          <w:tcBorders/>
          <w:shd w:fill="auto" w:val="clear"/>
        </w:tcPr>
        <w:p>
          <w:pPr>
            <w:pStyle w:val="Header"/>
            <w:tabs>
              <w:tab w:val="center" w:pos="4536" w:leader="none"/>
              <w:tab w:val="right" w:pos="9498" w:leader="none"/>
            </w:tabs>
            <w:ind w:right="-70" w:hanging="0"/>
            <w:rPr/>
          </w:pPr>
          <w:r>
            <w:rPr/>
            <w:drawing>
              <wp:inline distT="0" distB="0" distL="0" distR="0">
                <wp:extent cx="1478915" cy="3898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4" t="-16" r="-4" b="-16"/>
                        <a:stretch>
                          <a:fillRect/>
                        </a:stretch>
                      </pic:blipFill>
                      <pic:spPr bwMode="auto">
                        <a:xfrm>
                          <a:off x="0" y="0"/>
                          <a:ext cx="1478915" cy="389890"/>
                        </a:xfrm>
                        <a:prstGeom prst="rect">
                          <a:avLst/>
                        </a:prstGeom>
                      </pic:spPr>
                    </pic:pic>
                  </a:graphicData>
                </a:graphic>
              </wp:inline>
            </w:drawing>
          </w:r>
        </w:p>
      </w:tc>
      <w:tc>
        <w:tcPr>
          <w:tcW w:w="1133" w:type="dxa"/>
          <w:tcBorders/>
          <w:shd w:fill="auto" w:val="clear"/>
        </w:tcPr>
        <w:p>
          <w:pPr>
            <w:pStyle w:val="Header"/>
            <w:ind w:left="295" w:hanging="0"/>
            <w:rPr>
              <w:rFonts w:ascii="Verdana" w:hAnsi="Verdana" w:eastAsia="Verdana" w:cs="Verdana"/>
              <w:sz w:val="18"/>
            </w:rPr>
          </w:pPr>
          <w:r>
            <w:rPr>
              <w:rFonts w:eastAsia="Verdana" w:cs="Verdana" w:ascii="Verdana" w:hAnsi="Verdana"/>
              <w:sz w:val="18"/>
            </w:rPr>
            <w:t xml:space="preserve">    </w:t>
          </w:r>
        </w:p>
        <w:p>
          <w:pPr>
            <w:pStyle w:val="Header"/>
            <w:ind w:left="-5591" w:hanging="0"/>
            <w:rPr/>
          </w:pPr>
          <w:r>
            <w:rPr/>
            <w:t xml:space="preserve"> </w:t>
          </w:r>
        </w:p>
        <w:p>
          <w:pPr>
            <w:pStyle w:val="Header"/>
            <w:rPr>
              <w:sz w:val="16"/>
              <w:szCs w:val="16"/>
            </w:rPr>
          </w:pPr>
          <w:r>
            <w:rPr/>
            <w:t xml:space="preserve"> </w:t>
          </w:r>
        </w:p>
      </w:tc>
      <w:tc>
        <w:tcPr>
          <w:tcW w:w="5768" w:type="dxa"/>
          <w:tcBorders/>
          <w:shd w:fill="auto" w:val="clear"/>
        </w:tcPr>
        <w:p>
          <w:pPr>
            <w:pStyle w:val="Header"/>
            <w:tabs>
              <w:tab w:val="center" w:pos="5400" w:leader="none"/>
              <w:tab w:val="right" w:pos="9072" w:leader="none"/>
            </w:tabs>
            <w:rPr>
              <w:caps/>
            </w:rPr>
          </w:pPr>
          <w:r>
            <w:rPr>
              <w:rFonts w:cs="Verdana" w:ascii="Verdana" w:hAnsi="Verdana"/>
              <w:caps/>
              <w:sz w:val="16"/>
            </w:rPr>
            <w:t>PROTOCOLE D’ACCORD VALEUR DU POINT 28/06/2022</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8"/>
      <w:numFmt w:val="bullet"/>
      <w:lvlText w:val="-"/>
      <w:lvlJc w:val="left"/>
      <w:pPr>
        <w:tabs>
          <w:tab w:val="num" w:pos="360"/>
        </w:tabs>
        <w:ind w:left="360" w:hanging="360"/>
      </w:pPr>
      <w:rPr>
        <w:rFonts w:ascii="Liberation Serif" w:hAnsi="Liberation Serif" w:cs="Liberation Serif"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rFonts w:ascii="Verdana" w:hAnsi="Verdana" w:cs="Verdana"/>
      <w:b/>
      <w:bCs/>
      <w:sz w:val="18"/>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7">
    <w:name w:val="Heading 7"/>
    <w:basedOn w:val="Normal"/>
    <w:next w:val="Normal"/>
    <w:qFormat/>
    <w:pPr>
      <w:keepNext w:val="true"/>
      <w:numPr>
        <w:ilvl w:val="6"/>
        <w:numId w:val="1"/>
      </w:numPr>
      <w:jc w:val="center"/>
      <w:outlineLvl w:val="6"/>
    </w:pPr>
    <w:rPr>
      <w:b/>
      <w:sz w:val="22"/>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MS Mincho;ＭＳ 明朝"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eastAsia="Times New Roman" w:cs="Arial"/>
    </w:rPr>
  </w:style>
  <w:style w:type="character" w:styleId="WW8Num6z1">
    <w:name w:val="WW8Num6z1"/>
    <w:qFormat/>
    <w:rPr>
      <w:rFonts w:ascii="Symbol" w:hAnsi="Symbol" w:cs="Symbol"/>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St9z0">
    <w:name w:val="WW8NumSt9z0"/>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Texte1">
    <w:name w:val="texte1"/>
    <w:qFormat/>
    <w:rPr>
      <w:rFonts w:ascii="Arial" w:hAnsi="Arial" w:cs="Arial"/>
      <w:b w:val="false"/>
      <w:bCs w:val="false"/>
      <w:color w:val="000000"/>
      <w:sz w:val="17"/>
      <w:szCs w:val="17"/>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Verdana" w:hAnsi="Verdana" w:cs="Verdana"/>
      <w:sz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360" w:hanging="0"/>
      <w:jc w:val="both"/>
    </w:pPr>
    <w:rPr>
      <w:rFonts w:ascii="Verdana" w:hAnsi="Verdana" w:cs="Verdana"/>
      <w:sz w:val="20"/>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etraitcorpsdetexte2">
    <w:name w:val="Retrait corps de texte 2"/>
    <w:basedOn w:val="Normal"/>
    <w:qFormat/>
    <w:pPr>
      <w:ind w:left="360" w:hanging="0"/>
      <w:jc w:val="both"/>
    </w:pPr>
    <w:rPr>
      <w:rFonts w:ascii="Verdana" w:hAnsi="Verdana" w:cs="Verdana"/>
      <w:sz w:val="18"/>
    </w:rPr>
  </w:style>
  <w:style w:type="paragraph" w:styleId="Corpsdetexte2">
    <w:name w:val="Corps de texte 2"/>
    <w:basedOn w:val="Normal"/>
    <w:qFormat/>
    <w:pPr>
      <w:jc w:val="both"/>
    </w:pPr>
    <w:rPr>
      <w:rFonts w:ascii="Verdana" w:hAnsi="Verdana" w:cs="Verdana"/>
      <w:sz w:val="18"/>
    </w:rPr>
  </w:style>
  <w:style w:type="paragraph" w:styleId="Textedebulles">
    <w:name w:val="Texte de bulles"/>
    <w:basedOn w:val="Normal"/>
    <w:qFormat/>
    <w:pPr/>
    <w:rPr>
      <w:rFonts w:ascii="Tahoma" w:hAnsi="Tahoma" w:cs="Tahoma"/>
      <w:sz w:val="16"/>
      <w:szCs w:val="16"/>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jc w:val="both"/>
    </w:pPr>
    <w:rPr>
      <w:rFonts w:ascii="Arial" w:hAnsi="Arial" w:eastAsia="MS Mincho;ＭＳ 明朝" w:cs="Arial"/>
      <w:sz w:val="22"/>
    </w:rPr>
  </w:style>
  <w:style w:type="paragraph" w:styleId="Corpsdetexte3">
    <w:name w:val="Corps de texte 3"/>
    <w:basedOn w:val="Normal"/>
    <w:qFormat/>
    <w:pPr/>
    <w:rPr>
      <w:rFonts w:ascii="Verdana" w:hAnsi="Verdana" w:cs="Verdana"/>
      <w:sz w:val="18"/>
    </w:rPr>
  </w:style>
  <w:style w:type="paragraph" w:styleId="Paragraphedeliste">
    <w:name w:val="Paragraphe de liste"/>
    <w:basedOn w:val="Normal"/>
    <w:qFormat/>
    <w:pPr>
      <w:ind w:left="708" w:hanging="0"/>
    </w:pPr>
    <w:rPr/>
  </w:style>
  <w:style w:type="paragraph" w:styleId="Rvision">
    <w:name w:val="Révision"/>
    <w:qFormat/>
    <w:pPr>
      <w:widowControl/>
    </w:pPr>
    <w:rPr>
      <w:rFonts w:ascii="Times New Roman" w:hAnsi="Times New Roman" w:eastAsia="Times New Roman" w:cs="Times New Roman"/>
      <w:color w:val="auto"/>
      <w:sz w:val="24"/>
      <w:szCs w:val="24"/>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2022-08-18T11:05:00Z</dcterms:created>
  <dc:creator/>
  <dc:description/>
  <dc:language>en-GB</dc:language>
  <cp:lastModifiedBy/>
  <cp:lastPrinted>2020-12-17T10:56:00Z</cp:lastPrinted>
  <dcterms:modified xsi:type="dcterms:W3CDTF">2022-08-18T11:05:00Z</dcterms:modified>
  <cp:revision>2</cp:revision>
  <dc:subject/>
  <dc:title>PROTROCOLE D’ACCORD DE NEGOCIATION ANNUELLE 2003</dc:title>
</cp:coreProperties>
</file>