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customXmlProperties+xml" PartName="/customXml/itemProps6.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290688DB" w14:textId="77777777" w:rsidP="00943A01" w:rsidR="00943A01" w:rsidRDefault="00943A01" w:rsidRPr="00943A01">
      <w:pPr>
        <w:keepNext/>
        <w:keepLines/>
        <w:pBdr>
          <w:top w:color="auto" w:space="1" w:sz="4" w:val="single"/>
          <w:left w:color="auto" w:space="4" w:sz="4" w:val="single"/>
          <w:bottom w:color="auto" w:space="1" w:sz="4" w:val="single"/>
          <w:right w:color="auto" w:space="4" w:sz="4" w:val="single"/>
        </w:pBdr>
        <w:shd w:color="auto" w:fill="D9D9D9" w:val="clear"/>
        <w:spacing w:after="0"/>
        <w:jc w:val="center"/>
        <w:outlineLvl w:val="0"/>
        <w:rPr>
          <w:rFonts w:ascii="Verdana" w:cs="Times New Roman" w:eastAsia="Times New Roman" w:hAnsi="Verdana"/>
          <w:sz w:val="28"/>
          <w:szCs w:val="32"/>
        </w:rPr>
      </w:pPr>
      <w:r w:rsidRPr="00943A01">
        <w:rPr>
          <w:rFonts w:ascii="Verdana" w:cs="Times New Roman" w:eastAsia="Times New Roman" w:hAnsi="Verdana"/>
          <w:sz w:val="28"/>
          <w:szCs w:val="32"/>
        </w:rPr>
        <w:t xml:space="preserve">ACCORD COLLECTIF </w:t>
      </w:r>
    </w:p>
    <w:p w14:paraId="7ABCF57F" w14:textId="77777777" w:rsidP="00943A01" w:rsidR="00943A01" w:rsidRDefault="00943A01" w:rsidRPr="00943A01">
      <w:pPr>
        <w:keepNext/>
        <w:keepLines/>
        <w:pBdr>
          <w:top w:color="auto" w:space="1" w:sz="4" w:val="single"/>
          <w:left w:color="auto" w:space="4" w:sz="4" w:val="single"/>
          <w:bottom w:color="auto" w:space="1" w:sz="4" w:val="single"/>
          <w:right w:color="auto" w:space="4" w:sz="4" w:val="single"/>
        </w:pBdr>
        <w:shd w:color="auto" w:fill="D9D9D9" w:val="clear"/>
        <w:spacing w:after="0"/>
        <w:jc w:val="center"/>
        <w:outlineLvl w:val="0"/>
        <w:rPr>
          <w:rFonts w:ascii="Verdana" w:cs="Times New Roman" w:eastAsia="Times New Roman" w:hAnsi="Verdana"/>
          <w:sz w:val="28"/>
          <w:szCs w:val="32"/>
        </w:rPr>
      </w:pPr>
      <w:r w:rsidRPr="00943A01">
        <w:rPr>
          <w:rFonts w:ascii="Verdana" w:cs="Times New Roman" w:eastAsia="Times New Roman" w:hAnsi="Verdana"/>
          <w:sz w:val="28"/>
          <w:szCs w:val="32"/>
        </w:rPr>
        <w:t>NEGOCIATION ANNUELLE OBLIGATOIRE 202</w:t>
      </w:r>
      <w:r w:rsidRPr="00F109AF">
        <w:rPr>
          <w:rFonts w:ascii="Verdana" w:cs="Times New Roman" w:eastAsia="Times New Roman" w:hAnsi="Verdana"/>
          <w:sz w:val="28"/>
          <w:szCs w:val="32"/>
        </w:rPr>
        <w:t>2</w:t>
      </w:r>
    </w:p>
    <w:p w14:paraId="3E231554" w14:textId="77777777" w:rsidP="00183A10" w:rsidR="00943A01" w:rsidRDefault="00943A01" w:rsidRPr="00F109AF">
      <w:pPr>
        <w:rPr>
          <w:rFonts w:ascii="Verdana" w:hAnsi="Verdana"/>
          <w:b/>
          <w:sz w:val="20"/>
          <w:szCs w:val="20"/>
          <w:u w:val="single"/>
        </w:rPr>
      </w:pPr>
    </w:p>
    <w:p w14:paraId="62F60BA9" w14:textId="77777777" w:rsidP="00183A10" w:rsidR="00681E41" w:rsidRDefault="00681E41" w:rsidRPr="00F109AF">
      <w:pPr>
        <w:rPr>
          <w:rFonts w:ascii="Verdana" w:hAnsi="Verdana"/>
          <w:b/>
          <w:sz w:val="20"/>
          <w:szCs w:val="20"/>
        </w:rPr>
      </w:pPr>
      <w:r w:rsidRPr="00F109AF">
        <w:rPr>
          <w:rFonts w:ascii="Verdana" w:hAnsi="Verdana"/>
          <w:b/>
          <w:sz w:val="20"/>
          <w:szCs w:val="20"/>
        </w:rPr>
        <w:t>ENTRE LES SOUSSIGNES :</w:t>
      </w:r>
    </w:p>
    <w:p w14:paraId="142A2B90" w14:textId="5EBB7931" w:rsidP="00F109AF" w:rsidR="00F109AF" w:rsidRDefault="00A33110">
      <w:pPr>
        <w:spacing w:after="0"/>
        <w:jc w:val="both"/>
        <w:rPr>
          <w:rFonts w:ascii="Verdana" w:cs="Helvetica" w:eastAsia="Times New Roman" w:hAnsi="Verdana"/>
          <w:sz w:val="20"/>
          <w:szCs w:val="20"/>
          <w:bdr w:color="auto" w:frame="1" w:space="0" w:sz="0" w:val="none"/>
          <w:lang w:eastAsia="fr-FR"/>
        </w:rPr>
      </w:pPr>
      <w:r w:rsidRPr="00F109AF">
        <w:rPr>
          <w:rFonts w:ascii="Verdana" w:cs="Helvetica" w:eastAsia="Times New Roman" w:hAnsi="Verdana"/>
          <w:sz w:val="20"/>
          <w:szCs w:val="20"/>
          <w:bdr w:color="auto" w:frame="1" w:space="0" w:sz="0" w:val="none"/>
          <w:lang w:eastAsia="fr-FR"/>
        </w:rPr>
        <w:t>La société </w:t>
      </w:r>
      <w:r w:rsidR="00F109AF">
        <w:rPr>
          <w:rFonts w:ascii="Verdana" w:cs="Helvetica" w:eastAsia="Times New Roman" w:hAnsi="Verdana"/>
          <w:sz w:val="20"/>
          <w:szCs w:val="20"/>
          <w:bdr w:color="auto" w:frame="1" w:space="0" w:sz="0" w:val="none"/>
          <w:lang w:eastAsia="fr-FR"/>
        </w:rPr>
        <w:t>Transdev Var</w:t>
      </w:r>
      <w:r w:rsidRPr="00F109AF">
        <w:rPr>
          <w:rFonts w:ascii="Verdana" w:cs="Helvetica" w:eastAsia="Times New Roman" w:hAnsi="Verdana"/>
          <w:sz w:val="20"/>
          <w:szCs w:val="20"/>
          <w:bdr w:color="auto" w:frame="1" w:space="0" w:sz="0" w:val="none"/>
          <w:lang w:eastAsia="fr-FR"/>
        </w:rPr>
        <w:t xml:space="preserve">, SAS au capital de </w:t>
      </w:r>
      <w:r w:rsidRPr="00F109AF">
        <w:rPr>
          <w:rFonts w:ascii="Verdana" w:cs="Times New Roman" w:hAnsi="Verdana"/>
          <w:sz w:val="20"/>
          <w:szCs w:val="20"/>
        </w:rPr>
        <w:t>694 884,72 euros</w:t>
      </w:r>
      <w:r w:rsidRPr="00F109AF">
        <w:rPr>
          <w:rFonts w:ascii="Verdana" w:cs="Helvetica" w:eastAsia="Times New Roman" w:hAnsi="Verdana"/>
          <w:sz w:val="20"/>
          <w:szCs w:val="20"/>
          <w:bdr w:color="auto" w:frame="1" w:space="0" w:sz="0" w:val="none"/>
          <w:lang w:eastAsia="fr-FR"/>
        </w:rPr>
        <w:t xml:space="preserve">, numéro SIREN </w:t>
      </w:r>
      <w:r w:rsidRPr="00F109AF">
        <w:rPr>
          <w:rFonts w:ascii="Verdana" w:cs="Times New Roman" w:hAnsi="Verdana"/>
          <w:sz w:val="20"/>
          <w:szCs w:val="20"/>
        </w:rPr>
        <w:t xml:space="preserve">483 104 634 </w:t>
      </w:r>
      <w:r w:rsidRPr="00F109AF">
        <w:rPr>
          <w:rFonts w:ascii="Verdana" w:cs="Helvetica" w:eastAsia="Times New Roman" w:hAnsi="Verdana"/>
          <w:sz w:val="20"/>
          <w:szCs w:val="20"/>
          <w:bdr w:color="auto" w:frame="1" w:space="0" w:sz="0" w:val="none"/>
          <w:lang w:eastAsia="fr-FR"/>
        </w:rPr>
        <w:t>immatriculée au Registre du commerce et des sociétés de Toulon, dont le siège social est situé</w:t>
      </w:r>
      <w:r w:rsidR="008A5439">
        <w:rPr>
          <w:rFonts w:ascii="Verdana" w:cs="Helvetica" w:eastAsia="Times New Roman" w:hAnsi="Verdana"/>
          <w:sz w:val="20"/>
          <w:szCs w:val="20"/>
          <w:bdr w:color="auto" w:frame="1" w:space="0" w:sz="0" w:val="none"/>
          <w:lang w:eastAsia="fr-FR"/>
        </w:rPr>
        <w:t xml:space="preserve"> au</w:t>
      </w:r>
      <w:r w:rsidRPr="00F109AF">
        <w:rPr>
          <w:rFonts w:ascii="Verdana" w:cs="Helvetica" w:eastAsia="Times New Roman" w:hAnsi="Verdana"/>
          <w:sz w:val="20"/>
          <w:szCs w:val="20"/>
          <w:bdr w:color="auto" w:frame="1" w:space="0" w:sz="0" w:val="none"/>
          <w:lang w:eastAsia="fr-FR"/>
        </w:rPr>
        <w:t> 290</w:t>
      </w:r>
      <w:r w:rsidR="008A5439">
        <w:rPr>
          <w:rFonts w:ascii="Verdana" w:cs="Helvetica" w:eastAsia="Times New Roman" w:hAnsi="Verdana"/>
          <w:sz w:val="20"/>
          <w:szCs w:val="20"/>
          <w:bdr w:color="auto" w:frame="1" w:space="0" w:sz="0" w:val="none"/>
          <w:lang w:eastAsia="fr-FR"/>
        </w:rPr>
        <w:t>,</w:t>
      </w:r>
      <w:r w:rsidRPr="00F109AF">
        <w:rPr>
          <w:rFonts w:ascii="Verdana" w:cs="Helvetica" w:eastAsia="Times New Roman" w:hAnsi="Verdana"/>
          <w:sz w:val="20"/>
          <w:szCs w:val="20"/>
          <w:bdr w:color="auto" w:frame="1" w:space="0" w:sz="0" w:val="none"/>
          <w:lang w:eastAsia="fr-FR"/>
        </w:rPr>
        <w:t xml:space="preserve"> rue du Docteur LAENNEC – 83210 LA FARLEDE,</w:t>
      </w:r>
    </w:p>
    <w:p w14:paraId="30D5ECA2" w14:textId="459D6D6E" w:rsidP="00F109AF" w:rsidR="00F109AF" w:rsidRDefault="00A33110">
      <w:pPr>
        <w:jc w:val="both"/>
        <w:rPr>
          <w:rFonts w:ascii="Verdana" w:cs="Helvetica" w:eastAsia="Times New Roman" w:hAnsi="Verdana"/>
          <w:sz w:val="20"/>
          <w:szCs w:val="20"/>
          <w:bdr w:color="auto" w:frame="1" w:space="0" w:sz="0" w:val="none"/>
          <w:lang w:eastAsia="fr-FR"/>
        </w:rPr>
      </w:pPr>
      <w:r w:rsidRPr="00F109AF">
        <w:rPr>
          <w:rFonts w:ascii="Verdana" w:cs="Helvetica" w:eastAsia="Times New Roman" w:hAnsi="Verdana"/>
          <w:sz w:val="20"/>
          <w:szCs w:val="20"/>
          <w:bdr w:color="auto" w:frame="1" w:space="0" w:sz="0" w:val="none"/>
          <w:lang w:eastAsia="fr-FR"/>
        </w:rPr>
        <w:t>Représentée par Monsieur agissant en qualité de Directeur de la société</w:t>
      </w:r>
      <w:proofErr w:type="gramStart"/>
      <w:r w:rsidRPr="00F109AF">
        <w:rPr>
          <w:rFonts w:ascii="Verdana" w:cs="Helvetica" w:eastAsia="Times New Roman" w:hAnsi="Verdana"/>
          <w:sz w:val="20"/>
          <w:szCs w:val="20"/>
          <w:bdr w:color="auto" w:frame="1" w:space="0" w:sz="0" w:val="none"/>
          <w:lang w:eastAsia="fr-FR"/>
        </w:rPr>
        <w:t>,</w:t>
      </w:r>
      <w:proofErr w:type="gramEnd"/>
      <w:r w:rsidRPr="00F109AF">
        <w:rPr>
          <w:rFonts w:ascii="Verdana" w:cs="Helvetica" w:eastAsia="Times New Roman" w:hAnsi="Verdana"/>
          <w:sz w:val="20"/>
          <w:szCs w:val="20"/>
          <w:lang w:eastAsia="fr-FR"/>
        </w:rPr>
        <w:br/>
      </w:r>
      <w:r w:rsidRPr="00F109AF">
        <w:rPr>
          <w:rFonts w:ascii="Verdana" w:cs="Helvetica" w:eastAsia="Times New Roman" w:hAnsi="Verdana"/>
          <w:sz w:val="20"/>
          <w:szCs w:val="20"/>
          <w:bdr w:color="auto" w:frame="1" w:space="0" w:sz="0" w:val="none"/>
          <w:lang w:eastAsia="fr-FR"/>
        </w:rPr>
        <w:t>dénommée ci-dessous « L'entreprise » ou « la société »,</w:t>
      </w:r>
    </w:p>
    <w:p w14:paraId="19E3DAF8" w14:textId="77777777" w:rsidP="00183A10" w:rsidR="00681E41" w:rsidRDefault="00681E41" w:rsidRPr="00F109AF">
      <w:pPr>
        <w:rPr>
          <w:rFonts w:ascii="Verdana" w:hAnsi="Verdana"/>
          <w:b/>
          <w:sz w:val="20"/>
          <w:szCs w:val="20"/>
        </w:rPr>
      </w:pPr>
      <w:r w:rsidRPr="00F109AF">
        <w:rPr>
          <w:rFonts w:ascii="Verdana" w:hAnsi="Verdana"/>
          <w:b/>
          <w:sz w:val="20"/>
          <w:szCs w:val="20"/>
        </w:rPr>
        <w:t>D’une part,</w:t>
      </w:r>
    </w:p>
    <w:p w14:paraId="555426F2" w14:textId="77777777" w:rsidP="00A33110" w:rsidR="00F109AF" w:rsidRDefault="00F109AF">
      <w:pPr>
        <w:spacing w:after="0" w:line="240" w:lineRule="auto"/>
        <w:jc w:val="both"/>
        <w:rPr>
          <w:rFonts w:ascii="Verdana" w:cs="Times New Roman" w:eastAsia="Times New Roman" w:hAnsi="Verdana"/>
          <w:sz w:val="20"/>
          <w:szCs w:val="20"/>
          <w:bdr w:color="auto" w:frame="1" w:space="0" w:sz="0" w:val="none"/>
          <w:lang w:eastAsia="fr-FR"/>
        </w:rPr>
      </w:pPr>
    </w:p>
    <w:p w14:paraId="1866FD5D" w14:textId="77777777" w:rsidP="00A33110" w:rsidR="00A33110" w:rsidRDefault="00A33110" w:rsidRPr="00F109AF">
      <w:pPr>
        <w:spacing w:after="0" w:line="240" w:lineRule="auto"/>
        <w:jc w:val="both"/>
        <w:rPr>
          <w:rFonts w:ascii="Verdana" w:cs="Times New Roman" w:eastAsia="Times New Roman" w:hAnsi="Verdana"/>
          <w:sz w:val="20"/>
          <w:szCs w:val="20"/>
          <w:lang w:eastAsia="fr-FR"/>
        </w:rPr>
      </w:pPr>
      <w:r w:rsidRPr="00F109AF">
        <w:rPr>
          <w:rFonts w:ascii="Verdana" w:cs="Times New Roman" w:eastAsia="Times New Roman" w:hAnsi="Verdana"/>
          <w:sz w:val="20"/>
          <w:szCs w:val="20"/>
          <w:bdr w:color="auto" w:frame="1" w:space="0" w:sz="0" w:val="none"/>
          <w:lang w:eastAsia="fr-FR"/>
        </w:rPr>
        <w:t>Les organisations syndicales de salariés représentatives dans l'entreprise :</w:t>
      </w:r>
    </w:p>
    <w:p w14:paraId="42129E65" w14:textId="77777777" w:rsidP="00A33110" w:rsidR="00A33110" w:rsidRDefault="00A33110" w:rsidRPr="00F109AF">
      <w:pPr>
        <w:jc w:val="both"/>
        <w:rPr>
          <w:rFonts w:ascii="Verdana" w:hAnsi="Verdana"/>
          <w:sz w:val="20"/>
          <w:szCs w:val="20"/>
        </w:rPr>
      </w:pPr>
    </w:p>
    <w:p w14:paraId="5F5358B7" w14:textId="437BE18A" w:rsidP="00A33110" w:rsidR="00A33110" w:rsidRDefault="00A33110" w:rsidRPr="00F109AF">
      <w:pPr>
        <w:spacing w:after="120"/>
        <w:jc w:val="both"/>
        <w:rPr>
          <w:rFonts w:ascii="Verdana" w:hAnsi="Verdana"/>
          <w:sz w:val="20"/>
          <w:szCs w:val="20"/>
        </w:rPr>
      </w:pPr>
      <w:r w:rsidRPr="00F109AF">
        <w:rPr>
          <w:rFonts w:ascii="Verdana" w:hAnsi="Verdana"/>
          <w:sz w:val="20"/>
          <w:szCs w:val="20"/>
        </w:rPr>
        <w:t>La CFDT représentée par, Déléguée Syndicale</w:t>
      </w:r>
    </w:p>
    <w:p w14:paraId="1B7F3E06" w14:textId="0288370A" w:rsidP="00A33110" w:rsidR="00A33110" w:rsidRDefault="00A33110" w:rsidRPr="00F109AF">
      <w:pPr>
        <w:spacing w:after="120"/>
        <w:jc w:val="both"/>
        <w:rPr>
          <w:rFonts w:ascii="Verdana" w:hAnsi="Verdana"/>
          <w:sz w:val="20"/>
          <w:szCs w:val="20"/>
        </w:rPr>
      </w:pPr>
      <w:r w:rsidRPr="00F109AF">
        <w:rPr>
          <w:rFonts w:ascii="Verdana" w:hAnsi="Verdana"/>
          <w:sz w:val="20"/>
          <w:szCs w:val="20"/>
        </w:rPr>
        <w:t>La CGT représentée par, Délégué Syndical</w:t>
      </w:r>
    </w:p>
    <w:p w14:paraId="7B7B21FA" w14:textId="3EB42E2F" w:rsidP="00A33110" w:rsidR="00A33110" w:rsidRDefault="00A33110" w:rsidRPr="00F109AF">
      <w:pPr>
        <w:spacing w:after="120"/>
        <w:jc w:val="both"/>
        <w:rPr>
          <w:rFonts w:ascii="Verdana" w:hAnsi="Verdana"/>
          <w:sz w:val="20"/>
          <w:szCs w:val="20"/>
        </w:rPr>
      </w:pPr>
      <w:r w:rsidRPr="00F109AF">
        <w:rPr>
          <w:rFonts w:ascii="Verdana" w:hAnsi="Verdana"/>
          <w:sz w:val="20"/>
          <w:szCs w:val="20"/>
        </w:rPr>
        <w:t>La CFTC représentée par, Délégué Syndical</w:t>
      </w:r>
    </w:p>
    <w:p w14:paraId="3DD35DB2" w14:textId="215C99B8" w:rsidP="00A33110" w:rsidR="00A33110" w:rsidRDefault="00A33110" w:rsidRPr="00F109AF">
      <w:pPr>
        <w:spacing w:after="120"/>
        <w:jc w:val="both"/>
        <w:rPr>
          <w:rFonts w:ascii="Verdana" w:hAnsi="Verdana"/>
          <w:sz w:val="20"/>
          <w:szCs w:val="20"/>
        </w:rPr>
      </w:pPr>
      <w:r w:rsidRPr="00F109AF">
        <w:rPr>
          <w:rFonts w:ascii="Verdana" w:hAnsi="Verdana"/>
          <w:sz w:val="20"/>
          <w:szCs w:val="20"/>
        </w:rPr>
        <w:t>L’UNSA représentée par, Délégué Syndical</w:t>
      </w:r>
    </w:p>
    <w:p w14:paraId="70BE4277" w14:textId="77777777" w:rsidP="00183A10" w:rsidR="00A33110" w:rsidRDefault="00A33110" w:rsidRPr="00F109AF">
      <w:pPr>
        <w:rPr>
          <w:rFonts w:ascii="Verdana" w:hAnsi="Verdana"/>
          <w:b/>
          <w:sz w:val="20"/>
          <w:szCs w:val="20"/>
        </w:rPr>
      </w:pPr>
    </w:p>
    <w:p w14:paraId="4E08B00A" w14:textId="77777777" w:rsidP="00183A10" w:rsidR="00681E41" w:rsidRDefault="00681E41" w:rsidRPr="00F109AF">
      <w:pPr>
        <w:rPr>
          <w:rFonts w:ascii="Verdana" w:hAnsi="Verdana"/>
          <w:b/>
          <w:sz w:val="20"/>
          <w:szCs w:val="20"/>
        </w:rPr>
      </w:pPr>
      <w:r w:rsidRPr="00F109AF">
        <w:rPr>
          <w:rFonts w:ascii="Verdana" w:hAnsi="Verdana"/>
          <w:b/>
          <w:sz w:val="20"/>
          <w:szCs w:val="20"/>
        </w:rPr>
        <w:t>D’autre part.</w:t>
      </w:r>
    </w:p>
    <w:p w14:paraId="3E563D2F" w14:textId="77777777" w:rsidP="00183A10" w:rsidR="00183A10" w:rsidRDefault="00183A10" w:rsidRPr="00F109AF">
      <w:pPr>
        <w:rPr>
          <w:rFonts w:ascii="Verdana" w:hAnsi="Verdana"/>
          <w:b/>
          <w:sz w:val="20"/>
          <w:szCs w:val="20"/>
          <w:u w:val="single"/>
        </w:rPr>
      </w:pPr>
      <w:r w:rsidRPr="00F109AF">
        <w:rPr>
          <w:rFonts w:ascii="Verdana" w:hAnsi="Verdana"/>
          <w:b/>
          <w:sz w:val="20"/>
          <w:szCs w:val="20"/>
          <w:u w:val="single"/>
        </w:rPr>
        <w:t>PREAMBULE</w:t>
      </w:r>
    </w:p>
    <w:p w14:paraId="0D760DD7" w14:textId="77777777" w:rsidP="007A0174" w:rsidR="00183A10" w:rsidRDefault="00183A10" w:rsidRPr="00F109AF">
      <w:pPr>
        <w:jc w:val="both"/>
        <w:rPr>
          <w:rFonts w:ascii="Verdana" w:hAnsi="Verdana"/>
          <w:sz w:val="20"/>
          <w:szCs w:val="20"/>
        </w:rPr>
      </w:pPr>
      <w:r w:rsidRPr="00F109AF">
        <w:rPr>
          <w:rFonts w:ascii="Verdana" w:hAnsi="Verdana"/>
          <w:sz w:val="20"/>
          <w:szCs w:val="20"/>
        </w:rPr>
        <w:t xml:space="preserve">Conformément à l'article L. 2242-1 du Code du travail, les négociations annuelles obligatoires pour l’exercice </w:t>
      </w:r>
      <w:r w:rsidR="00A33110" w:rsidRPr="00F109AF">
        <w:rPr>
          <w:rFonts w:ascii="Verdana" w:hAnsi="Verdana"/>
          <w:sz w:val="20"/>
          <w:szCs w:val="20"/>
        </w:rPr>
        <w:t>2022</w:t>
      </w:r>
      <w:r w:rsidRPr="00F109AF">
        <w:rPr>
          <w:rFonts w:ascii="Verdana" w:hAnsi="Verdana"/>
          <w:sz w:val="20"/>
          <w:szCs w:val="20"/>
        </w:rPr>
        <w:t xml:space="preserve"> ont été engagées au sein de la société </w:t>
      </w:r>
      <w:r w:rsidR="00A33110" w:rsidRPr="00F109AF">
        <w:rPr>
          <w:rFonts w:ascii="Verdana" w:hAnsi="Verdana"/>
          <w:sz w:val="20"/>
          <w:szCs w:val="20"/>
        </w:rPr>
        <w:t>Transdev Var</w:t>
      </w:r>
      <w:r w:rsidR="00E677A6" w:rsidRPr="00F109AF">
        <w:rPr>
          <w:rFonts w:ascii="Verdana" w:hAnsi="Verdana"/>
          <w:sz w:val="20"/>
          <w:szCs w:val="20"/>
        </w:rPr>
        <w:t xml:space="preserve"> </w:t>
      </w:r>
      <w:r w:rsidRPr="00F109AF">
        <w:rPr>
          <w:rFonts w:ascii="Verdana" w:hAnsi="Verdana"/>
          <w:sz w:val="20"/>
          <w:szCs w:val="20"/>
        </w:rPr>
        <w:t>entre la Direction et les Délégués Syndicaux le</w:t>
      </w:r>
      <w:r w:rsidR="00404654" w:rsidRPr="00F109AF">
        <w:rPr>
          <w:rFonts w:ascii="Verdana" w:hAnsi="Verdana"/>
          <w:sz w:val="20"/>
          <w:szCs w:val="20"/>
        </w:rPr>
        <w:t xml:space="preserve"> </w:t>
      </w:r>
      <w:r w:rsidR="00A33110" w:rsidRPr="00F109AF">
        <w:rPr>
          <w:rFonts w:ascii="Verdana" w:hAnsi="Verdana"/>
          <w:sz w:val="20"/>
          <w:szCs w:val="20"/>
        </w:rPr>
        <w:t>15 février 2022.</w:t>
      </w:r>
    </w:p>
    <w:p w14:paraId="04FDBBD0" w14:textId="77777777" w:rsidP="007A0174" w:rsidR="00404654" w:rsidRDefault="00404654" w:rsidRPr="00F109AF">
      <w:pPr>
        <w:jc w:val="both"/>
        <w:rPr>
          <w:rFonts w:ascii="Verdana" w:hAnsi="Verdana"/>
          <w:sz w:val="20"/>
          <w:szCs w:val="20"/>
        </w:rPr>
      </w:pPr>
      <w:r w:rsidRPr="00F109AF">
        <w:rPr>
          <w:rFonts w:ascii="Verdana" w:hAnsi="Verdana"/>
          <w:sz w:val="20"/>
          <w:szCs w:val="20"/>
        </w:rPr>
        <w:t>Les thèmes suivants ont fait l’objet de négociation</w:t>
      </w:r>
      <w:r w:rsidR="00F0615D" w:rsidRPr="00F109AF">
        <w:rPr>
          <w:rFonts w:ascii="Verdana" w:hAnsi="Verdana"/>
          <w:sz w:val="20"/>
          <w:szCs w:val="20"/>
        </w:rPr>
        <w:t>s</w:t>
      </w:r>
      <w:r w:rsidRPr="00F109AF">
        <w:rPr>
          <w:rFonts w:ascii="Verdana" w:hAnsi="Verdana"/>
          <w:sz w:val="20"/>
          <w:szCs w:val="20"/>
        </w:rPr>
        <w:t xml:space="preserve"> : </w:t>
      </w:r>
      <w:r w:rsidR="00F0615D" w:rsidRPr="00F109AF">
        <w:rPr>
          <w:rFonts w:ascii="Verdana" w:hAnsi="Verdana"/>
          <w:sz w:val="20"/>
          <w:szCs w:val="20"/>
        </w:rPr>
        <w:t xml:space="preserve">la rémunération, notamment les salaires effectifs y compris les écarts de rémunération entre les femmes et les hommes, le temps de travail et le partage de la valeur ajoutée dans l’entreprise. </w:t>
      </w:r>
    </w:p>
    <w:p w14:paraId="151AD1B6" w14:textId="73799BC3" w:rsidP="007A0174" w:rsidR="00183A10" w:rsidRDefault="00F0615D" w:rsidRPr="00F109AF">
      <w:pPr>
        <w:jc w:val="both"/>
        <w:rPr>
          <w:rFonts w:ascii="Verdana" w:hAnsi="Verdana"/>
          <w:sz w:val="20"/>
          <w:szCs w:val="20"/>
        </w:rPr>
      </w:pPr>
      <w:r w:rsidRPr="00F109AF">
        <w:rPr>
          <w:rFonts w:ascii="Verdana" w:cstheme="minorHAnsi" w:hAnsi="Verdana"/>
          <w:sz w:val="20"/>
          <w:szCs w:val="20"/>
        </w:rPr>
        <w:t>À</w:t>
      </w:r>
      <w:r w:rsidR="00183A10" w:rsidRPr="00F109AF">
        <w:rPr>
          <w:rFonts w:ascii="Verdana" w:hAnsi="Verdana"/>
          <w:sz w:val="20"/>
          <w:szCs w:val="20"/>
        </w:rPr>
        <w:t xml:space="preserve"> l’issue de plusieurs réunions entre les partenaires, réalisées </w:t>
      </w:r>
      <w:r w:rsidR="00A33110" w:rsidRPr="00F109AF">
        <w:rPr>
          <w:rFonts w:ascii="Verdana" w:hAnsi="Verdana"/>
          <w:sz w:val="20"/>
          <w:szCs w:val="20"/>
        </w:rPr>
        <w:t>les 23 février 2022, 23 mars 2022</w:t>
      </w:r>
      <w:r w:rsidR="008A5439">
        <w:rPr>
          <w:rFonts w:ascii="Verdana" w:hAnsi="Verdana"/>
          <w:sz w:val="20"/>
          <w:szCs w:val="20"/>
        </w:rPr>
        <w:t>,</w:t>
      </w:r>
      <w:r w:rsidR="00A33110" w:rsidRPr="00F109AF">
        <w:rPr>
          <w:rFonts w:ascii="Verdana" w:hAnsi="Verdana"/>
          <w:sz w:val="20"/>
          <w:szCs w:val="20"/>
        </w:rPr>
        <w:t xml:space="preserve"> 06 avril 2022</w:t>
      </w:r>
      <w:r w:rsidR="00375275">
        <w:rPr>
          <w:rFonts w:ascii="Verdana" w:hAnsi="Verdana"/>
          <w:sz w:val="20"/>
          <w:szCs w:val="20"/>
        </w:rPr>
        <w:t>,</w:t>
      </w:r>
      <w:r w:rsidR="008A5439">
        <w:rPr>
          <w:rFonts w:ascii="Verdana" w:hAnsi="Verdana"/>
          <w:sz w:val="20"/>
          <w:szCs w:val="20"/>
        </w:rPr>
        <w:t xml:space="preserve"> le 04 mai 2022</w:t>
      </w:r>
      <w:r w:rsidR="00375275">
        <w:rPr>
          <w:rFonts w:ascii="Verdana" w:hAnsi="Verdana"/>
          <w:sz w:val="20"/>
          <w:szCs w:val="20"/>
        </w:rPr>
        <w:t xml:space="preserve"> et</w:t>
      </w:r>
      <w:r w:rsidR="00521AA1">
        <w:rPr>
          <w:rFonts w:ascii="Verdana" w:hAnsi="Verdana"/>
          <w:sz w:val="20"/>
          <w:szCs w:val="20"/>
        </w:rPr>
        <w:t xml:space="preserve"> 01 juin 2022</w:t>
      </w:r>
      <w:r w:rsidR="00183A10" w:rsidRPr="00F109AF">
        <w:rPr>
          <w:rFonts w:ascii="Verdana" w:hAnsi="Verdana"/>
          <w:sz w:val="20"/>
          <w:szCs w:val="20"/>
        </w:rPr>
        <w:t>, les parties sont parvenues à la signature du présent accord.</w:t>
      </w:r>
    </w:p>
    <w:p w14:paraId="40EC00F8" w14:textId="77777777" w:rsidR="00A33110" w:rsidRDefault="00A33110" w:rsidRPr="00F109AF">
      <w:pPr>
        <w:rPr>
          <w:rFonts w:ascii="Verdana" w:hAnsi="Verdana"/>
          <w:sz w:val="20"/>
          <w:szCs w:val="20"/>
        </w:rPr>
      </w:pPr>
      <w:r w:rsidRPr="00F109AF">
        <w:rPr>
          <w:rFonts w:ascii="Verdana" w:hAnsi="Verdana"/>
          <w:sz w:val="20"/>
          <w:szCs w:val="20"/>
        </w:rPr>
        <w:br w:type="page"/>
      </w:r>
    </w:p>
    <w:p w14:paraId="38EDF95E" w14:textId="77777777" w:rsidP="007A0174" w:rsidR="00A33110" w:rsidRDefault="00A33110" w:rsidRPr="00F109AF">
      <w:pPr>
        <w:jc w:val="both"/>
        <w:rPr>
          <w:rFonts w:ascii="Verdana" w:hAnsi="Verdana"/>
          <w:sz w:val="20"/>
          <w:szCs w:val="20"/>
        </w:rPr>
      </w:pPr>
    </w:p>
    <w:p w14:paraId="1C846BBC" w14:textId="77777777" w:rsidP="007A0174" w:rsidR="00404654" w:rsidRDefault="00404654" w:rsidRPr="00F109AF">
      <w:pPr>
        <w:jc w:val="both"/>
        <w:rPr>
          <w:rFonts w:ascii="Verdana" w:hAnsi="Verdana"/>
          <w:b/>
          <w:sz w:val="20"/>
          <w:szCs w:val="20"/>
          <w:u w:val="single"/>
        </w:rPr>
      </w:pPr>
      <w:r w:rsidRPr="00F109AF">
        <w:rPr>
          <w:rFonts w:ascii="Verdana" w:hAnsi="Verdana"/>
          <w:b/>
          <w:sz w:val="20"/>
          <w:szCs w:val="20"/>
          <w:u w:val="single"/>
        </w:rPr>
        <w:t xml:space="preserve">Article 1 – </w:t>
      </w:r>
      <w:r w:rsidR="00A33110" w:rsidRPr="00F109AF">
        <w:rPr>
          <w:rFonts w:ascii="Verdana" w:hAnsi="Verdana"/>
          <w:b/>
          <w:sz w:val="20"/>
          <w:szCs w:val="20"/>
          <w:u w:val="single"/>
        </w:rPr>
        <w:t>Champs d’application de l’accord</w:t>
      </w:r>
    </w:p>
    <w:p w14:paraId="1F25C3F2" w14:textId="77777777" w:rsidP="00A33110" w:rsidR="00A33110" w:rsidRDefault="00A33110" w:rsidRPr="00F109AF">
      <w:pPr>
        <w:jc w:val="both"/>
        <w:rPr>
          <w:rFonts w:ascii="Verdana" w:hAnsi="Verdana"/>
          <w:bCs/>
          <w:sz w:val="20"/>
          <w:szCs w:val="20"/>
        </w:rPr>
      </w:pPr>
      <w:r w:rsidRPr="00F109AF">
        <w:rPr>
          <w:rFonts w:ascii="Verdana" w:hAnsi="Verdana"/>
          <w:bCs/>
          <w:sz w:val="20"/>
          <w:szCs w:val="20"/>
        </w:rPr>
        <w:t>Le présent accord s’applique au personnel Ouvrier (Conduite et hors conduite) et Employé, hors apprentis et salariés sous contrat de professionnalisation, de la société Transdev Var.</w:t>
      </w:r>
    </w:p>
    <w:p w14:paraId="06DADAAF" w14:textId="77777777" w:rsidP="00A33110" w:rsidR="00A33110" w:rsidRDefault="00A33110" w:rsidRPr="00F109AF">
      <w:pPr>
        <w:jc w:val="both"/>
        <w:rPr>
          <w:rFonts w:ascii="Verdana" w:hAnsi="Verdana"/>
          <w:b/>
          <w:sz w:val="20"/>
          <w:szCs w:val="20"/>
          <w:u w:val="single"/>
        </w:rPr>
      </w:pPr>
      <w:r w:rsidRPr="00F109AF">
        <w:rPr>
          <w:rFonts w:ascii="Verdana" w:hAnsi="Verdana"/>
          <w:b/>
          <w:sz w:val="20"/>
          <w:szCs w:val="20"/>
          <w:u w:val="single"/>
        </w:rPr>
        <w:t>Article 2 – Salaires effectifs</w:t>
      </w:r>
    </w:p>
    <w:p w14:paraId="15040ECB" w14:textId="7923BDC9" w:rsidP="00A33110" w:rsidR="00A33110" w:rsidRDefault="00A33110" w:rsidRPr="00CD6260">
      <w:pPr>
        <w:jc w:val="both"/>
        <w:rPr>
          <w:rFonts w:ascii="Verdana" w:hAnsi="Verdana"/>
          <w:bCs/>
          <w:sz w:val="20"/>
          <w:szCs w:val="20"/>
        </w:rPr>
      </w:pPr>
      <w:r w:rsidRPr="00F109AF">
        <w:rPr>
          <w:rFonts w:ascii="Verdana" w:hAnsi="Verdana"/>
          <w:sz w:val="20"/>
          <w:szCs w:val="20"/>
        </w:rPr>
        <w:t xml:space="preserve">Il est convenu que le taux horaire brut Transdev Var des salariés des catégories Ouvrier (Conduite et hors Conduite) et Employé, hors </w:t>
      </w:r>
      <w:r w:rsidRPr="00F109AF">
        <w:rPr>
          <w:rFonts w:ascii="Verdana" w:hAnsi="Verdana"/>
          <w:bCs/>
          <w:sz w:val="20"/>
          <w:szCs w:val="20"/>
        </w:rPr>
        <w:t xml:space="preserve">apprentis et salariés sous contrat de professionnalisation, est augmenté de 3% à compter </w:t>
      </w:r>
      <w:r w:rsidRPr="00CD6260">
        <w:rPr>
          <w:rFonts w:ascii="Verdana" w:hAnsi="Verdana"/>
          <w:bCs/>
          <w:sz w:val="20"/>
          <w:szCs w:val="20"/>
        </w:rPr>
        <w:t xml:space="preserve">du 01 </w:t>
      </w:r>
      <w:r w:rsidR="00BF5E3B" w:rsidRPr="00CD6260">
        <w:rPr>
          <w:rFonts w:ascii="Verdana" w:hAnsi="Verdana"/>
          <w:bCs/>
          <w:sz w:val="20"/>
          <w:szCs w:val="20"/>
        </w:rPr>
        <w:t>janvier</w:t>
      </w:r>
      <w:r w:rsidRPr="00CD6260">
        <w:rPr>
          <w:rFonts w:ascii="Verdana" w:hAnsi="Verdana"/>
          <w:bCs/>
          <w:sz w:val="20"/>
          <w:szCs w:val="20"/>
        </w:rPr>
        <w:t xml:space="preserve"> 2022. </w:t>
      </w:r>
    </w:p>
    <w:p w14:paraId="57B84375" w14:textId="77777777" w:rsidP="00A33110" w:rsidR="00A33110" w:rsidRDefault="00A33110" w:rsidRPr="00CD6260">
      <w:pPr>
        <w:jc w:val="both"/>
        <w:rPr>
          <w:rFonts w:ascii="Verdana" w:hAnsi="Verdana"/>
          <w:bCs/>
          <w:sz w:val="20"/>
          <w:szCs w:val="20"/>
        </w:rPr>
      </w:pPr>
      <w:r w:rsidRPr="00CD6260">
        <w:rPr>
          <w:rFonts w:ascii="Verdana" w:hAnsi="Verdana"/>
          <w:bCs/>
          <w:sz w:val="20"/>
          <w:szCs w:val="20"/>
        </w:rPr>
        <w:t xml:space="preserve">Par conséquent, le taux horaire brut de base du personnel de Conduite est modifié comme suit : </w:t>
      </w:r>
    </w:p>
    <w:p w14:paraId="5300C4CE" w14:textId="77777777" w:rsidP="000B5B6E" w:rsidR="000B5B6E" w:rsidRDefault="000B5B6E" w:rsidRPr="00CD6260">
      <w:pPr>
        <w:pStyle w:val="Paragraphedeliste"/>
        <w:numPr>
          <w:ilvl w:val="0"/>
          <w:numId w:val="1"/>
        </w:numPr>
        <w:jc w:val="both"/>
        <w:rPr>
          <w:rFonts w:ascii="Verdana" w:hAnsi="Verdana"/>
          <w:bCs/>
          <w:sz w:val="20"/>
          <w:szCs w:val="20"/>
        </w:rPr>
      </w:pPr>
      <w:r w:rsidRPr="00CD6260">
        <w:rPr>
          <w:rFonts w:ascii="Verdana" w:hAnsi="Verdana"/>
          <w:bCs/>
          <w:sz w:val="20"/>
          <w:szCs w:val="20"/>
        </w:rPr>
        <w:t>140V : 11,5099 €</w:t>
      </w:r>
    </w:p>
    <w:p w14:paraId="5F8B02DA" w14:textId="77777777" w:rsidP="000B5B6E" w:rsidR="000B5B6E" w:rsidRDefault="000B5B6E" w:rsidRPr="00CD6260">
      <w:pPr>
        <w:pStyle w:val="Paragraphedeliste"/>
        <w:numPr>
          <w:ilvl w:val="0"/>
          <w:numId w:val="1"/>
        </w:numPr>
        <w:jc w:val="both"/>
        <w:rPr>
          <w:rFonts w:ascii="Verdana" w:hAnsi="Verdana"/>
          <w:bCs/>
          <w:sz w:val="20"/>
          <w:szCs w:val="20"/>
        </w:rPr>
      </w:pPr>
      <w:r w:rsidRPr="00CD6260">
        <w:rPr>
          <w:rFonts w:ascii="Verdana" w:hAnsi="Verdana"/>
          <w:bCs/>
          <w:sz w:val="20"/>
          <w:szCs w:val="20"/>
        </w:rPr>
        <w:t>145V : 11,6136 €</w:t>
      </w:r>
    </w:p>
    <w:p w14:paraId="72F9543C" w14:textId="77777777" w:rsidP="00A33110" w:rsidR="00A33110" w:rsidRDefault="00A33110" w:rsidRPr="00CD6260">
      <w:pPr>
        <w:pStyle w:val="Paragraphedeliste"/>
        <w:numPr>
          <w:ilvl w:val="0"/>
          <w:numId w:val="1"/>
        </w:numPr>
        <w:jc w:val="both"/>
        <w:rPr>
          <w:rFonts w:ascii="Verdana" w:hAnsi="Verdana"/>
          <w:bCs/>
          <w:sz w:val="20"/>
          <w:szCs w:val="20"/>
        </w:rPr>
      </w:pPr>
      <w:r w:rsidRPr="00CD6260">
        <w:rPr>
          <w:rFonts w:ascii="Verdana" w:hAnsi="Verdana"/>
          <w:bCs/>
          <w:sz w:val="20"/>
          <w:szCs w:val="20"/>
        </w:rPr>
        <w:t xml:space="preserve">150V : </w:t>
      </w:r>
      <w:r w:rsidR="000B5B6E" w:rsidRPr="00CD6260">
        <w:rPr>
          <w:rFonts w:ascii="Verdana" w:hAnsi="Verdana"/>
          <w:bCs/>
          <w:sz w:val="20"/>
          <w:szCs w:val="20"/>
        </w:rPr>
        <w:t xml:space="preserve">11,8241 </w:t>
      </w:r>
      <w:r w:rsidRPr="00CD6260">
        <w:rPr>
          <w:rFonts w:ascii="Verdana" w:hAnsi="Verdana"/>
          <w:bCs/>
          <w:sz w:val="20"/>
          <w:szCs w:val="20"/>
        </w:rPr>
        <w:t>€</w:t>
      </w:r>
    </w:p>
    <w:p w14:paraId="3B9EBF13" w14:textId="7FAE7B9D" w:rsidP="00A33110" w:rsidR="00A33110" w:rsidRDefault="00A33110" w:rsidRPr="00CD6260">
      <w:pPr>
        <w:jc w:val="both"/>
        <w:rPr>
          <w:rFonts w:ascii="Verdana" w:hAnsi="Verdana"/>
          <w:bCs/>
          <w:sz w:val="20"/>
          <w:szCs w:val="20"/>
        </w:rPr>
      </w:pPr>
      <w:r w:rsidRPr="00CD6260">
        <w:rPr>
          <w:rFonts w:ascii="Verdana" w:hAnsi="Verdana"/>
          <w:bCs/>
          <w:sz w:val="20"/>
          <w:szCs w:val="20"/>
        </w:rPr>
        <w:t xml:space="preserve">Par ailleurs, au regard de cette augmentation, la grille de salaires applicable au personnel de Conduite à compter du </w:t>
      </w:r>
      <w:r w:rsidR="000B5B6E" w:rsidRPr="00CD6260">
        <w:rPr>
          <w:rFonts w:ascii="Verdana" w:hAnsi="Verdana"/>
          <w:bCs/>
          <w:sz w:val="20"/>
          <w:szCs w:val="20"/>
        </w:rPr>
        <w:t>01</w:t>
      </w:r>
      <w:r w:rsidRPr="00CD6260">
        <w:rPr>
          <w:rFonts w:ascii="Verdana" w:hAnsi="Verdana"/>
          <w:bCs/>
          <w:sz w:val="20"/>
          <w:szCs w:val="20"/>
        </w:rPr>
        <w:t xml:space="preserve"> janvier 202</w:t>
      </w:r>
      <w:r w:rsidR="000B5B6E" w:rsidRPr="00CD6260">
        <w:rPr>
          <w:rFonts w:ascii="Verdana" w:hAnsi="Verdana"/>
          <w:bCs/>
          <w:sz w:val="20"/>
          <w:szCs w:val="20"/>
        </w:rPr>
        <w:t>2</w:t>
      </w:r>
      <w:r w:rsidRPr="00CD6260">
        <w:rPr>
          <w:rFonts w:ascii="Verdana" w:hAnsi="Verdana"/>
          <w:bCs/>
          <w:sz w:val="20"/>
          <w:szCs w:val="20"/>
        </w:rPr>
        <w:t xml:space="preserve"> est la suivante : </w:t>
      </w:r>
    </w:p>
    <w:tbl>
      <w:tblPr>
        <w:tblW w:type="dxa" w:w="9320"/>
        <w:tblCellMar>
          <w:left w:type="dxa" w:w="70"/>
          <w:right w:type="dxa" w:w="70"/>
        </w:tblCellMar>
        <w:tblLook w:firstColumn="1" w:firstRow="1" w:lastColumn="0" w:lastRow="0" w:noHBand="0" w:noVBand="1" w:val="04A0"/>
      </w:tblPr>
      <w:tblGrid>
        <w:gridCol w:w="932"/>
        <w:gridCol w:w="932"/>
        <w:gridCol w:w="932"/>
        <w:gridCol w:w="932"/>
        <w:gridCol w:w="932"/>
        <w:gridCol w:w="932"/>
        <w:gridCol w:w="932"/>
        <w:gridCol w:w="932"/>
        <w:gridCol w:w="932"/>
        <w:gridCol w:w="932"/>
      </w:tblGrid>
      <w:tr w14:paraId="05DC3311" w14:textId="77777777" w:rsidR="001042E3" w:rsidRPr="00CD6260" w:rsidTr="00781E8B">
        <w:trPr>
          <w:trHeight w:val="270"/>
        </w:trPr>
        <w:tc>
          <w:tcPr>
            <w:tcW w:type="dxa" w:w="932"/>
            <w:tcBorders>
              <w:top w:val="nil"/>
              <w:left w:val="nil"/>
              <w:bottom w:val="nil"/>
              <w:right w:val="nil"/>
            </w:tcBorders>
            <w:shd w:color="auto" w:fill="auto" w:val="clear"/>
            <w:noWrap/>
            <w:vAlign w:val="center"/>
          </w:tcPr>
          <w:p w14:paraId="54150807" w14:textId="77777777" w:rsidP="000B5B6E" w:rsidR="001042E3" w:rsidRDefault="001042E3" w:rsidRPr="00CD6260">
            <w:pPr>
              <w:spacing w:after="0" w:line="240" w:lineRule="auto"/>
              <w:rPr>
                <w:rFonts w:ascii="Verdana" w:cs="Times New Roman" w:eastAsia="Times New Roman" w:hAnsi="Verdana"/>
                <w:sz w:val="24"/>
                <w:szCs w:val="24"/>
                <w:lang w:eastAsia="fr-FR"/>
              </w:rPr>
            </w:pPr>
          </w:p>
        </w:tc>
        <w:tc>
          <w:tcPr>
            <w:tcW w:type="dxa" w:w="8388"/>
            <w:gridSpan w:val="9"/>
            <w:tcBorders>
              <w:top w:color="auto" w:space="0" w:sz="4" w:val="single"/>
              <w:left w:color="auto" w:space="0" w:sz="4" w:val="single"/>
              <w:bottom w:color="auto" w:space="0" w:sz="4" w:val="single"/>
              <w:right w:color="auto" w:space="0" w:sz="4" w:val="single"/>
            </w:tcBorders>
            <w:shd w:color="auto" w:fill="auto" w:val="clear"/>
            <w:noWrap/>
            <w:vAlign w:val="center"/>
          </w:tcPr>
          <w:p w14:paraId="45E1E35D" w14:textId="77777777" w:rsidP="000B5B6E" w:rsidR="001042E3" w:rsidRDefault="001042E3"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Ancienneté (en années)</w:t>
            </w:r>
          </w:p>
        </w:tc>
      </w:tr>
      <w:tr w14:paraId="39CEB921" w14:textId="77777777" w:rsidR="000B5B6E" w:rsidRPr="00CD6260" w:rsidTr="001042E3">
        <w:trPr>
          <w:trHeight w:val="270"/>
        </w:trPr>
        <w:tc>
          <w:tcPr>
            <w:tcW w:type="dxa" w:w="932"/>
            <w:tcBorders>
              <w:top w:val="nil"/>
              <w:left w:val="nil"/>
              <w:bottom w:val="nil"/>
              <w:right w:val="nil"/>
            </w:tcBorders>
            <w:shd w:color="auto" w:fill="auto" w:val="clear"/>
            <w:noWrap/>
            <w:vAlign w:val="center"/>
            <w:hideMark/>
          </w:tcPr>
          <w:p w14:paraId="6B9FC334" w14:textId="77777777" w:rsidP="000B5B6E" w:rsidR="000B5B6E" w:rsidRDefault="000B5B6E" w:rsidRPr="00CD6260">
            <w:pPr>
              <w:spacing w:after="0" w:line="240" w:lineRule="auto"/>
              <w:rPr>
                <w:rFonts w:ascii="Verdana" w:cs="Times New Roman" w:eastAsia="Times New Roman" w:hAnsi="Verdana"/>
                <w:sz w:val="24"/>
                <w:szCs w:val="24"/>
                <w:lang w:eastAsia="fr-FR"/>
              </w:rPr>
            </w:pPr>
          </w:p>
        </w:tc>
        <w:tc>
          <w:tcPr>
            <w:tcW w:type="dxa" w:w="932"/>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6B108C49"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0</w:t>
            </w:r>
            <w:r w:rsidR="001042E3" w:rsidRPr="00CD6260">
              <w:rPr>
                <w:rFonts w:ascii="Verdana" w:cs="Calibri" w:eastAsia="Times New Roman" w:hAnsi="Verdana"/>
                <w:i/>
                <w:iCs/>
                <w:color w:val="333333"/>
                <w:sz w:val="16"/>
                <w:szCs w:val="16"/>
                <w:lang w:eastAsia="fr-FR"/>
              </w:rPr>
              <w:t>*</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74E2CA06"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w:t>
            </w:r>
            <w:r w:rsidR="001042E3" w:rsidRPr="00CD6260">
              <w:rPr>
                <w:rFonts w:ascii="Verdana" w:cs="Calibri" w:eastAsia="Times New Roman" w:hAnsi="Verdana"/>
                <w:i/>
                <w:iCs/>
                <w:color w:val="333333"/>
                <w:sz w:val="16"/>
                <w:szCs w:val="16"/>
                <w:lang w:eastAsia="fr-FR"/>
              </w:rPr>
              <w:t>*</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3B6D2B9C"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2</w:t>
            </w:r>
            <w:r w:rsidR="001042E3" w:rsidRPr="00CD6260">
              <w:rPr>
                <w:rFonts w:ascii="Verdana" w:cs="Calibri" w:eastAsia="Times New Roman" w:hAnsi="Verdana"/>
                <w:i/>
                <w:iCs/>
                <w:color w:val="333333"/>
                <w:sz w:val="16"/>
                <w:szCs w:val="16"/>
                <w:lang w:eastAsia="fr-FR"/>
              </w:rPr>
              <w:t>*</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662EDB02"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5</w:t>
            </w:r>
            <w:r w:rsidR="001042E3" w:rsidRPr="00CD6260">
              <w:rPr>
                <w:rFonts w:ascii="Verdana" w:cs="Calibri" w:eastAsia="Times New Roman" w:hAnsi="Verdana"/>
                <w:i/>
                <w:iCs/>
                <w:color w:val="333333"/>
                <w:sz w:val="16"/>
                <w:szCs w:val="16"/>
                <w:lang w:eastAsia="fr-FR"/>
              </w:rPr>
              <w:t>*</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2E94C5AD"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10</w:t>
            </w:r>
            <w:r w:rsidR="001042E3" w:rsidRPr="00CD6260">
              <w:rPr>
                <w:rFonts w:ascii="Verdana" w:cs="Calibri" w:eastAsia="Times New Roman" w:hAnsi="Verdana"/>
                <w:i/>
                <w:iCs/>
                <w:color w:val="333333"/>
                <w:sz w:val="16"/>
                <w:szCs w:val="16"/>
                <w:lang w:eastAsia="fr-FR"/>
              </w:rPr>
              <w:t>*</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1C70518C"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15</w:t>
            </w:r>
            <w:r w:rsidR="001042E3" w:rsidRPr="00CD6260">
              <w:rPr>
                <w:rFonts w:ascii="Verdana" w:cs="Calibri" w:eastAsia="Times New Roman" w:hAnsi="Verdana"/>
                <w:i/>
                <w:iCs/>
                <w:color w:val="333333"/>
                <w:sz w:val="16"/>
                <w:szCs w:val="16"/>
                <w:lang w:eastAsia="fr-FR"/>
              </w:rPr>
              <w:t>*</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1BF51737"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20</w:t>
            </w:r>
            <w:r w:rsidR="001042E3" w:rsidRPr="00CD6260">
              <w:rPr>
                <w:rFonts w:ascii="Verdana" w:cs="Calibri" w:eastAsia="Times New Roman" w:hAnsi="Verdana"/>
                <w:i/>
                <w:iCs/>
                <w:color w:val="333333"/>
                <w:sz w:val="16"/>
                <w:szCs w:val="16"/>
                <w:lang w:eastAsia="fr-FR"/>
              </w:rPr>
              <w:t>*</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24886B07"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25</w:t>
            </w:r>
            <w:r w:rsidR="001042E3" w:rsidRPr="00CD6260">
              <w:rPr>
                <w:rFonts w:ascii="Verdana" w:cs="Calibri" w:eastAsia="Times New Roman" w:hAnsi="Verdana"/>
                <w:i/>
                <w:iCs/>
                <w:color w:val="333333"/>
                <w:sz w:val="16"/>
                <w:szCs w:val="16"/>
                <w:lang w:eastAsia="fr-FR"/>
              </w:rPr>
              <w:t>*</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207EC16A"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30</w:t>
            </w:r>
            <w:r w:rsidR="001042E3" w:rsidRPr="00CD6260">
              <w:rPr>
                <w:rFonts w:ascii="Verdana" w:cs="Calibri" w:eastAsia="Times New Roman" w:hAnsi="Verdana"/>
                <w:i/>
                <w:iCs/>
                <w:color w:val="333333"/>
                <w:sz w:val="16"/>
                <w:szCs w:val="16"/>
                <w:lang w:eastAsia="fr-FR"/>
              </w:rPr>
              <w:t>*</w:t>
            </w:r>
          </w:p>
        </w:tc>
      </w:tr>
      <w:tr w14:paraId="5C8C7103" w14:textId="77777777" w:rsidR="000B5B6E" w:rsidRPr="00CD6260" w:rsidTr="001042E3">
        <w:trPr>
          <w:trHeight w:val="270"/>
        </w:trPr>
        <w:tc>
          <w:tcPr>
            <w:tcW w:type="dxa" w:w="932"/>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4AA0F49D"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140V</w:t>
            </w:r>
          </w:p>
        </w:tc>
        <w:tc>
          <w:tcPr>
            <w:tcW w:type="dxa" w:w="932"/>
            <w:tcBorders>
              <w:top w:val="nil"/>
              <w:left w:val="nil"/>
              <w:bottom w:color="auto" w:space="0" w:sz="4" w:val="single"/>
              <w:right w:color="auto" w:space="0" w:sz="4" w:val="single"/>
            </w:tcBorders>
            <w:shd w:color="auto" w:fill="auto" w:val="clear"/>
            <w:noWrap/>
            <w:vAlign w:val="center"/>
            <w:hideMark/>
          </w:tcPr>
          <w:p w14:paraId="1BD50BC5"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11,5099</w:t>
            </w:r>
          </w:p>
        </w:tc>
        <w:tc>
          <w:tcPr>
            <w:tcW w:type="dxa" w:w="932"/>
            <w:tcBorders>
              <w:top w:val="nil"/>
              <w:left w:val="nil"/>
              <w:bottom w:color="auto" w:space="0" w:sz="4" w:val="single"/>
              <w:right w:color="auto" w:space="0" w:sz="4" w:val="single"/>
            </w:tcBorders>
            <w:shd w:color="auto" w:fill="auto" w:val="clear"/>
            <w:noWrap/>
            <w:vAlign w:val="center"/>
            <w:hideMark/>
          </w:tcPr>
          <w:p w14:paraId="57314B26"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11,5099</w:t>
            </w:r>
          </w:p>
        </w:tc>
        <w:tc>
          <w:tcPr>
            <w:tcW w:type="dxa" w:w="932"/>
            <w:tcBorders>
              <w:top w:val="nil"/>
              <w:left w:val="nil"/>
              <w:bottom w:color="auto" w:space="0" w:sz="4" w:val="single"/>
              <w:right w:color="auto" w:space="0" w:sz="4" w:val="single"/>
            </w:tcBorders>
            <w:shd w:color="auto" w:fill="auto" w:val="clear"/>
            <w:noWrap/>
            <w:vAlign w:val="center"/>
            <w:hideMark/>
          </w:tcPr>
          <w:p w14:paraId="191CCEB1"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11,7402</w:t>
            </w:r>
          </w:p>
        </w:tc>
        <w:tc>
          <w:tcPr>
            <w:tcW w:type="dxa" w:w="932"/>
            <w:tcBorders>
              <w:top w:val="nil"/>
              <w:left w:val="nil"/>
              <w:bottom w:color="auto" w:space="0" w:sz="4" w:val="single"/>
              <w:right w:color="auto" w:space="0" w:sz="4" w:val="single"/>
            </w:tcBorders>
            <w:shd w:color="auto" w:fill="auto" w:val="clear"/>
            <w:noWrap/>
            <w:vAlign w:val="center"/>
            <w:hideMark/>
          </w:tcPr>
          <w:p w14:paraId="013226A2"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11,9705</w:t>
            </w:r>
          </w:p>
        </w:tc>
        <w:tc>
          <w:tcPr>
            <w:tcW w:type="dxa" w:w="932"/>
            <w:tcBorders>
              <w:top w:val="nil"/>
              <w:left w:val="nil"/>
              <w:bottom w:color="auto" w:space="0" w:sz="4" w:val="single"/>
              <w:right w:color="auto" w:space="0" w:sz="4" w:val="single"/>
            </w:tcBorders>
            <w:shd w:color="auto" w:fill="auto" w:val="clear"/>
            <w:noWrap/>
            <w:vAlign w:val="center"/>
            <w:hideMark/>
          </w:tcPr>
          <w:p w14:paraId="7C00CF84"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12,2006</w:t>
            </w:r>
          </w:p>
        </w:tc>
        <w:tc>
          <w:tcPr>
            <w:tcW w:type="dxa" w:w="932"/>
            <w:tcBorders>
              <w:top w:val="nil"/>
              <w:left w:val="nil"/>
              <w:bottom w:color="auto" w:space="0" w:sz="4" w:val="single"/>
              <w:right w:color="auto" w:space="0" w:sz="4" w:val="single"/>
            </w:tcBorders>
            <w:shd w:color="auto" w:fill="auto" w:val="clear"/>
            <w:noWrap/>
            <w:vAlign w:val="center"/>
            <w:hideMark/>
          </w:tcPr>
          <w:p w14:paraId="462603C6"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12,4308</w:t>
            </w:r>
          </w:p>
        </w:tc>
        <w:tc>
          <w:tcPr>
            <w:tcW w:type="dxa" w:w="932"/>
            <w:tcBorders>
              <w:top w:val="nil"/>
              <w:left w:val="nil"/>
              <w:bottom w:color="auto" w:space="0" w:sz="4" w:val="single"/>
              <w:right w:color="auto" w:space="0" w:sz="4" w:val="single"/>
            </w:tcBorders>
            <w:shd w:color="auto" w:fill="auto" w:val="clear"/>
            <w:noWrap/>
            <w:vAlign w:val="center"/>
            <w:hideMark/>
          </w:tcPr>
          <w:p w14:paraId="3B6B9BDF"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12,8281</w:t>
            </w:r>
          </w:p>
        </w:tc>
        <w:tc>
          <w:tcPr>
            <w:tcW w:type="dxa" w:w="932"/>
            <w:tcBorders>
              <w:top w:val="nil"/>
              <w:left w:val="nil"/>
              <w:bottom w:color="auto" w:space="0" w:sz="4" w:val="single"/>
              <w:right w:color="auto" w:space="0" w:sz="4" w:val="single"/>
            </w:tcBorders>
            <w:shd w:color="auto" w:fill="auto" w:val="clear"/>
            <w:noWrap/>
            <w:vAlign w:val="center"/>
            <w:hideMark/>
          </w:tcPr>
          <w:p w14:paraId="2A4784CB"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13,1657</w:t>
            </w:r>
          </w:p>
        </w:tc>
        <w:tc>
          <w:tcPr>
            <w:tcW w:type="dxa" w:w="932"/>
            <w:tcBorders>
              <w:top w:val="nil"/>
              <w:left w:val="nil"/>
              <w:bottom w:color="auto" w:space="0" w:sz="4" w:val="single"/>
              <w:right w:color="auto" w:space="0" w:sz="4" w:val="single"/>
            </w:tcBorders>
            <w:shd w:color="auto" w:fill="auto" w:val="clear"/>
            <w:noWrap/>
            <w:vAlign w:val="center"/>
            <w:hideMark/>
          </w:tcPr>
          <w:p w14:paraId="14BE1DDD"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13,5033</w:t>
            </w:r>
          </w:p>
        </w:tc>
      </w:tr>
      <w:tr w14:paraId="0F7AB1A3" w14:textId="77777777" w:rsidR="000B5B6E" w:rsidRPr="00CD6260" w:rsidTr="001042E3">
        <w:trPr>
          <w:trHeight w:val="270"/>
        </w:trPr>
        <w:tc>
          <w:tcPr>
            <w:tcW w:type="dxa" w:w="932"/>
            <w:tcBorders>
              <w:top w:val="nil"/>
              <w:left w:color="auto" w:space="0" w:sz="4" w:val="single"/>
              <w:bottom w:val="nil"/>
              <w:right w:color="auto" w:space="0" w:sz="4" w:val="single"/>
            </w:tcBorders>
            <w:shd w:color="auto" w:fill="auto" w:val="clear"/>
            <w:noWrap/>
            <w:vAlign w:val="center"/>
            <w:hideMark/>
          </w:tcPr>
          <w:p w14:paraId="12D8761B"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145V</w:t>
            </w:r>
          </w:p>
        </w:tc>
        <w:tc>
          <w:tcPr>
            <w:tcW w:type="dxa" w:w="932"/>
            <w:tcBorders>
              <w:top w:val="nil"/>
              <w:left w:val="nil"/>
              <w:bottom w:val="nil"/>
              <w:right w:color="auto" w:space="0" w:sz="4" w:val="single"/>
            </w:tcBorders>
            <w:shd w:color="auto" w:fill="auto" w:val="clear"/>
            <w:noWrap/>
            <w:vAlign w:val="center"/>
            <w:hideMark/>
          </w:tcPr>
          <w:p w14:paraId="1537A082"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11,6136</w:t>
            </w:r>
          </w:p>
        </w:tc>
        <w:tc>
          <w:tcPr>
            <w:tcW w:type="dxa" w:w="932"/>
            <w:tcBorders>
              <w:top w:val="nil"/>
              <w:left w:val="nil"/>
              <w:bottom w:val="nil"/>
              <w:right w:color="auto" w:space="0" w:sz="4" w:val="single"/>
            </w:tcBorders>
            <w:shd w:color="auto" w:fill="auto" w:val="clear"/>
            <w:noWrap/>
            <w:vAlign w:val="center"/>
            <w:hideMark/>
          </w:tcPr>
          <w:p w14:paraId="121565A2"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11,7152</w:t>
            </w:r>
          </w:p>
        </w:tc>
        <w:tc>
          <w:tcPr>
            <w:tcW w:type="dxa" w:w="932"/>
            <w:tcBorders>
              <w:top w:val="nil"/>
              <w:left w:val="nil"/>
              <w:bottom w:val="nil"/>
              <w:right w:color="auto" w:space="0" w:sz="4" w:val="single"/>
            </w:tcBorders>
            <w:shd w:color="auto" w:fill="auto" w:val="clear"/>
            <w:noWrap/>
            <w:vAlign w:val="center"/>
            <w:hideMark/>
          </w:tcPr>
          <w:p w14:paraId="59E8B97D"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11,8458</w:t>
            </w:r>
          </w:p>
        </w:tc>
        <w:tc>
          <w:tcPr>
            <w:tcW w:type="dxa" w:w="932"/>
            <w:tcBorders>
              <w:top w:val="nil"/>
              <w:left w:val="nil"/>
              <w:bottom w:val="nil"/>
              <w:right w:color="auto" w:space="0" w:sz="4" w:val="single"/>
            </w:tcBorders>
            <w:shd w:color="auto" w:fill="auto" w:val="clear"/>
            <w:noWrap/>
            <w:vAlign w:val="center"/>
            <w:hideMark/>
          </w:tcPr>
          <w:p w14:paraId="5020CEBF"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12,1746</w:t>
            </w:r>
          </w:p>
        </w:tc>
        <w:tc>
          <w:tcPr>
            <w:tcW w:type="dxa" w:w="932"/>
            <w:tcBorders>
              <w:top w:val="nil"/>
              <w:left w:val="nil"/>
              <w:bottom w:val="nil"/>
              <w:right w:color="auto" w:space="0" w:sz="4" w:val="single"/>
            </w:tcBorders>
            <w:shd w:color="auto" w:fill="auto" w:val="clear"/>
            <w:noWrap/>
            <w:vAlign w:val="center"/>
            <w:hideMark/>
          </w:tcPr>
          <w:p w14:paraId="15A8432A"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12,4043</w:t>
            </w:r>
          </w:p>
        </w:tc>
        <w:tc>
          <w:tcPr>
            <w:tcW w:type="dxa" w:w="932"/>
            <w:tcBorders>
              <w:top w:val="nil"/>
              <w:left w:val="nil"/>
              <w:bottom w:val="nil"/>
              <w:right w:color="auto" w:space="0" w:sz="4" w:val="single"/>
            </w:tcBorders>
            <w:shd w:color="auto" w:fill="auto" w:val="clear"/>
            <w:noWrap/>
            <w:vAlign w:val="center"/>
            <w:hideMark/>
          </w:tcPr>
          <w:p w14:paraId="73256A90"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12,6340</w:t>
            </w:r>
          </w:p>
        </w:tc>
        <w:tc>
          <w:tcPr>
            <w:tcW w:type="dxa" w:w="932"/>
            <w:tcBorders>
              <w:top w:val="nil"/>
              <w:left w:val="nil"/>
              <w:bottom w:val="nil"/>
              <w:right w:color="auto" w:space="0" w:sz="4" w:val="single"/>
            </w:tcBorders>
            <w:shd w:color="auto" w:fill="auto" w:val="clear"/>
            <w:noWrap/>
            <w:vAlign w:val="center"/>
            <w:hideMark/>
          </w:tcPr>
          <w:p w14:paraId="7D75FB03"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13,0934</w:t>
            </w:r>
          </w:p>
        </w:tc>
        <w:tc>
          <w:tcPr>
            <w:tcW w:type="dxa" w:w="932"/>
            <w:tcBorders>
              <w:top w:val="nil"/>
              <w:left w:val="nil"/>
              <w:bottom w:val="nil"/>
              <w:right w:color="auto" w:space="0" w:sz="4" w:val="single"/>
            </w:tcBorders>
            <w:shd w:color="auto" w:fill="auto" w:val="clear"/>
            <w:noWrap/>
            <w:vAlign w:val="center"/>
            <w:hideMark/>
          </w:tcPr>
          <w:p w14:paraId="322BA717"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13,4380</w:t>
            </w:r>
          </w:p>
        </w:tc>
        <w:tc>
          <w:tcPr>
            <w:tcW w:type="dxa" w:w="932"/>
            <w:tcBorders>
              <w:top w:val="nil"/>
              <w:left w:val="nil"/>
              <w:bottom w:val="nil"/>
              <w:right w:color="auto" w:space="0" w:sz="4" w:val="single"/>
            </w:tcBorders>
            <w:shd w:color="auto" w:fill="auto" w:val="clear"/>
            <w:noWrap/>
            <w:vAlign w:val="center"/>
            <w:hideMark/>
          </w:tcPr>
          <w:p w14:paraId="4FB5E0B7"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13,7825</w:t>
            </w:r>
          </w:p>
        </w:tc>
      </w:tr>
      <w:tr w14:paraId="43DC8A1C" w14:textId="77777777" w:rsidR="000B5B6E" w:rsidRPr="00CD6260" w:rsidTr="001042E3">
        <w:trPr>
          <w:trHeight w:val="270"/>
        </w:trPr>
        <w:tc>
          <w:tcPr>
            <w:tcW w:type="dxa" w:w="932"/>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70FD75EE" w14:textId="77777777" w:rsidP="000B5B6E" w:rsidR="000B5B6E" w:rsidRDefault="000B5B6E" w:rsidRPr="00CD6260">
            <w:pPr>
              <w:spacing w:after="0" w:line="240" w:lineRule="auto"/>
              <w:jc w:val="center"/>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150V</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46A222BF"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11,8241</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551BD9D2"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11,9998</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28801E5D"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12,0606</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56199DCA"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12,4705</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2FC73D94"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12,7058</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09921F86" w14:textId="77777777" w:rsidP="000B5B6E" w:rsidR="000B5B6E" w:rsidRDefault="000B5B6E" w:rsidRPr="00CD6260">
            <w:pPr>
              <w:spacing w:after="0" w:line="240" w:lineRule="auto"/>
              <w:jc w:val="right"/>
              <w:rPr>
                <w:rFonts w:ascii="Verdana" w:cs="Calibri" w:eastAsia="Times New Roman" w:hAnsi="Verdana"/>
                <w:color w:val="333333"/>
                <w:sz w:val="16"/>
                <w:szCs w:val="16"/>
                <w:lang w:eastAsia="fr-FR"/>
              </w:rPr>
            </w:pPr>
            <w:r w:rsidRPr="00CD6260">
              <w:rPr>
                <w:rFonts w:ascii="Verdana" w:cs="Calibri" w:eastAsia="Times New Roman" w:hAnsi="Verdana"/>
                <w:color w:val="333333"/>
                <w:sz w:val="16"/>
                <w:szCs w:val="16"/>
                <w:lang w:eastAsia="fr-FR"/>
              </w:rPr>
              <w:t>12,9411</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45D01977"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13,4116</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5B6DD680"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13,7646</w:t>
            </w:r>
          </w:p>
        </w:tc>
        <w:tc>
          <w:tcPr>
            <w:tcW w:type="dxa" w:w="932"/>
            <w:tcBorders>
              <w:top w:color="auto" w:space="0" w:sz="4" w:val="single"/>
              <w:left w:val="nil"/>
              <w:bottom w:color="auto" w:space="0" w:sz="4" w:val="single"/>
              <w:right w:color="auto" w:space="0" w:sz="4" w:val="single"/>
            </w:tcBorders>
            <w:shd w:color="auto" w:fill="auto" w:val="clear"/>
            <w:noWrap/>
            <w:vAlign w:val="center"/>
            <w:hideMark/>
          </w:tcPr>
          <w:p w14:paraId="1FCAD866" w14:textId="77777777" w:rsidP="000B5B6E" w:rsidR="000B5B6E" w:rsidRDefault="000B5B6E" w:rsidRPr="00CD6260">
            <w:pPr>
              <w:spacing w:after="0" w:line="240" w:lineRule="auto"/>
              <w:jc w:val="right"/>
              <w:rPr>
                <w:rFonts w:ascii="Verdana" w:cs="Calibri" w:eastAsia="Times New Roman" w:hAnsi="Verdana"/>
                <w:i/>
                <w:iCs/>
                <w:color w:val="333333"/>
                <w:sz w:val="16"/>
                <w:szCs w:val="16"/>
                <w:lang w:eastAsia="fr-FR"/>
              </w:rPr>
            </w:pPr>
            <w:r w:rsidRPr="00CD6260">
              <w:rPr>
                <w:rFonts w:ascii="Verdana" w:cs="Calibri" w:eastAsia="Times New Roman" w:hAnsi="Verdana"/>
                <w:i/>
                <w:iCs/>
                <w:color w:val="333333"/>
                <w:sz w:val="16"/>
                <w:szCs w:val="16"/>
                <w:lang w:eastAsia="fr-FR"/>
              </w:rPr>
              <w:t>14,1175</w:t>
            </w:r>
          </w:p>
        </w:tc>
      </w:tr>
    </w:tbl>
    <w:p w14:paraId="479C3161" w14:textId="77777777" w:rsidP="007A0174" w:rsidR="003C234F" w:rsidRDefault="003C234F" w:rsidRPr="00CD6260">
      <w:pPr>
        <w:jc w:val="both"/>
        <w:rPr>
          <w:rFonts w:ascii="Verdana" w:hAnsi="Verdana"/>
          <w:sz w:val="20"/>
          <w:szCs w:val="20"/>
        </w:rPr>
      </w:pPr>
    </w:p>
    <w:p w14:paraId="7EAB31D4" w14:textId="66709F7F" w:rsidP="007A0174" w:rsidR="00A33110" w:rsidRDefault="003C234F" w:rsidRPr="00CD6260">
      <w:pPr>
        <w:jc w:val="both"/>
        <w:rPr>
          <w:rFonts w:ascii="Verdana" w:hAnsi="Verdana"/>
          <w:b/>
          <w:sz w:val="20"/>
          <w:szCs w:val="20"/>
          <w:u w:val="single"/>
        </w:rPr>
      </w:pPr>
      <w:r w:rsidRPr="00CD6260">
        <w:rPr>
          <w:rFonts w:ascii="Verdana" w:hAnsi="Verdana"/>
          <w:sz w:val="20"/>
          <w:szCs w:val="20"/>
        </w:rPr>
        <w:t xml:space="preserve">Une régularisation rétroactive au 01 janvier 2022 sera effectuée sur la paie de </w:t>
      </w:r>
      <w:r w:rsidR="00375275">
        <w:rPr>
          <w:rFonts w:ascii="Verdana" w:hAnsi="Verdana"/>
          <w:sz w:val="20"/>
          <w:szCs w:val="20"/>
        </w:rPr>
        <w:t>juin</w:t>
      </w:r>
      <w:r w:rsidRPr="00CD6260">
        <w:rPr>
          <w:rFonts w:ascii="Verdana" w:hAnsi="Verdana"/>
          <w:sz w:val="20"/>
          <w:szCs w:val="20"/>
        </w:rPr>
        <w:t xml:space="preserve"> 2022.</w:t>
      </w:r>
    </w:p>
    <w:p w14:paraId="08A3942B" w14:textId="77777777" w:rsidP="001042E3" w:rsidR="001042E3" w:rsidRDefault="001042E3" w:rsidRPr="00CD6260">
      <w:pPr>
        <w:jc w:val="both"/>
        <w:rPr>
          <w:rFonts w:ascii="Verdana" w:hAnsi="Verdana"/>
          <w:i/>
          <w:iCs/>
          <w:sz w:val="20"/>
          <w:szCs w:val="20"/>
        </w:rPr>
      </w:pPr>
      <w:r w:rsidRPr="00CD6260">
        <w:rPr>
          <w:rFonts w:ascii="Verdana" w:hAnsi="Verdana"/>
          <w:i/>
          <w:iCs/>
          <w:sz w:val="20"/>
          <w:szCs w:val="20"/>
        </w:rPr>
        <w:t xml:space="preserve">*Le logiciel de paie appliquant un arrondi à la dernière décimale, un faible écart peut être constaté sur la dernière décimale. </w:t>
      </w:r>
    </w:p>
    <w:p w14:paraId="442753DF" w14:textId="3E3A3BA1" w:rsidP="007A0174" w:rsidR="00E91B95" w:rsidRDefault="008A5439">
      <w:pPr>
        <w:jc w:val="both"/>
        <w:rPr>
          <w:rFonts w:ascii="Verdana" w:hAnsi="Verdana"/>
          <w:sz w:val="20"/>
          <w:szCs w:val="20"/>
        </w:rPr>
      </w:pPr>
      <w:r w:rsidRPr="00CD6260">
        <w:rPr>
          <w:rFonts w:ascii="Verdana" w:hAnsi="Verdana"/>
          <w:sz w:val="20"/>
          <w:szCs w:val="20"/>
        </w:rPr>
        <w:t>Au regard de la situation économique actuelle et dans l’hypothèse où une hausse de l’inflation serait constatée au cours des mois qui suivent la signature de cet accord, les parties conviennent de se réunir, à partir de septembre, afin de négocier éventuellement l’ajustement de certaines dispositions dudit accord.</w:t>
      </w:r>
    </w:p>
    <w:p w14:paraId="14FD4525" w14:textId="771B59D7" w:rsidP="006E294A" w:rsidR="006E294A" w:rsidRDefault="006E294A" w:rsidRPr="00540F16">
      <w:pPr>
        <w:jc w:val="both"/>
        <w:rPr>
          <w:rFonts w:ascii="Verdana" w:hAnsi="Verdana"/>
          <w:b/>
          <w:sz w:val="20"/>
          <w:szCs w:val="20"/>
          <w:u w:val="single"/>
        </w:rPr>
      </w:pPr>
      <w:r w:rsidRPr="00540F16">
        <w:rPr>
          <w:rFonts w:ascii="Verdana" w:hAnsi="Verdana"/>
          <w:b/>
          <w:sz w:val="20"/>
          <w:szCs w:val="20"/>
          <w:u w:val="single"/>
        </w:rPr>
        <w:t xml:space="preserve">Article 3 – </w:t>
      </w:r>
      <w:r w:rsidR="004D2792">
        <w:rPr>
          <w:rFonts w:ascii="Verdana" w:hAnsi="Verdana"/>
          <w:b/>
          <w:sz w:val="20"/>
          <w:szCs w:val="20"/>
          <w:u w:val="single"/>
        </w:rPr>
        <w:t>Temps de changement de véhicule</w:t>
      </w:r>
    </w:p>
    <w:p w14:paraId="2462786D" w14:textId="1C54A77D" w:rsidP="006E294A" w:rsidR="006E294A" w:rsidRDefault="006E294A" w:rsidRPr="00540F16">
      <w:pPr>
        <w:jc w:val="both"/>
        <w:rPr>
          <w:rFonts w:ascii="Verdana" w:hAnsi="Verdana"/>
          <w:bCs/>
          <w:sz w:val="20"/>
          <w:szCs w:val="20"/>
        </w:rPr>
      </w:pPr>
      <w:r w:rsidRPr="00540F16">
        <w:rPr>
          <w:rFonts w:ascii="Verdana" w:hAnsi="Verdana"/>
          <w:bCs/>
          <w:sz w:val="20"/>
          <w:szCs w:val="20"/>
        </w:rPr>
        <w:t>L’accord sur les statuts collectifs de l’entreprise mis en application depuis le 01 janvier 2021 prévoit</w:t>
      </w:r>
      <w:r w:rsidR="001755A0" w:rsidRPr="00540F16">
        <w:rPr>
          <w:rFonts w:ascii="Verdana" w:hAnsi="Verdana"/>
          <w:bCs/>
          <w:sz w:val="20"/>
          <w:szCs w:val="20"/>
        </w:rPr>
        <w:t xml:space="preserve"> à l’article 1.1.3.a </w:t>
      </w:r>
      <w:r w:rsidR="001755A0" w:rsidRPr="00540F16">
        <w:rPr>
          <w:rFonts w:ascii="Verdana" w:hAnsi="Verdana"/>
          <w:bCs/>
          <w:i/>
          <w:iCs/>
          <w:sz w:val="20"/>
          <w:szCs w:val="20"/>
        </w:rPr>
        <w:t>Temps Annexes Travaillées (TAT)</w:t>
      </w:r>
      <w:r w:rsidRPr="00540F16">
        <w:rPr>
          <w:rFonts w:ascii="Verdana" w:hAnsi="Verdana"/>
          <w:bCs/>
          <w:sz w:val="20"/>
          <w:szCs w:val="20"/>
        </w:rPr>
        <w:t xml:space="preserve"> 22.00 minutes consacrées à la PCLE (Plein, caisse, </w:t>
      </w:r>
      <w:r w:rsidR="00A70480" w:rsidRPr="00540F16">
        <w:rPr>
          <w:rFonts w:ascii="Verdana" w:hAnsi="Verdana"/>
          <w:bCs/>
          <w:sz w:val="20"/>
          <w:szCs w:val="20"/>
        </w:rPr>
        <w:t xml:space="preserve">Lavage, </w:t>
      </w:r>
      <w:r w:rsidRPr="00540F16">
        <w:rPr>
          <w:rFonts w:ascii="Verdana" w:hAnsi="Verdana"/>
          <w:bCs/>
          <w:sz w:val="20"/>
          <w:szCs w:val="20"/>
        </w:rPr>
        <w:t>Entretien,).</w:t>
      </w:r>
    </w:p>
    <w:p w14:paraId="0C728A29" w14:textId="1AD973B9" w:rsidP="006E294A" w:rsidR="006E294A" w:rsidRDefault="006E294A" w:rsidRPr="00540F16">
      <w:pPr>
        <w:jc w:val="both"/>
        <w:rPr>
          <w:rFonts w:ascii="Verdana" w:hAnsi="Verdana"/>
          <w:bCs/>
          <w:sz w:val="20"/>
          <w:szCs w:val="20"/>
        </w:rPr>
      </w:pPr>
      <w:r w:rsidRPr="00540F16">
        <w:rPr>
          <w:rFonts w:ascii="Verdana" w:hAnsi="Verdana"/>
          <w:bCs/>
          <w:sz w:val="20"/>
          <w:szCs w:val="20"/>
        </w:rPr>
        <w:t xml:space="preserve">Or, les parties constatent que le temps définis dans l’accord n’est pas suffisant en cas </w:t>
      </w:r>
      <w:r w:rsidR="0006119D" w:rsidRPr="00540F16">
        <w:rPr>
          <w:rFonts w:ascii="Verdana" w:hAnsi="Verdana"/>
          <w:bCs/>
          <w:sz w:val="20"/>
          <w:szCs w:val="20"/>
        </w:rPr>
        <w:t>de changement de véhicule</w:t>
      </w:r>
      <w:r w:rsidRPr="00540F16">
        <w:rPr>
          <w:rFonts w:ascii="Verdana" w:hAnsi="Verdana"/>
          <w:bCs/>
          <w:sz w:val="20"/>
          <w:szCs w:val="20"/>
        </w:rPr>
        <w:t xml:space="preserve"> au cours de la même journée</w:t>
      </w:r>
      <w:r w:rsidR="004D2792">
        <w:rPr>
          <w:rFonts w:ascii="Verdana" w:hAnsi="Verdana"/>
          <w:bCs/>
          <w:sz w:val="20"/>
          <w:szCs w:val="20"/>
        </w:rPr>
        <w:t xml:space="preserve"> de travail</w:t>
      </w:r>
      <w:r w:rsidRPr="00540F16">
        <w:rPr>
          <w:rFonts w:ascii="Verdana" w:hAnsi="Verdana"/>
          <w:bCs/>
          <w:sz w:val="20"/>
          <w:szCs w:val="20"/>
        </w:rPr>
        <w:t>.</w:t>
      </w:r>
    </w:p>
    <w:p w14:paraId="046FAAA9" w14:textId="631E8A10" w:rsidP="006E294A" w:rsidR="004D2792" w:rsidRDefault="004D2792">
      <w:pPr>
        <w:jc w:val="both"/>
        <w:rPr>
          <w:rFonts w:ascii="Verdana" w:hAnsi="Verdana"/>
          <w:bCs/>
          <w:sz w:val="20"/>
          <w:szCs w:val="20"/>
        </w:rPr>
      </w:pPr>
      <w:r w:rsidRPr="00540F16">
        <w:rPr>
          <w:rFonts w:ascii="Verdana" w:hAnsi="Verdana"/>
          <w:bCs/>
          <w:sz w:val="20"/>
          <w:szCs w:val="20"/>
        </w:rPr>
        <w:lastRenderedPageBreak/>
        <w:t>Dans le cadre des présentes négociations, les parties conviennent</w:t>
      </w:r>
      <w:r w:rsidR="00337F5E">
        <w:rPr>
          <w:rFonts w:ascii="Verdana" w:hAnsi="Verdana"/>
          <w:bCs/>
          <w:sz w:val="20"/>
          <w:szCs w:val="20"/>
        </w:rPr>
        <w:t xml:space="preserve"> à compter du 01 juin 2022</w:t>
      </w:r>
      <w:r>
        <w:rPr>
          <w:rFonts w:ascii="Verdana" w:hAnsi="Verdana"/>
          <w:bCs/>
          <w:sz w:val="20"/>
          <w:szCs w:val="20"/>
        </w:rPr>
        <w:t xml:space="preserve"> :</w:t>
      </w:r>
    </w:p>
    <w:p w14:paraId="18F4D17B" w14:textId="6BA87B2E" w:rsidP="006E294A" w:rsidR="006E294A" w:rsidRDefault="004D2792" w:rsidRPr="00540F16">
      <w:pPr>
        <w:jc w:val="both"/>
        <w:rPr>
          <w:rFonts w:ascii="Verdana" w:hAnsi="Verdana"/>
          <w:bCs/>
          <w:sz w:val="20"/>
          <w:szCs w:val="20"/>
        </w:rPr>
      </w:pPr>
      <w:r>
        <w:rPr>
          <w:rFonts w:ascii="Verdana" w:hAnsi="Verdana"/>
          <w:bCs/>
          <w:sz w:val="20"/>
          <w:szCs w:val="20"/>
        </w:rPr>
        <w:t>Un</w:t>
      </w:r>
      <w:r w:rsidR="0006119D" w:rsidRPr="00540F16">
        <w:rPr>
          <w:rFonts w:ascii="Verdana" w:hAnsi="Verdana"/>
          <w:bCs/>
          <w:sz w:val="20"/>
          <w:szCs w:val="20"/>
        </w:rPr>
        <w:t xml:space="preserve"> temps forfaitaire de </w:t>
      </w:r>
      <w:r w:rsidR="00A70480" w:rsidRPr="00540F16">
        <w:rPr>
          <w:rFonts w:ascii="Verdana" w:hAnsi="Verdana"/>
          <w:bCs/>
          <w:sz w:val="20"/>
          <w:szCs w:val="20"/>
        </w:rPr>
        <w:t xml:space="preserve">changement de véhicule de </w:t>
      </w:r>
      <w:r w:rsidR="0006119D" w:rsidRPr="00540F16">
        <w:rPr>
          <w:rFonts w:ascii="Verdana" w:hAnsi="Verdana"/>
          <w:bCs/>
          <w:sz w:val="20"/>
          <w:szCs w:val="20"/>
        </w:rPr>
        <w:t>1</w:t>
      </w:r>
      <w:r w:rsidR="00375275">
        <w:rPr>
          <w:rFonts w:ascii="Verdana" w:hAnsi="Verdana"/>
          <w:bCs/>
          <w:sz w:val="20"/>
          <w:szCs w:val="20"/>
        </w:rPr>
        <w:t>5</w:t>
      </w:r>
      <w:r w:rsidR="0006119D" w:rsidRPr="00540F16">
        <w:rPr>
          <w:rFonts w:ascii="Verdana" w:hAnsi="Verdana"/>
          <w:bCs/>
          <w:sz w:val="20"/>
          <w:szCs w:val="20"/>
        </w:rPr>
        <w:t xml:space="preserve">.00 minutes </w:t>
      </w:r>
      <w:r w:rsidR="00A70480" w:rsidRPr="00540F16">
        <w:rPr>
          <w:rFonts w:ascii="Verdana" w:hAnsi="Verdana"/>
          <w:bCs/>
          <w:sz w:val="20"/>
          <w:szCs w:val="20"/>
        </w:rPr>
        <w:t xml:space="preserve">est </w:t>
      </w:r>
      <w:r w:rsidR="0006119D" w:rsidRPr="00540F16">
        <w:rPr>
          <w:rFonts w:ascii="Verdana" w:hAnsi="Verdana"/>
          <w:bCs/>
          <w:sz w:val="20"/>
          <w:szCs w:val="20"/>
        </w:rPr>
        <w:t>ajouté</w:t>
      </w:r>
      <w:r>
        <w:rPr>
          <w:rFonts w:ascii="Verdana" w:hAnsi="Verdana"/>
          <w:bCs/>
          <w:sz w:val="20"/>
          <w:szCs w:val="20"/>
        </w:rPr>
        <w:t xml:space="preserve"> chaque fois que le conducteur est amené à utiliser un véhicule différent</w:t>
      </w:r>
      <w:r w:rsidR="0006119D" w:rsidRPr="00540F16">
        <w:rPr>
          <w:rFonts w:ascii="Verdana" w:hAnsi="Verdana"/>
          <w:bCs/>
          <w:sz w:val="20"/>
          <w:szCs w:val="20"/>
        </w:rPr>
        <w:t xml:space="preserve"> </w:t>
      </w:r>
      <w:r w:rsidR="006E294A" w:rsidRPr="00540F16">
        <w:rPr>
          <w:rFonts w:ascii="Verdana" w:hAnsi="Verdana"/>
          <w:bCs/>
          <w:sz w:val="20"/>
          <w:szCs w:val="20"/>
        </w:rPr>
        <w:t>au cours de la même journée</w:t>
      </w:r>
      <w:r>
        <w:rPr>
          <w:rFonts w:ascii="Verdana" w:hAnsi="Verdana"/>
          <w:bCs/>
          <w:sz w:val="20"/>
          <w:szCs w:val="20"/>
        </w:rPr>
        <w:t xml:space="preserve"> de travail</w:t>
      </w:r>
      <w:r w:rsidR="006E294A" w:rsidRPr="00540F16">
        <w:rPr>
          <w:rFonts w:ascii="Verdana" w:hAnsi="Verdana"/>
          <w:bCs/>
          <w:sz w:val="20"/>
          <w:szCs w:val="20"/>
        </w:rPr>
        <w:t>.</w:t>
      </w:r>
    </w:p>
    <w:p w14:paraId="4C882BB2" w14:textId="398A89F3" w:rsidP="004D2792" w:rsidR="006E294A" w:rsidRDefault="004D2792" w:rsidRPr="004D2792">
      <w:pPr>
        <w:jc w:val="both"/>
        <w:rPr>
          <w:rFonts w:ascii="Verdana" w:hAnsi="Verdana"/>
          <w:b/>
          <w:sz w:val="20"/>
          <w:szCs w:val="20"/>
          <w:u w:val="single"/>
        </w:rPr>
      </w:pPr>
      <w:r w:rsidRPr="004D2792">
        <w:rPr>
          <w:rFonts w:ascii="Verdana" w:hAnsi="Verdana"/>
          <w:b/>
          <w:sz w:val="20"/>
          <w:szCs w:val="20"/>
          <w:u w:val="single"/>
        </w:rPr>
        <w:t xml:space="preserve">Article 4 – </w:t>
      </w:r>
      <w:r w:rsidR="001755A0" w:rsidRPr="004D2792">
        <w:rPr>
          <w:rFonts w:ascii="Verdana" w:hAnsi="Verdana"/>
          <w:b/>
          <w:sz w:val="20"/>
          <w:szCs w:val="20"/>
          <w:u w:val="single"/>
        </w:rPr>
        <w:t>Délai pour le rendu de caisse</w:t>
      </w:r>
    </w:p>
    <w:p w14:paraId="052DA9D6" w14:textId="412C3DDA" w:rsidP="007A0174" w:rsidR="001755A0" w:rsidRDefault="001755A0" w:rsidRPr="00540F16">
      <w:pPr>
        <w:jc w:val="both"/>
        <w:rPr>
          <w:rFonts w:ascii="Verdana" w:hAnsi="Verdana"/>
          <w:bCs/>
          <w:sz w:val="20"/>
          <w:szCs w:val="20"/>
        </w:rPr>
      </w:pPr>
      <w:r w:rsidRPr="00540F16">
        <w:rPr>
          <w:rFonts w:ascii="Verdana" w:hAnsi="Verdana"/>
          <w:bCs/>
          <w:sz w:val="20"/>
          <w:szCs w:val="20"/>
        </w:rPr>
        <w:t xml:space="preserve">L’accord sur les statuts collectifs de l’entreprise mis en application depuis le 01 janvier 2021 prévoit à l’article 2.3.2.a </w:t>
      </w:r>
      <w:r w:rsidRPr="00540F16">
        <w:rPr>
          <w:rFonts w:ascii="Verdana" w:hAnsi="Verdana"/>
          <w:bCs/>
          <w:i/>
          <w:iCs/>
          <w:sz w:val="20"/>
          <w:szCs w:val="20"/>
        </w:rPr>
        <w:t xml:space="preserve">Qualité de service interne </w:t>
      </w:r>
      <w:r w:rsidRPr="00540F16">
        <w:rPr>
          <w:rFonts w:ascii="Verdana" w:hAnsi="Verdana"/>
          <w:bCs/>
          <w:sz w:val="20"/>
          <w:szCs w:val="20"/>
        </w:rPr>
        <w:t>un délai maximal de 7 jours ouvrables (hors absences définies dans cet article)</w:t>
      </w:r>
      <w:r w:rsidR="0006119D" w:rsidRPr="00540F16">
        <w:rPr>
          <w:rFonts w:ascii="Verdana" w:hAnsi="Verdana"/>
          <w:bCs/>
          <w:sz w:val="20"/>
          <w:szCs w:val="20"/>
        </w:rPr>
        <w:t>.</w:t>
      </w:r>
    </w:p>
    <w:p w14:paraId="000137D1" w14:textId="36F8E11D" w:rsidP="007A0174" w:rsidR="001755A0" w:rsidRDefault="0006119D">
      <w:pPr>
        <w:jc w:val="both"/>
        <w:rPr>
          <w:rFonts w:ascii="Verdana" w:hAnsi="Verdana"/>
          <w:bCs/>
          <w:sz w:val="20"/>
          <w:szCs w:val="20"/>
        </w:rPr>
      </w:pPr>
      <w:r w:rsidRPr="00540F16">
        <w:rPr>
          <w:rFonts w:ascii="Verdana" w:hAnsi="Verdana"/>
          <w:bCs/>
          <w:sz w:val="20"/>
          <w:szCs w:val="20"/>
        </w:rPr>
        <w:t>Les parties conviennent d’étendre le délai maximal à 1</w:t>
      </w:r>
      <w:r w:rsidR="00A70480" w:rsidRPr="00540F16">
        <w:rPr>
          <w:rFonts w:ascii="Verdana" w:hAnsi="Verdana"/>
          <w:bCs/>
          <w:sz w:val="20"/>
          <w:szCs w:val="20"/>
        </w:rPr>
        <w:t>4</w:t>
      </w:r>
      <w:r w:rsidRPr="00540F16">
        <w:rPr>
          <w:rFonts w:ascii="Verdana" w:hAnsi="Verdana"/>
          <w:bCs/>
          <w:sz w:val="20"/>
          <w:szCs w:val="20"/>
        </w:rPr>
        <w:t xml:space="preserve"> jours ouvrables</w:t>
      </w:r>
      <w:r w:rsidR="00337F5E">
        <w:rPr>
          <w:rFonts w:ascii="Verdana" w:hAnsi="Verdana"/>
          <w:bCs/>
          <w:sz w:val="20"/>
          <w:szCs w:val="20"/>
        </w:rPr>
        <w:t>, à compter du 01 juin 2022</w:t>
      </w:r>
      <w:r w:rsidRPr="00540F16">
        <w:rPr>
          <w:rFonts w:ascii="Verdana" w:hAnsi="Verdana"/>
          <w:bCs/>
          <w:sz w:val="20"/>
          <w:szCs w:val="20"/>
        </w:rPr>
        <w:t>. Les critères d’absences définis à l’article 2.3.2.a permettant d’apprécier le respect de ce délai maximal perdurent.</w:t>
      </w:r>
    </w:p>
    <w:p w14:paraId="50556636" w14:textId="25D30A30" w:rsidP="007A0174" w:rsidR="00183A10" w:rsidRDefault="00404654" w:rsidRPr="00F109AF">
      <w:pPr>
        <w:jc w:val="both"/>
        <w:rPr>
          <w:rFonts w:ascii="Verdana" w:hAnsi="Verdana"/>
          <w:b/>
          <w:sz w:val="20"/>
          <w:szCs w:val="20"/>
          <w:u w:val="single"/>
        </w:rPr>
      </w:pPr>
      <w:r w:rsidRPr="00F109AF">
        <w:rPr>
          <w:rFonts w:ascii="Verdana" w:hAnsi="Verdana"/>
          <w:b/>
          <w:sz w:val="20"/>
          <w:szCs w:val="20"/>
          <w:u w:val="single"/>
        </w:rPr>
        <w:t>Article</w:t>
      </w:r>
      <w:r w:rsidR="001042E3" w:rsidRPr="00F109AF">
        <w:rPr>
          <w:rFonts w:ascii="Verdana" w:hAnsi="Verdana"/>
          <w:b/>
          <w:sz w:val="20"/>
          <w:szCs w:val="20"/>
          <w:u w:val="single"/>
        </w:rPr>
        <w:t xml:space="preserve"> </w:t>
      </w:r>
      <w:r w:rsidR="004D2792">
        <w:rPr>
          <w:rFonts w:ascii="Verdana" w:hAnsi="Verdana"/>
          <w:b/>
          <w:sz w:val="20"/>
          <w:szCs w:val="20"/>
          <w:u w:val="single"/>
        </w:rPr>
        <w:t>5</w:t>
      </w:r>
      <w:r w:rsidR="001042E3" w:rsidRPr="00F109AF">
        <w:rPr>
          <w:rFonts w:ascii="Verdana" w:hAnsi="Verdana"/>
          <w:b/>
          <w:sz w:val="20"/>
          <w:szCs w:val="20"/>
          <w:u w:val="single"/>
        </w:rPr>
        <w:t xml:space="preserve"> </w:t>
      </w:r>
      <w:r w:rsidRPr="00F109AF">
        <w:rPr>
          <w:rFonts w:ascii="Verdana" w:hAnsi="Verdana"/>
          <w:b/>
          <w:sz w:val="20"/>
          <w:szCs w:val="20"/>
          <w:u w:val="single"/>
        </w:rPr>
        <w:t>– Durée de l’accord</w:t>
      </w:r>
    </w:p>
    <w:p w14:paraId="773F15C8" w14:textId="77777777" w:rsidP="00F109AF" w:rsidR="00F109AF" w:rsidRDefault="00F109AF" w:rsidRPr="00F109AF">
      <w:pPr>
        <w:jc w:val="both"/>
        <w:rPr>
          <w:rFonts w:ascii="Verdana" w:hAnsi="Verdana"/>
          <w:sz w:val="20"/>
          <w:szCs w:val="20"/>
        </w:rPr>
      </w:pPr>
      <w:r w:rsidRPr="00F109AF">
        <w:rPr>
          <w:rFonts w:ascii="Verdana" w:hAnsi="Verdana"/>
          <w:sz w:val="20"/>
          <w:szCs w:val="20"/>
        </w:rPr>
        <w:t xml:space="preserve">Le présent accord est conclu pour une durée indéterminée à compter de la signature. </w:t>
      </w:r>
    </w:p>
    <w:p w14:paraId="4A3396A3" w14:textId="61DFB0EC" w:rsidP="007A0174" w:rsidR="00404654" w:rsidRDefault="00404654" w:rsidRPr="00F109AF">
      <w:pPr>
        <w:jc w:val="both"/>
        <w:rPr>
          <w:rFonts w:ascii="Verdana" w:hAnsi="Verdana"/>
          <w:b/>
          <w:sz w:val="20"/>
          <w:szCs w:val="20"/>
          <w:u w:val="single"/>
        </w:rPr>
      </w:pPr>
      <w:r w:rsidRPr="00F109AF">
        <w:rPr>
          <w:rFonts w:ascii="Verdana" w:hAnsi="Verdana"/>
          <w:b/>
          <w:sz w:val="20"/>
          <w:szCs w:val="20"/>
          <w:u w:val="single"/>
        </w:rPr>
        <w:t>Article</w:t>
      </w:r>
      <w:r w:rsidR="00F109AF" w:rsidRPr="00F109AF">
        <w:rPr>
          <w:rFonts w:ascii="Verdana" w:hAnsi="Verdana"/>
          <w:b/>
          <w:sz w:val="20"/>
          <w:szCs w:val="20"/>
          <w:u w:val="single"/>
        </w:rPr>
        <w:t xml:space="preserve"> </w:t>
      </w:r>
      <w:r w:rsidR="004D2792">
        <w:rPr>
          <w:rFonts w:ascii="Verdana" w:hAnsi="Verdana"/>
          <w:b/>
          <w:sz w:val="20"/>
          <w:szCs w:val="20"/>
          <w:u w:val="single"/>
        </w:rPr>
        <w:t>6</w:t>
      </w:r>
      <w:r w:rsidRPr="00F109AF">
        <w:rPr>
          <w:rFonts w:ascii="Verdana" w:hAnsi="Verdana"/>
          <w:b/>
          <w:sz w:val="20"/>
          <w:szCs w:val="20"/>
          <w:u w:val="single"/>
        </w:rPr>
        <w:t xml:space="preserve"> – Révision</w:t>
      </w:r>
    </w:p>
    <w:p w14:paraId="3826C428" w14:textId="77777777" w:rsidP="007A0174" w:rsidR="00404654" w:rsidRDefault="001A1B0C" w:rsidRPr="00F109AF">
      <w:pPr>
        <w:jc w:val="both"/>
        <w:rPr>
          <w:rFonts w:ascii="Verdana" w:hAnsi="Verdana"/>
          <w:sz w:val="20"/>
          <w:szCs w:val="20"/>
        </w:rPr>
      </w:pPr>
      <w:r w:rsidRPr="00F109AF">
        <w:rPr>
          <w:rFonts w:ascii="Verdana" w:hAnsi="Verdana"/>
          <w:sz w:val="20"/>
          <w:szCs w:val="20"/>
        </w:rPr>
        <w:t>Le présent accord peut faire l’objet</w:t>
      </w:r>
      <w:r w:rsidR="00404654" w:rsidRPr="00F109AF">
        <w:rPr>
          <w:rFonts w:ascii="Verdana" w:hAnsi="Verdana"/>
          <w:sz w:val="20"/>
          <w:szCs w:val="20"/>
        </w:rPr>
        <w:t>, à tout moment, d’une révision à la demande de l’une des parties signataires, dans le respect des conditions de validité applicables à la conclusion des accords d’entreprise, l’ensemble des organisations syndicales représentatives participants alors à la négociation de l’avenant.</w:t>
      </w:r>
    </w:p>
    <w:p w14:paraId="423FFD4F" w14:textId="718D2222" w:rsidP="007A0174" w:rsidR="00404654" w:rsidRDefault="00404654" w:rsidRPr="00F109AF">
      <w:pPr>
        <w:jc w:val="both"/>
        <w:rPr>
          <w:rFonts w:ascii="Verdana" w:hAnsi="Verdana"/>
          <w:b/>
          <w:sz w:val="20"/>
          <w:szCs w:val="20"/>
          <w:u w:val="single"/>
        </w:rPr>
      </w:pPr>
      <w:r w:rsidRPr="00F109AF">
        <w:rPr>
          <w:rFonts w:ascii="Verdana" w:hAnsi="Verdana"/>
          <w:b/>
          <w:sz w:val="20"/>
          <w:szCs w:val="20"/>
          <w:u w:val="single"/>
        </w:rPr>
        <w:t xml:space="preserve">Article </w:t>
      </w:r>
      <w:r w:rsidR="004D2792">
        <w:rPr>
          <w:rFonts w:ascii="Verdana" w:hAnsi="Verdana"/>
          <w:b/>
          <w:sz w:val="20"/>
          <w:szCs w:val="20"/>
          <w:u w:val="single"/>
        </w:rPr>
        <w:t>7</w:t>
      </w:r>
      <w:r w:rsidRPr="00F109AF">
        <w:rPr>
          <w:rFonts w:ascii="Verdana" w:hAnsi="Verdana"/>
          <w:b/>
          <w:sz w:val="20"/>
          <w:szCs w:val="20"/>
          <w:u w:val="single"/>
        </w:rPr>
        <w:t xml:space="preserve"> – Dénonciation </w:t>
      </w:r>
    </w:p>
    <w:p w14:paraId="2BE5A42E" w14:textId="77777777" w:rsidP="007A0174" w:rsidR="00404654" w:rsidRDefault="001A1B0C" w:rsidRPr="00F109AF">
      <w:pPr>
        <w:jc w:val="both"/>
        <w:rPr>
          <w:rFonts w:ascii="Verdana" w:hAnsi="Verdana"/>
          <w:sz w:val="20"/>
          <w:szCs w:val="20"/>
        </w:rPr>
      </w:pPr>
      <w:r w:rsidRPr="00F109AF">
        <w:rPr>
          <w:rFonts w:ascii="Verdana" w:hAnsi="Verdana"/>
          <w:sz w:val="20"/>
          <w:szCs w:val="20"/>
        </w:rPr>
        <w:t xml:space="preserve">Le présent accord </w:t>
      </w:r>
      <w:r w:rsidR="00404654" w:rsidRPr="00F109AF">
        <w:rPr>
          <w:rFonts w:ascii="Verdana" w:hAnsi="Verdana"/>
          <w:sz w:val="20"/>
          <w:szCs w:val="20"/>
        </w:rPr>
        <w:t xml:space="preserve">peut être dénoncé par l’une ou l’autre des parties signataires, par lettre recommandée avec accusé de réception, sous réserve du respect d’un préavis de </w:t>
      </w:r>
      <w:r w:rsidRPr="00F109AF">
        <w:rPr>
          <w:rFonts w:ascii="Verdana" w:hAnsi="Verdana"/>
          <w:sz w:val="20"/>
          <w:szCs w:val="20"/>
        </w:rPr>
        <w:t>3 mois</w:t>
      </w:r>
      <w:r w:rsidR="00404654" w:rsidRPr="00F109AF">
        <w:rPr>
          <w:rFonts w:ascii="Verdana" w:hAnsi="Verdana"/>
          <w:sz w:val="20"/>
          <w:szCs w:val="20"/>
        </w:rPr>
        <w:t xml:space="preserve"> courant à compter de la notification de la dénonciation à la </w:t>
      </w:r>
      <w:r w:rsidR="00F109AF" w:rsidRPr="00F109AF">
        <w:rPr>
          <w:rFonts w:ascii="Verdana" w:hAnsi="Verdana"/>
          <w:sz w:val="20"/>
          <w:szCs w:val="20"/>
        </w:rPr>
        <w:t>DREETS</w:t>
      </w:r>
      <w:r w:rsidR="00404654" w:rsidRPr="00F109AF">
        <w:rPr>
          <w:rFonts w:ascii="Verdana" w:hAnsi="Verdana"/>
          <w:sz w:val="20"/>
          <w:szCs w:val="20"/>
        </w:rPr>
        <w:t xml:space="preserve"> ainsi qu’au Conseil des Prud’hommes.</w:t>
      </w:r>
    </w:p>
    <w:p w14:paraId="23D84271" w14:textId="54998C83" w:rsidP="007A0174" w:rsidR="00404654" w:rsidRDefault="00404654" w:rsidRPr="00F109AF">
      <w:pPr>
        <w:jc w:val="both"/>
        <w:rPr>
          <w:rFonts w:ascii="Verdana" w:hAnsi="Verdana"/>
          <w:b/>
          <w:sz w:val="20"/>
          <w:szCs w:val="20"/>
          <w:u w:val="single"/>
        </w:rPr>
      </w:pPr>
      <w:r w:rsidRPr="00F109AF">
        <w:rPr>
          <w:rFonts w:ascii="Verdana" w:hAnsi="Verdana"/>
          <w:b/>
          <w:sz w:val="20"/>
          <w:szCs w:val="20"/>
          <w:u w:val="single"/>
        </w:rPr>
        <w:t xml:space="preserve">Article </w:t>
      </w:r>
      <w:r w:rsidR="004D2792">
        <w:rPr>
          <w:rFonts w:ascii="Verdana" w:hAnsi="Verdana"/>
          <w:b/>
          <w:sz w:val="20"/>
          <w:szCs w:val="20"/>
          <w:u w:val="single"/>
        </w:rPr>
        <w:t>8</w:t>
      </w:r>
      <w:r w:rsidRPr="00F109AF">
        <w:rPr>
          <w:rFonts w:ascii="Verdana" w:hAnsi="Verdana"/>
          <w:b/>
          <w:sz w:val="20"/>
          <w:szCs w:val="20"/>
          <w:u w:val="single"/>
        </w:rPr>
        <w:t xml:space="preserve"> – Publicité </w:t>
      </w:r>
    </w:p>
    <w:p w14:paraId="3A79B8B3" w14:textId="77777777" w:rsidP="00DC057C" w:rsidR="00DC057C" w:rsidRDefault="001A1B0C" w:rsidRPr="00F109AF">
      <w:pPr>
        <w:jc w:val="both"/>
        <w:rPr>
          <w:rFonts w:ascii="Verdana" w:hAnsi="Verdana"/>
          <w:sz w:val="20"/>
          <w:szCs w:val="20"/>
        </w:rPr>
      </w:pPr>
      <w:bookmarkStart w:id="0" w:name="_Hlk17459221"/>
      <w:r w:rsidRPr="00F109AF">
        <w:rPr>
          <w:rFonts w:ascii="Verdana" w:hAnsi="Verdana"/>
          <w:sz w:val="20"/>
          <w:szCs w:val="20"/>
        </w:rPr>
        <w:t xml:space="preserve">Le présent accord </w:t>
      </w:r>
      <w:r w:rsidR="00FC3245" w:rsidRPr="00F109AF">
        <w:rPr>
          <w:rFonts w:ascii="Verdana" w:hAnsi="Verdana"/>
          <w:sz w:val="20"/>
          <w:szCs w:val="20"/>
        </w:rPr>
        <w:t>est établi en un nombre suffisant d’exemplaires pour remise à chacune des parties signataires et dép</w:t>
      </w:r>
      <w:r w:rsidR="00D651D5" w:rsidRPr="00F109AF">
        <w:rPr>
          <w:rFonts w:ascii="Verdana" w:hAnsi="Verdana"/>
          <w:sz w:val="20"/>
          <w:szCs w:val="20"/>
        </w:rPr>
        <w:t>osé,</w:t>
      </w:r>
      <w:r w:rsidR="00FC3245" w:rsidRPr="00F109AF">
        <w:rPr>
          <w:rFonts w:ascii="Verdana" w:hAnsi="Verdana"/>
          <w:sz w:val="20"/>
          <w:szCs w:val="20"/>
        </w:rPr>
        <w:t xml:space="preserve"> dans les conditions prévues </w:t>
      </w:r>
      <w:r w:rsidR="00D70626" w:rsidRPr="00F109AF">
        <w:rPr>
          <w:rFonts w:ascii="Verdana" w:hAnsi="Verdana"/>
          <w:sz w:val="20"/>
          <w:szCs w:val="20"/>
        </w:rPr>
        <w:t>aux</w:t>
      </w:r>
      <w:r w:rsidR="00FC3245" w:rsidRPr="00F109AF">
        <w:rPr>
          <w:rFonts w:ascii="Verdana" w:hAnsi="Verdana"/>
          <w:sz w:val="20"/>
          <w:szCs w:val="20"/>
        </w:rPr>
        <w:t xml:space="preserve"> article</w:t>
      </w:r>
      <w:r w:rsidR="00D70626" w:rsidRPr="00F109AF">
        <w:rPr>
          <w:rFonts w:ascii="Verdana" w:hAnsi="Verdana"/>
          <w:sz w:val="20"/>
          <w:szCs w:val="20"/>
        </w:rPr>
        <w:t>s</w:t>
      </w:r>
      <w:r w:rsidR="00FC3245" w:rsidRPr="00F109AF">
        <w:rPr>
          <w:rFonts w:ascii="Verdana" w:hAnsi="Verdana"/>
          <w:sz w:val="20"/>
          <w:szCs w:val="20"/>
        </w:rPr>
        <w:t xml:space="preserve"> D.</w:t>
      </w:r>
      <w:r w:rsidRPr="00F109AF">
        <w:rPr>
          <w:rFonts w:ascii="Verdana" w:hAnsi="Verdana"/>
          <w:sz w:val="20"/>
          <w:szCs w:val="20"/>
        </w:rPr>
        <w:t xml:space="preserve"> </w:t>
      </w:r>
      <w:r w:rsidR="00FC3245" w:rsidRPr="00F109AF">
        <w:rPr>
          <w:rFonts w:ascii="Verdana" w:hAnsi="Verdana"/>
          <w:sz w:val="20"/>
          <w:szCs w:val="20"/>
        </w:rPr>
        <w:t>2231-2</w:t>
      </w:r>
      <w:r w:rsidR="00D70626" w:rsidRPr="00F109AF">
        <w:rPr>
          <w:rFonts w:ascii="Verdana" w:hAnsi="Verdana"/>
          <w:sz w:val="20"/>
          <w:szCs w:val="20"/>
        </w:rPr>
        <w:t xml:space="preserve"> et D. 2231-4</w:t>
      </w:r>
      <w:r w:rsidR="00FC3245" w:rsidRPr="00F109AF">
        <w:rPr>
          <w:rFonts w:ascii="Verdana" w:hAnsi="Verdana"/>
          <w:sz w:val="20"/>
          <w:szCs w:val="20"/>
        </w:rPr>
        <w:t xml:space="preserve"> du Code du Travail</w:t>
      </w:r>
      <w:r w:rsidRPr="00F109AF">
        <w:rPr>
          <w:rFonts w:ascii="Verdana" w:hAnsi="Verdana"/>
          <w:sz w:val="20"/>
          <w:szCs w:val="20"/>
        </w:rPr>
        <w:t>,</w:t>
      </w:r>
      <w:r w:rsidR="00FC3245" w:rsidRPr="00F109AF">
        <w:rPr>
          <w:rFonts w:ascii="Verdana" w:hAnsi="Verdana"/>
          <w:sz w:val="20"/>
          <w:szCs w:val="20"/>
        </w:rPr>
        <w:t xml:space="preserve"> </w:t>
      </w:r>
      <w:r w:rsidRPr="00F109AF">
        <w:rPr>
          <w:rFonts w:ascii="Verdana" w:hAnsi="Verdana"/>
          <w:sz w:val="20"/>
          <w:szCs w:val="20"/>
        </w:rPr>
        <w:t xml:space="preserve">par </w:t>
      </w:r>
      <w:r w:rsidR="00D70626" w:rsidRPr="00F109AF">
        <w:rPr>
          <w:rFonts w:ascii="Verdana" w:hAnsi="Verdana"/>
          <w:sz w:val="20"/>
          <w:szCs w:val="20"/>
        </w:rPr>
        <w:t>le représentant légal de l’entreprise sur la plateforme de téléprocédure du ministère du tr</w:t>
      </w:r>
      <w:r w:rsidR="00E3759B" w:rsidRPr="00F109AF">
        <w:rPr>
          <w:rFonts w:ascii="Verdana" w:hAnsi="Verdana"/>
          <w:sz w:val="20"/>
          <w:szCs w:val="20"/>
        </w:rPr>
        <w:t>avail.</w:t>
      </w:r>
      <w:r w:rsidR="003F43C6" w:rsidRPr="00F109AF">
        <w:rPr>
          <w:rFonts w:ascii="Verdana" w:hAnsi="Verdana"/>
          <w:sz w:val="20"/>
          <w:szCs w:val="20"/>
        </w:rPr>
        <w:t xml:space="preserve"> Un exemplaire sera également remis au greffe du conseil de prud’hommes compétent.</w:t>
      </w:r>
    </w:p>
    <w:p w14:paraId="6AAF8816" w14:textId="77777777" w:rsidP="00DC057C" w:rsidR="00DC057C" w:rsidRDefault="00FC3245" w:rsidRPr="00F109AF">
      <w:pPr>
        <w:jc w:val="both"/>
        <w:rPr>
          <w:rFonts w:ascii="Verdana" w:hAnsi="Verdana"/>
          <w:color w:val="00B0F0"/>
          <w:sz w:val="20"/>
          <w:szCs w:val="20"/>
        </w:rPr>
      </w:pPr>
      <w:r w:rsidRPr="00F109AF">
        <w:rPr>
          <w:rFonts w:ascii="Verdana" w:hAnsi="Verdana"/>
          <w:sz w:val="20"/>
          <w:szCs w:val="20"/>
        </w:rPr>
        <w:t>Il est notifié à l’ensemble des organisati</w:t>
      </w:r>
      <w:r w:rsidR="001A1B0C" w:rsidRPr="00F109AF">
        <w:rPr>
          <w:rFonts w:ascii="Verdana" w:hAnsi="Verdana"/>
          <w:sz w:val="20"/>
          <w:szCs w:val="20"/>
        </w:rPr>
        <w:t xml:space="preserve">ons syndicales représentatives </w:t>
      </w:r>
      <w:r w:rsidR="00F109AF" w:rsidRPr="00F109AF">
        <w:rPr>
          <w:rFonts w:ascii="Verdana" w:hAnsi="Verdana"/>
          <w:sz w:val="20"/>
          <w:szCs w:val="20"/>
        </w:rPr>
        <w:t>de l’entreprise.</w:t>
      </w:r>
      <w:r w:rsidRPr="00F109AF">
        <w:rPr>
          <w:rFonts w:ascii="Verdana" w:hAnsi="Verdana"/>
          <w:sz w:val="20"/>
          <w:szCs w:val="20"/>
        </w:rPr>
        <w:t xml:space="preserve"> </w:t>
      </w:r>
    </w:p>
    <w:bookmarkEnd w:id="0"/>
    <w:p w14:paraId="6B04A4C2" w14:textId="3BA95ACE" w:rsidP="007A0174" w:rsidR="007A0174" w:rsidRDefault="007A0174" w:rsidRPr="00F109AF">
      <w:pPr>
        <w:shd w:color="auto" w:fill="FFFFFF" w:val="clear"/>
        <w:spacing w:after="0" w:line="240" w:lineRule="auto"/>
        <w:jc w:val="both"/>
        <w:rPr>
          <w:rFonts w:ascii="Verdana" w:cs="Arial" w:eastAsia="Times New Roman" w:hAnsi="Verdana"/>
          <w:sz w:val="20"/>
          <w:szCs w:val="20"/>
          <w:lang w:eastAsia="fr-FR"/>
        </w:rPr>
      </w:pPr>
      <w:r w:rsidRPr="00F109AF">
        <w:rPr>
          <w:rFonts w:ascii="Verdana" w:cs="Arial" w:eastAsia="Times New Roman" w:hAnsi="Verdana"/>
          <w:sz w:val="20"/>
          <w:szCs w:val="20"/>
          <w:lang w:eastAsia="fr-FR"/>
        </w:rPr>
        <w:t xml:space="preserve">Fait à </w:t>
      </w:r>
      <w:r w:rsidR="00F109AF" w:rsidRPr="00F109AF">
        <w:rPr>
          <w:rFonts w:ascii="Verdana" w:cs="Arial" w:eastAsia="Times New Roman" w:hAnsi="Verdana"/>
          <w:sz w:val="20"/>
          <w:szCs w:val="20"/>
          <w:lang w:eastAsia="fr-FR"/>
        </w:rPr>
        <w:t>La Farlède,</w:t>
      </w:r>
      <w:r w:rsidRPr="00F109AF">
        <w:rPr>
          <w:rFonts w:ascii="Verdana" w:cs="Arial" w:eastAsia="Times New Roman" w:hAnsi="Verdana"/>
          <w:sz w:val="20"/>
          <w:szCs w:val="20"/>
          <w:lang w:eastAsia="fr-FR"/>
        </w:rPr>
        <w:t xml:space="preserve"> le </w:t>
      </w:r>
      <w:r w:rsidR="00521AA1">
        <w:rPr>
          <w:rFonts w:ascii="Verdana" w:cs="Arial" w:eastAsia="Times New Roman" w:hAnsi="Verdana"/>
          <w:sz w:val="20"/>
          <w:szCs w:val="20"/>
          <w:lang w:eastAsia="fr-FR"/>
        </w:rPr>
        <w:t>01 juin 2022</w:t>
      </w:r>
      <w:r w:rsidR="00F109AF" w:rsidRPr="00F109AF">
        <w:rPr>
          <w:rFonts w:ascii="Verdana" w:cs="Arial" w:eastAsia="Times New Roman" w:hAnsi="Verdana"/>
          <w:sz w:val="20"/>
          <w:szCs w:val="20"/>
          <w:lang w:eastAsia="fr-FR"/>
        </w:rPr>
        <w:t>,</w:t>
      </w:r>
    </w:p>
    <w:p w14:paraId="2C318E7B" w14:textId="77777777" w:rsidP="007A0174" w:rsidR="00F109AF" w:rsidRDefault="00F109AF" w:rsidRPr="00F109AF">
      <w:pPr>
        <w:shd w:color="auto" w:fill="FFFFFF" w:val="clear"/>
        <w:spacing w:after="0" w:line="240" w:lineRule="auto"/>
        <w:jc w:val="both"/>
        <w:rPr>
          <w:rFonts w:ascii="Verdana" w:cs="Arial" w:eastAsia="Times New Roman" w:hAnsi="Verdana"/>
          <w:sz w:val="20"/>
          <w:szCs w:val="20"/>
          <w:lang w:eastAsia="fr-FR"/>
        </w:rPr>
      </w:pPr>
      <w:r w:rsidRPr="00F109AF">
        <w:rPr>
          <w:rFonts w:ascii="Verdana" w:cs="Arial" w:eastAsia="Times New Roman" w:hAnsi="Verdana"/>
          <w:sz w:val="20"/>
          <w:szCs w:val="20"/>
          <w:lang w:eastAsia="fr-FR"/>
        </w:rPr>
        <w:t>En 8 exemplaires originaux,</w:t>
      </w:r>
    </w:p>
    <w:p w14:paraId="0433BCA9" w14:textId="77777777" w:rsidP="007A0174" w:rsidR="007A0174" w:rsidRDefault="007A0174" w:rsidRPr="00F109AF">
      <w:pPr>
        <w:shd w:color="auto" w:fill="FFFFFF" w:val="clear"/>
        <w:spacing w:after="0" w:line="240" w:lineRule="auto"/>
        <w:rPr>
          <w:rFonts w:ascii="Verdana" w:cs="Arial" w:eastAsia="Times New Roman" w:hAnsi="Verdana"/>
          <w:color w:val="333333"/>
          <w:sz w:val="20"/>
          <w:szCs w:val="20"/>
          <w:lang w:eastAsia="fr-FR"/>
        </w:rPr>
      </w:pPr>
    </w:p>
    <w:tbl>
      <w:tblPr>
        <w:tblStyle w:val="Grilledutableau"/>
        <w:tblW w:type="auto" w:w="0"/>
        <w:tblBorders>
          <w:top w:color="auto" w:space="0" w:sz="4" w:val="dashSmallGap"/>
          <w:left w:color="auto" w:space="0" w:sz="4" w:val="dashSmallGap"/>
          <w:bottom w:color="auto" w:space="0" w:sz="4" w:val="dashSmallGap"/>
          <w:right w:color="auto" w:space="0" w:sz="4" w:val="dashSmallGap"/>
          <w:insideH w:color="auto" w:space="0" w:sz="4" w:val="dashSmallGap"/>
          <w:insideV w:color="auto" w:space="0" w:sz="4" w:val="dashSmallGap"/>
        </w:tblBorders>
        <w:tblLook w:firstColumn="1" w:firstRow="1" w:lastColumn="0" w:lastRow="0" w:noHBand="0" w:noVBand="1" w:val="04A0"/>
      </w:tblPr>
      <w:tblGrid>
        <w:gridCol w:w="4258"/>
        <w:gridCol w:w="5030"/>
      </w:tblGrid>
      <w:tr w14:paraId="4EBDA891" w14:textId="77777777" w:rsidR="00F109AF" w:rsidRPr="00F109AF" w:rsidTr="00B03A8F">
        <w:trPr>
          <w:trHeight w:val="1191"/>
        </w:trPr>
        <w:tc>
          <w:tcPr>
            <w:tcW w:type="dxa" w:w="4390"/>
            <w:vAlign w:val="center"/>
          </w:tcPr>
          <w:p w14:paraId="4FD946CE" w14:textId="7881EDC0" w:rsidP="00CB140E" w:rsidR="00F109AF" w:rsidRDefault="0079218B" w:rsidRPr="00F109AF">
            <w:pPr>
              <w:rPr>
                <w:rFonts w:ascii="Verdana" w:hAnsi="Verdana"/>
                <w:sz w:val="20"/>
                <w:szCs w:val="20"/>
              </w:rPr>
            </w:pPr>
            <w:r>
              <w:rPr>
                <w:rFonts w:ascii="Verdana" w:hAnsi="Verdana"/>
                <w:sz w:val="20"/>
                <w:szCs w:val="20"/>
              </w:rPr>
              <w:lastRenderedPageBreak/>
              <w:t>Direction</w:t>
            </w:r>
            <w:r w:rsidR="00F109AF" w:rsidRPr="00F109AF">
              <w:rPr>
                <w:rFonts w:ascii="Verdana" w:hAnsi="Verdana"/>
                <w:sz w:val="20"/>
                <w:szCs w:val="20"/>
              </w:rPr>
              <w:t xml:space="preserve">, </w:t>
            </w:r>
          </w:p>
        </w:tc>
        <w:tc>
          <w:tcPr>
            <w:tcW w:type="dxa" w:w="5238"/>
          </w:tcPr>
          <w:p w14:paraId="5D7E3B81" w14:textId="77777777" w:rsidP="00B03A8F" w:rsidR="00F109AF" w:rsidRDefault="00F109AF" w:rsidRPr="00F109AF">
            <w:pPr>
              <w:rPr>
                <w:rFonts w:ascii="Verdana" w:hAnsi="Verdana"/>
                <w:sz w:val="20"/>
                <w:szCs w:val="20"/>
              </w:rPr>
            </w:pPr>
          </w:p>
        </w:tc>
      </w:tr>
      <w:tr w14:paraId="4CAB5D84" w14:textId="77777777" w:rsidR="00F109AF" w:rsidRPr="00F109AF" w:rsidTr="00B03A8F">
        <w:trPr>
          <w:trHeight w:val="1191"/>
        </w:trPr>
        <w:tc>
          <w:tcPr>
            <w:tcW w:type="dxa" w:w="4390"/>
            <w:vAlign w:val="center"/>
          </w:tcPr>
          <w:p w14:paraId="5CF8A14F" w14:textId="2B8ACAA6" w:rsidP="00CB140E" w:rsidR="00F109AF" w:rsidRDefault="00F109AF" w:rsidRPr="00F109AF">
            <w:pPr>
              <w:rPr>
                <w:rFonts w:ascii="Verdana" w:hAnsi="Verdana"/>
                <w:sz w:val="20"/>
                <w:szCs w:val="20"/>
              </w:rPr>
            </w:pPr>
            <w:r w:rsidRPr="00F109AF">
              <w:rPr>
                <w:rFonts w:ascii="Verdana" w:hAnsi="Verdana"/>
                <w:sz w:val="20"/>
                <w:szCs w:val="20"/>
              </w:rPr>
              <w:t>CFDT,</w:t>
            </w:r>
          </w:p>
        </w:tc>
        <w:tc>
          <w:tcPr>
            <w:tcW w:type="dxa" w:w="5238"/>
          </w:tcPr>
          <w:p w14:paraId="49513D59" w14:textId="77777777" w:rsidP="00B03A8F" w:rsidR="00F109AF" w:rsidRDefault="00F109AF" w:rsidRPr="00F109AF">
            <w:pPr>
              <w:rPr>
                <w:rFonts w:ascii="Verdana" w:hAnsi="Verdana"/>
                <w:sz w:val="20"/>
                <w:szCs w:val="20"/>
              </w:rPr>
            </w:pPr>
          </w:p>
        </w:tc>
      </w:tr>
      <w:tr w14:paraId="01BE8539" w14:textId="77777777" w:rsidR="00F109AF" w:rsidRPr="00F109AF" w:rsidTr="00B03A8F">
        <w:trPr>
          <w:trHeight w:val="1191"/>
        </w:trPr>
        <w:tc>
          <w:tcPr>
            <w:tcW w:type="dxa" w:w="4390"/>
            <w:vAlign w:val="center"/>
          </w:tcPr>
          <w:p w14:paraId="652F7727" w14:textId="068D0B5D" w:rsidP="00CB140E" w:rsidR="00F109AF" w:rsidRDefault="00F109AF" w:rsidRPr="00F109AF">
            <w:pPr>
              <w:rPr>
                <w:rFonts w:ascii="Verdana" w:hAnsi="Verdana"/>
                <w:sz w:val="20"/>
                <w:szCs w:val="20"/>
              </w:rPr>
            </w:pPr>
            <w:r w:rsidRPr="00F109AF">
              <w:rPr>
                <w:rFonts w:ascii="Verdana" w:hAnsi="Verdana"/>
                <w:sz w:val="20"/>
                <w:szCs w:val="20"/>
              </w:rPr>
              <w:t xml:space="preserve">CFTC, </w:t>
            </w:r>
          </w:p>
        </w:tc>
        <w:tc>
          <w:tcPr>
            <w:tcW w:type="dxa" w:w="5238"/>
          </w:tcPr>
          <w:p w14:paraId="68FB0A14" w14:textId="77777777" w:rsidP="00B03A8F" w:rsidR="00F109AF" w:rsidRDefault="00F109AF" w:rsidRPr="00F109AF">
            <w:pPr>
              <w:rPr>
                <w:rFonts w:ascii="Verdana" w:hAnsi="Verdana"/>
                <w:sz w:val="20"/>
                <w:szCs w:val="20"/>
              </w:rPr>
            </w:pPr>
          </w:p>
        </w:tc>
      </w:tr>
      <w:tr w14:paraId="430A249E" w14:textId="77777777" w:rsidR="00F109AF" w:rsidRPr="00F109AF" w:rsidTr="00B03A8F">
        <w:trPr>
          <w:trHeight w:val="1191"/>
        </w:trPr>
        <w:tc>
          <w:tcPr>
            <w:tcW w:type="dxa" w:w="4390"/>
          </w:tcPr>
          <w:p w14:paraId="05099B06" w14:textId="77777777" w:rsidP="00B03A8F" w:rsidR="00F109AF" w:rsidRDefault="00F109AF" w:rsidRPr="00F109AF">
            <w:pPr>
              <w:rPr>
                <w:rFonts w:ascii="Verdana" w:hAnsi="Verdana"/>
                <w:sz w:val="20"/>
                <w:szCs w:val="20"/>
              </w:rPr>
            </w:pPr>
          </w:p>
          <w:p w14:paraId="5C8CFB50" w14:textId="77777777" w:rsidP="00B03A8F" w:rsidR="00F109AF" w:rsidRDefault="00F109AF" w:rsidRPr="00F109AF">
            <w:pPr>
              <w:rPr>
                <w:rFonts w:ascii="Verdana" w:hAnsi="Verdana"/>
                <w:sz w:val="20"/>
                <w:szCs w:val="20"/>
              </w:rPr>
            </w:pPr>
          </w:p>
          <w:p w14:paraId="27921D7F" w14:textId="6BF9A614" w:rsidP="00CB140E" w:rsidR="00F109AF" w:rsidRDefault="00F109AF" w:rsidRPr="00F109AF">
            <w:pPr>
              <w:rPr>
                <w:rFonts w:ascii="Verdana" w:hAnsi="Verdana"/>
                <w:sz w:val="20"/>
                <w:szCs w:val="20"/>
              </w:rPr>
            </w:pPr>
            <w:r w:rsidRPr="00F109AF">
              <w:rPr>
                <w:rFonts w:ascii="Verdana" w:hAnsi="Verdana"/>
                <w:sz w:val="20"/>
                <w:szCs w:val="20"/>
              </w:rPr>
              <w:t xml:space="preserve">CGT, </w:t>
            </w:r>
          </w:p>
        </w:tc>
        <w:tc>
          <w:tcPr>
            <w:tcW w:type="dxa" w:w="5238"/>
          </w:tcPr>
          <w:p w14:paraId="2B825BD8" w14:textId="77777777" w:rsidP="00B03A8F" w:rsidR="00F109AF" w:rsidRDefault="00F109AF" w:rsidRPr="00F109AF">
            <w:pPr>
              <w:rPr>
                <w:rFonts w:ascii="Verdana" w:hAnsi="Verdana"/>
                <w:sz w:val="20"/>
                <w:szCs w:val="20"/>
              </w:rPr>
            </w:pPr>
          </w:p>
        </w:tc>
      </w:tr>
      <w:tr w14:paraId="302E4A6A" w14:textId="77777777" w:rsidR="00F109AF" w:rsidRPr="00F109AF" w:rsidTr="00B03A8F">
        <w:trPr>
          <w:trHeight w:val="1191"/>
        </w:trPr>
        <w:tc>
          <w:tcPr>
            <w:tcW w:type="dxa" w:w="4390"/>
            <w:vAlign w:val="center"/>
          </w:tcPr>
          <w:p w14:paraId="772B8F3F" w14:textId="63654F6A" w:rsidP="00CB140E" w:rsidR="00F109AF" w:rsidRDefault="00F109AF" w:rsidRPr="00F109AF">
            <w:pPr>
              <w:rPr>
                <w:rFonts w:ascii="Verdana" w:hAnsi="Verdana"/>
                <w:sz w:val="20"/>
                <w:szCs w:val="20"/>
              </w:rPr>
            </w:pPr>
            <w:r w:rsidRPr="00F109AF">
              <w:rPr>
                <w:rFonts w:ascii="Verdana" w:hAnsi="Verdana"/>
                <w:sz w:val="20"/>
                <w:szCs w:val="20"/>
              </w:rPr>
              <w:t xml:space="preserve">UNSA, </w:t>
            </w:r>
            <w:bookmarkStart w:id="1" w:name="_GoBack"/>
            <w:bookmarkEnd w:id="1"/>
          </w:p>
        </w:tc>
        <w:tc>
          <w:tcPr>
            <w:tcW w:type="dxa" w:w="5238"/>
          </w:tcPr>
          <w:p w14:paraId="5D235986" w14:textId="77777777" w:rsidP="00B03A8F" w:rsidR="00F109AF" w:rsidRDefault="00F109AF" w:rsidRPr="00F109AF">
            <w:pPr>
              <w:rPr>
                <w:rFonts w:ascii="Verdana" w:hAnsi="Verdana"/>
                <w:sz w:val="20"/>
                <w:szCs w:val="20"/>
              </w:rPr>
            </w:pPr>
          </w:p>
        </w:tc>
      </w:tr>
    </w:tbl>
    <w:p w14:paraId="7AE98B16" w14:textId="77777777" w:rsidP="00183A10" w:rsidR="005B553B" w:rsidRDefault="007D1822" w:rsidRPr="00F109AF">
      <w:pPr>
        <w:rPr>
          <w:rFonts w:ascii="Verdana" w:hAnsi="Verdana"/>
          <w:sz w:val="20"/>
          <w:szCs w:val="20"/>
        </w:rPr>
      </w:pPr>
    </w:p>
    <w:sectPr w:rsidR="005B553B" w:rsidRPr="00F109AF" w:rsidSect="004B1B0C">
      <w:headerReference r:id="rId14" w:type="default"/>
      <w:footerReference r:id="rId15" w:type="default"/>
      <w:pgSz w:h="16838" w:w="11906"/>
      <w:pgMar w:bottom="1417" w:footer="569" w:gutter="0" w:header="708" w:left="1417" w:right="1417" w:top="212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C1A43" w14:textId="77777777" w:rsidR="007D1822" w:rsidRDefault="007D1822" w:rsidP="00183A10">
      <w:pPr>
        <w:spacing w:after="0" w:line="240" w:lineRule="auto"/>
      </w:pPr>
      <w:r>
        <w:separator/>
      </w:r>
    </w:p>
  </w:endnote>
  <w:endnote w:type="continuationSeparator" w:id="0">
    <w:p w14:paraId="071A846C" w14:textId="77777777" w:rsidR="007D1822" w:rsidRDefault="007D1822" w:rsidP="0018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Karbon Med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270748389"/>
      <w:docPartObj>
        <w:docPartGallery w:val="Page Numbers (Bottom of Page)"/>
        <w:docPartUnique/>
      </w:docPartObj>
    </w:sdtPr>
    <w:sdtEndPr>
      <w:rPr>
        <w:rFonts w:ascii="Verdana" w:hAnsi="Verdana"/>
        <w:sz w:val="18"/>
        <w:szCs w:val="18"/>
      </w:rPr>
    </w:sdtEndPr>
    <w:sdtContent>
      <w:p w14:paraId="6C0E72F2" w14:textId="77777777" w:rsidR="00D563DE" w:rsidRDefault="00D563DE" w:rsidRPr="004B1B0C">
        <w:pPr>
          <w:pStyle w:val="Pieddepage"/>
          <w:jc w:val="right"/>
          <w:rPr>
            <w:rFonts w:ascii="Verdana" w:hAnsi="Verdana"/>
            <w:sz w:val="18"/>
            <w:szCs w:val="18"/>
          </w:rPr>
        </w:pPr>
        <w:r w:rsidRPr="004B1B0C">
          <w:rPr>
            <w:rFonts w:ascii="Verdana" w:hAnsi="Verdana"/>
            <w:sz w:val="18"/>
            <w:szCs w:val="18"/>
          </w:rPr>
          <w:fldChar w:fldCharType="begin"/>
        </w:r>
        <w:r w:rsidRPr="004B1B0C">
          <w:rPr>
            <w:rFonts w:ascii="Verdana" w:hAnsi="Verdana"/>
            <w:sz w:val="18"/>
            <w:szCs w:val="18"/>
          </w:rPr>
          <w:instrText>PAGE   \* MERGEFORMAT</w:instrText>
        </w:r>
        <w:r w:rsidRPr="004B1B0C">
          <w:rPr>
            <w:rFonts w:ascii="Verdana" w:hAnsi="Verdana"/>
            <w:sz w:val="18"/>
            <w:szCs w:val="18"/>
          </w:rPr>
          <w:fldChar w:fldCharType="separate"/>
        </w:r>
        <w:r w:rsidR="00CB140E">
          <w:rPr>
            <w:rFonts w:ascii="Verdana" w:hAnsi="Verdana"/>
            <w:noProof/>
            <w:sz w:val="18"/>
            <w:szCs w:val="18"/>
          </w:rPr>
          <w:t>1</w:t>
        </w:r>
        <w:r w:rsidRPr="004B1B0C">
          <w:rPr>
            <w:rFonts w:ascii="Verdana" w:hAnsi="Verdana"/>
            <w:sz w:val="18"/>
            <w:szCs w:val="18"/>
          </w:rPr>
          <w:fldChar w:fldCharType="end"/>
        </w:r>
      </w:p>
    </w:sdtContent>
  </w:sdt>
  <w:p w14:paraId="1E11E18F" w14:textId="324E58B6" w:rsidP="00943A01" w:rsidR="00943A01" w:rsidRDefault="00943A01" w:rsidRPr="00660341">
    <w:pPr>
      <w:pStyle w:val="Pieddepage"/>
      <w:rPr>
        <w:rFonts w:ascii="Karbon Medium" w:hAnsi="Karbon Medium"/>
        <w:color w:val="FF0000"/>
        <w:sz w:val="16"/>
        <w:szCs w:val="16"/>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16F56BBD" w14:textId="77777777" w:rsidP="00183A10" w:rsidR="007D1822" w:rsidRDefault="007D1822">
      <w:pPr>
        <w:spacing w:after="0" w:line="240" w:lineRule="auto"/>
      </w:pPr>
      <w:r>
        <w:separator/>
      </w:r>
    </w:p>
  </w:footnote>
  <w:footnote w:id="0" w:type="continuationSeparator">
    <w:p w14:paraId="1C45391D" w14:textId="77777777" w:rsidP="00183A10" w:rsidR="007D1822" w:rsidRDefault="007D1822">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034372D" w14:textId="61599B08" w:rsidP="00B431A7" w:rsidR="00EF5679" w:rsidRDefault="00EF5679" w:rsidRPr="00B431A7">
    <w:pPr>
      <w:pStyle w:val="En-tte"/>
      <w:contextualSpacing/>
      <w:jc w:val="center"/>
      <w:rPr>
        <w:rFonts w:ascii="Verdana" w:hAnsi="Verdana"/>
        <w:sz w:val="20"/>
        <w:szCs w:val="20"/>
      </w:rPr>
    </w:pPr>
  </w:p>
  <w:p w14:paraId="0E35785E" w14:textId="77777777" w:rsidP="00B431A7" w:rsidR="00B431A7" w:rsidRDefault="00B431A7">
    <w:pPr>
      <w:spacing w:after="0" w:line="240" w:lineRule="auto"/>
      <w:ind w:firstLine="708" w:left="2832"/>
      <w:contextualSpacing/>
      <w:rPr>
        <w:rFonts w:ascii="Verdana" w:hAnsi="Verdana"/>
        <w:sz w:val="20"/>
        <w:szCs w:val="20"/>
      </w:rPr>
    </w:pPr>
  </w:p>
  <w:p w14:paraId="34575869" w14:textId="77777777" w:rsidP="00183A10" w:rsidR="00183A10" w:rsidRDefault="00183A10">
    <w:r>
      <w:tab/>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4911E2"/>
    <w:multiLevelType w:val="hybridMultilevel"/>
    <w:tmpl w:val="9C2CB2D0"/>
    <w:lvl w:ilvl="0" w:tplc="4448F514">
      <w:start w:val="2"/>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305B5CBF"/>
    <w:multiLevelType w:val="hybridMultilevel"/>
    <w:tmpl w:val="49F23B68"/>
    <w:lvl w:ilvl="0" w:tplc="F6CA62A8">
      <w:start w:val="1"/>
      <w:numFmt w:val="bullet"/>
      <w:lvlText w:val=""/>
      <w:lvlJc w:val="left"/>
      <w:pPr>
        <w:ind w:hanging="360" w:left="720"/>
      </w:pPr>
      <w:rPr>
        <w:rFonts w:ascii="Wingdings" w:hAnsi="Wingdings" w:hint="default"/>
        <w:color w:val="FF000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A10"/>
    <w:rsid w:val="0002496A"/>
    <w:rsid w:val="000308A4"/>
    <w:rsid w:val="00054F35"/>
    <w:rsid w:val="0006119D"/>
    <w:rsid w:val="00070BC8"/>
    <w:rsid w:val="000A555E"/>
    <w:rsid w:val="000B5B6E"/>
    <w:rsid w:val="001042E3"/>
    <w:rsid w:val="001755A0"/>
    <w:rsid w:val="00183A10"/>
    <w:rsid w:val="001A1B0C"/>
    <w:rsid w:val="001C3FD6"/>
    <w:rsid w:val="00214301"/>
    <w:rsid w:val="00255E77"/>
    <w:rsid w:val="00320678"/>
    <w:rsid w:val="00337F5E"/>
    <w:rsid w:val="00340A86"/>
    <w:rsid w:val="00366A17"/>
    <w:rsid w:val="00375275"/>
    <w:rsid w:val="0039581F"/>
    <w:rsid w:val="003C234F"/>
    <w:rsid w:val="003D3728"/>
    <w:rsid w:val="003F43C6"/>
    <w:rsid w:val="00404654"/>
    <w:rsid w:val="00473A0C"/>
    <w:rsid w:val="004A72E9"/>
    <w:rsid w:val="004B1B0C"/>
    <w:rsid w:val="004D2792"/>
    <w:rsid w:val="00515D1F"/>
    <w:rsid w:val="00521AA1"/>
    <w:rsid w:val="005256E4"/>
    <w:rsid w:val="00540F16"/>
    <w:rsid w:val="00681E41"/>
    <w:rsid w:val="006D38BB"/>
    <w:rsid w:val="006E294A"/>
    <w:rsid w:val="007421BF"/>
    <w:rsid w:val="0079218B"/>
    <w:rsid w:val="007A0174"/>
    <w:rsid w:val="007A3B8C"/>
    <w:rsid w:val="007D1822"/>
    <w:rsid w:val="008553B0"/>
    <w:rsid w:val="008A5439"/>
    <w:rsid w:val="008D4074"/>
    <w:rsid w:val="008D6E1B"/>
    <w:rsid w:val="00943A01"/>
    <w:rsid w:val="00946914"/>
    <w:rsid w:val="00950F1F"/>
    <w:rsid w:val="009E2EF3"/>
    <w:rsid w:val="00A12AA3"/>
    <w:rsid w:val="00A33110"/>
    <w:rsid w:val="00A469DF"/>
    <w:rsid w:val="00A70480"/>
    <w:rsid w:val="00A876D1"/>
    <w:rsid w:val="00B27D28"/>
    <w:rsid w:val="00B431A7"/>
    <w:rsid w:val="00BC6605"/>
    <w:rsid w:val="00BD4321"/>
    <w:rsid w:val="00BF5E3B"/>
    <w:rsid w:val="00C42F4F"/>
    <w:rsid w:val="00C753E4"/>
    <w:rsid w:val="00CB140E"/>
    <w:rsid w:val="00CD4AE0"/>
    <w:rsid w:val="00CD6260"/>
    <w:rsid w:val="00CE0203"/>
    <w:rsid w:val="00D37B2F"/>
    <w:rsid w:val="00D563DE"/>
    <w:rsid w:val="00D651D5"/>
    <w:rsid w:val="00D70626"/>
    <w:rsid w:val="00DC057C"/>
    <w:rsid w:val="00DC5737"/>
    <w:rsid w:val="00DD0CCF"/>
    <w:rsid w:val="00E21AD8"/>
    <w:rsid w:val="00E2398E"/>
    <w:rsid w:val="00E26236"/>
    <w:rsid w:val="00E3759B"/>
    <w:rsid w:val="00E43FC8"/>
    <w:rsid w:val="00E677A6"/>
    <w:rsid w:val="00E91B95"/>
    <w:rsid w:val="00EF5679"/>
    <w:rsid w:val="00F0615D"/>
    <w:rsid w:val="00F109AF"/>
    <w:rsid w:val="00F66F2F"/>
    <w:rsid w:val="00F67CA4"/>
    <w:rsid w:val="00FB40BF"/>
    <w:rsid w:val="00FC3245"/>
    <w:rsid w:val="00FF286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A3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183A10"/>
    <w:pPr>
      <w:tabs>
        <w:tab w:pos="4536" w:val="center"/>
        <w:tab w:pos="9072" w:val="right"/>
      </w:tabs>
      <w:spacing w:after="0" w:line="240" w:lineRule="auto"/>
    </w:pPr>
  </w:style>
  <w:style w:customStyle="1" w:styleId="En-tteCar" w:type="character">
    <w:name w:val="En-tête Car"/>
    <w:basedOn w:val="Policepardfaut"/>
    <w:link w:val="En-tte"/>
    <w:uiPriority w:val="99"/>
    <w:rsid w:val="00183A10"/>
  </w:style>
  <w:style w:styleId="Pieddepage" w:type="paragraph">
    <w:name w:val="footer"/>
    <w:basedOn w:val="Normal"/>
    <w:link w:val="PieddepageCar"/>
    <w:uiPriority w:val="99"/>
    <w:unhideWhenUsed/>
    <w:rsid w:val="00183A10"/>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183A10"/>
  </w:style>
  <w:style w:styleId="Textedebulles" w:type="paragraph">
    <w:name w:val="Balloon Text"/>
    <w:basedOn w:val="Normal"/>
    <w:link w:val="TextedebullesCar"/>
    <w:uiPriority w:val="99"/>
    <w:semiHidden/>
    <w:unhideWhenUsed/>
    <w:rsid w:val="00183A10"/>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183A10"/>
    <w:rPr>
      <w:rFonts w:ascii="Tahoma" w:cs="Tahoma" w:hAnsi="Tahoma"/>
      <w:sz w:val="16"/>
      <w:szCs w:val="16"/>
    </w:rPr>
  </w:style>
  <w:style w:styleId="Paragraphedeliste" w:type="paragraph">
    <w:name w:val="List Paragraph"/>
    <w:basedOn w:val="Normal"/>
    <w:uiPriority w:val="34"/>
    <w:qFormat/>
    <w:rsid w:val="00A33110"/>
    <w:pPr>
      <w:ind w:left="720"/>
      <w:contextualSpacing/>
    </w:pPr>
  </w:style>
  <w:style w:styleId="Grilledutableau" w:type="table">
    <w:name w:val="Table Grid"/>
    <w:basedOn w:val="TableauNormal"/>
    <w:uiPriority w:val="39"/>
    <w:rsid w:val="00F109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semiHidden/>
    <w:unhideWhenUsed/>
    <w:rsid w:val="006E294A"/>
    <w:rPr>
      <w:sz w:val="16"/>
      <w:szCs w:val="16"/>
    </w:rPr>
  </w:style>
  <w:style w:styleId="Commentaire" w:type="paragraph">
    <w:name w:val="annotation text"/>
    <w:basedOn w:val="Normal"/>
    <w:link w:val="CommentaireCar"/>
    <w:uiPriority w:val="99"/>
    <w:semiHidden/>
    <w:unhideWhenUsed/>
    <w:rsid w:val="006E294A"/>
    <w:pPr>
      <w:spacing w:line="240" w:lineRule="auto"/>
    </w:pPr>
    <w:rPr>
      <w:sz w:val="20"/>
      <w:szCs w:val="20"/>
    </w:rPr>
  </w:style>
  <w:style w:customStyle="1" w:styleId="CommentaireCar" w:type="character">
    <w:name w:val="Commentaire Car"/>
    <w:basedOn w:val="Policepardfaut"/>
    <w:link w:val="Commentaire"/>
    <w:uiPriority w:val="99"/>
    <w:semiHidden/>
    <w:rsid w:val="006E294A"/>
    <w:rPr>
      <w:sz w:val="20"/>
      <w:szCs w:val="20"/>
    </w:rPr>
  </w:style>
  <w:style w:styleId="Objetducommentaire" w:type="paragraph">
    <w:name w:val="annotation subject"/>
    <w:basedOn w:val="Commentaire"/>
    <w:next w:val="Commentaire"/>
    <w:link w:val="ObjetducommentaireCar"/>
    <w:uiPriority w:val="99"/>
    <w:semiHidden/>
    <w:unhideWhenUsed/>
    <w:rsid w:val="006E294A"/>
    <w:rPr>
      <w:b/>
      <w:bCs/>
    </w:rPr>
  </w:style>
  <w:style w:customStyle="1" w:styleId="ObjetducommentaireCar" w:type="character">
    <w:name w:val="Objet du commentaire Car"/>
    <w:basedOn w:val="CommentaireCar"/>
    <w:link w:val="Objetducommentaire"/>
    <w:uiPriority w:val="99"/>
    <w:semiHidden/>
    <w:rsid w:val="006E294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A10"/>
    <w:pPr>
      <w:tabs>
        <w:tab w:val="center" w:pos="4536"/>
        <w:tab w:val="right" w:pos="9072"/>
      </w:tabs>
      <w:spacing w:after="0" w:line="240" w:lineRule="auto"/>
    </w:pPr>
  </w:style>
  <w:style w:type="character" w:customStyle="1" w:styleId="En-tteCar">
    <w:name w:val="En-tête Car"/>
    <w:basedOn w:val="Policepardfaut"/>
    <w:link w:val="En-tte"/>
    <w:uiPriority w:val="99"/>
    <w:rsid w:val="00183A10"/>
  </w:style>
  <w:style w:type="paragraph" w:styleId="Pieddepage">
    <w:name w:val="footer"/>
    <w:basedOn w:val="Normal"/>
    <w:link w:val="PieddepageCar"/>
    <w:uiPriority w:val="99"/>
    <w:unhideWhenUsed/>
    <w:rsid w:val="00183A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A10"/>
  </w:style>
  <w:style w:type="paragraph" w:styleId="Textedebulles">
    <w:name w:val="Balloon Text"/>
    <w:basedOn w:val="Normal"/>
    <w:link w:val="TextedebullesCar"/>
    <w:uiPriority w:val="99"/>
    <w:semiHidden/>
    <w:unhideWhenUsed/>
    <w:rsid w:val="00183A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3A10"/>
    <w:rPr>
      <w:rFonts w:ascii="Tahoma" w:hAnsi="Tahoma" w:cs="Tahoma"/>
      <w:sz w:val="16"/>
      <w:szCs w:val="16"/>
    </w:rPr>
  </w:style>
  <w:style w:type="paragraph" w:styleId="Paragraphedeliste">
    <w:name w:val="List Paragraph"/>
    <w:basedOn w:val="Normal"/>
    <w:uiPriority w:val="34"/>
    <w:qFormat/>
    <w:rsid w:val="00A33110"/>
    <w:pPr>
      <w:ind w:left="720"/>
      <w:contextualSpacing/>
    </w:pPr>
  </w:style>
  <w:style w:type="table" w:styleId="Grilledutableau">
    <w:name w:val="Table Grid"/>
    <w:basedOn w:val="TableauNormal"/>
    <w:uiPriority w:val="39"/>
    <w:rsid w:val="00F10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E294A"/>
    <w:rPr>
      <w:sz w:val="16"/>
      <w:szCs w:val="16"/>
    </w:rPr>
  </w:style>
  <w:style w:type="paragraph" w:styleId="Commentaire">
    <w:name w:val="annotation text"/>
    <w:basedOn w:val="Normal"/>
    <w:link w:val="CommentaireCar"/>
    <w:uiPriority w:val="99"/>
    <w:semiHidden/>
    <w:unhideWhenUsed/>
    <w:rsid w:val="006E294A"/>
    <w:pPr>
      <w:spacing w:line="240" w:lineRule="auto"/>
    </w:pPr>
    <w:rPr>
      <w:sz w:val="20"/>
      <w:szCs w:val="20"/>
    </w:rPr>
  </w:style>
  <w:style w:type="character" w:customStyle="1" w:styleId="CommentaireCar">
    <w:name w:val="Commentaire Car"/>
    <w:basedOn w:val="Policepardfaut"/>
    <w:link w:val="Commentaire"/>
    <w:uiPriority w:val="99"/>
    <w:semiHidden/>
    <w:rsid w:val="006E294A"/>
    <w:rPr>
      <w:sz w:val="20"/>
      <w:szCs w:val="20"/>
    </w:rPr>
  </w:style>
  <w:style w:type="paragraph" w:styleId="Objetducommentaire">
    <w:name w:val="annotation subject"/>
    <w:basedOn w:val="Commentaire"/>
    <w:next w:val="Commentaire"/>
    <w:link w:val="ObjetducommentaireCar"/>
    <w:uiPriority w:val="99"/>
    <w:semiHidden/>
    <w:unhideWhenUsed/>
    <w:rsid w:val="006E294A"/>
    <w:rPr>
      <w:b/>
      <w:bCs/>
    </w:rPr>
  </w:style>
  <w:style w:type="character" w:customStyle="1" w:styleId="ObjetducommentaireCar">
    <w:name w:val="Objet du commentaire Car"/>
    <w:basedOn w:val="CommentaireCar"/>
    <w:link w:val="Objetducommentaire"/>
    <w:uiPriority w:val="99"/>
    <w:semiHidden/>
    <w:rsid w:val="006E29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0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settings.xml" Type="http://schemas.openxmlformats.org/officeDocument/2006/relationships/settings"/><Relationship Id="rId11" Target="webSettings.xml" Type="http://schemas.openxmlformats.org/officeDocument/2006/relationships/webSettings"/><Relationship Id="rId12" Target="footnotes.xml" Type="http://schemas.openxmlformats.org/officeDocument/2006/relationships/footnotes"/><Relationship Id="rId13" Target="endnotes.xml" Type="http://schemas.openxmlformats.org/officeDocument/2006/relationships/endnotes"/><Relationship Id="rId14" Target="header1.xml" Type="http://schemas.openxmlformats.org/officeDocument/2006/relationships/header"/><Relationship Id="rId15" Target="footer1.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customXml/item6.xml" Type="http://schemas.openxmlformats.org/officeDocument/2006/relationships/customXml"/><Relationship Id="rId7" Target="numbering.xml" Type="http://schemas.openxmlformats.org/officeDocument/2006/relationships/numbering"/><Relationship Id="rId8" Target="styles.xml" Type="http://schemas.openxmlformats.org/officeDocument/2006/relationships/styles"/><Relationship Id="rId9" Target="stylesWithEffects.xml" Type="http://schemas.microsoft.com/office/2007/relationships/stylesWithEffect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_rels/item6.xml.rels><?xml version="1.0" encoding="UTF-8" standalone="no"?><Relationships xmlns="http://schemas.openxmlformats.org/package/2006/relationships"><Relationship Id="rId1" Target="itemProps6.xml" Type="http://schemas.openxmlformats.org/officeDocument/2006/relationships/customXmlProps"/></Relationships>
</file>

<file path=customXml/item1.xml><?xml version="1.0" encoding="utf-8"?>
<?mso-contentType ?>
<SharedContentType xmlns="Microsoft.SharePoint.Taxonomy.ContentTypeSync" SourceId="b49a2378-73c7-4e4c-bff8-b85a2f404b86"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1D3A0DDBCC2CF941A5A5D37642E7ECFB" ma:contentTypeVersion="92" ma:contentTypeDescription="Crée un document." ma:contentTypeScope="" ma:versionID="8b55b0e71cead459170a9c82fdcdd1df">
  <xsd:schema xmlns:xsd="http://www.w3.org/2001/XMLSchema" xmlns:xs="http://www.w3.org/2001/XMLSchema" xmlns:p="http://schemas.microsoft.com/office/2006/metadata/properties" xmlns:ns2="0a364eea-67ea-455f-9675-6b218db9dfb1" xmlns:ns3="http://schemas.microsoft.com/sharepoint/v3/fields" xmlns:ns4="9280583d-1cab-4233-9e84-a28c7bbaba92" xmlns:ns5="b3bb7276-b751-492a-90bf-3013f43395c5" xmlns:ns6="7b74dd18-242c-4403-9be2-d67176fabf7e" targetNamespace="http://schemas.microsoft.com/office/2006/metadata/properties" ma:root="true" ma:fieldsID="767d354516736150b4213f84d0578581" ns2:_="" ns3:_="" ns4:_="" ns5:_="" ns6:_="">
    <xsd:import namespace="0a364eea-67ea-455f-9675-6b218db9dfb1"/>
    <xsd:import namespace="http://schemas.microsoft.com/sharepoint/v3/fields"/>
    <xsd:import namespace="9280583d-1cab-4233-9e84-a28c7bbaba92"/>
    <xsd:import namespace="b3bb7276-b751-492a-90bf-3013f43395c5"/>
    <xsd:import namespace="7b74dd18-242c-4403-9be2-d67176fabf7e"/>
    <xsd:element name="properties">
      <xsd:complexType>
        <xsd:sequence>
          <xsd:element name="documentManagement">
            <xsd:complexType>
              <xsd:all>
                <xsd:element ref="ns2:TaxCatchAll" minOccurs="0"/>
                <xsd:element ref="ns3:Description" minOccurs="0"/>
                <xsd:element ref="ns4:Referent" minOccurs="0"/>
                <xsd:element ref="ns4:VTDDescription" minOccurs="0"/>
                <xsd:element ref="ns4:SharedWithUsers" minOccurs="0"/>
                <xsd:element ref="ns5:SharedWithDetails" minOccurs="0"/>
                <xsd:element ref="ns6:MediaServiceMetadata" minOccurs="0"/>
                <xsd:element ref="ns6:MediaServiceFastMetadata" minOccurs="0"/>
                <xsd:element ref="ns4:TaxKeywordTaxHTField"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64eea-67ea-455f-9675-6b218db9dfb1"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80577737-9bab-4dbd-9f2a-b4286b5ebdd5}" ma:internalName="TaxCatchAll" ma:showField="CatchAllData" ma:web="9280583d-1cab-4233-9e84-a28c7bbaba9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escription" ma:index="9" nillable="true" ma:displayName="Description" ma:description="Document description" ma:internalName="Description"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80583d-1cab-4233-9e84-a28c7bbaba92" elementFormDefault="qualified">
    <xsd:import namespace="http://schemas.microsoft.com/office/2006/documentManagement/types"/>
    <xsd:import namespace="http://schemas.microsoft.com/office/infopath/2007/PartnerControls"/>
    <xsd:element name="Referent" ma:index="10" nillable="true" ma:displayName="Referent" ma:description="Referent du document" ma:SharePointGroup="0" ma:internalName="Refere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TDDescription" ma:index="11" nillable="true" ma:displayName="Description" ma:description="Description du document" ma:internalName="VTDDescription">
      <xsd:simpleType>
        <xsd:restriction base="dms:Note">
          <xsd:maxLength value="255"/>
        </xsd:restriction>
      </xsd:simpleType>
    </xsd:element>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KeywordTaxHTField" ma:index="16" nillable="true" ma:taxonomy="true" ma:internalName="TaxKeywordTaxHTField" ma:taxonomyFieldName="TaxKeyword" ma:displayName="Mots clés d’entreprise" ma:fieldId="{23f27201-bee3-471e-b2e7-b64fd8b7ca38}" ma:taxonomyMulti="true" ma:sspId="b49a2378-73c7-4e4c-bff8-b85a2f404b86" ma:termSetId="00000000-0000-0000-0000-000000000000" ma:anchorId="00000000-0000-0000-0000-000000000000" ma:open="true" ma:isKeyword="true">
      <xsd:complexType>
        <xsd:sequence>
          <xsd:element ref="pc:Terms" minOccurs="0" maxOccurs="1"/>
        </xsd:sequence>
      </xsd:complexType>
    </xsd:element>
    <xsd:element name="_dlc_DocId" ma:index="18" nillable="true" ma:displayName="Valeur d’ID de document" ma:description="Valeur de l’ID de document affecté à cet élément." ma:internalName="_dlc_DocId" ma:readOnly="true">
      <xsd:simpleType>
        <xsd:restriction base="dms:Text"/>
      </xsd:simpleType>
    </xsd:element>
    <xsd:element name="_dlc_DocIdUrl" ma:index="1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3bb7276-b751-492a-90bf-3013f43395c5" elementFormDefault="qualified">
    <xsd:import namespace="http://schemas.microsoft.com/office/2006/documentManagement/types"/>
    <xsd:import namespace="http://schemas.microsoft.com/office/infopath/2007/PartnerControls"/>
    <xsd:element name="SharedWithDetails" ma:index="13"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74dd18-242c-4403-9be2-d67176fabf7e"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9280583d-1cab-4233-9e84-a28c7bbaba92">AUXFAJ3MERXS-1568582349-73</_dlc_DocId>
    <_dlc_DocIdUrl xmlns="9280583d-1cab-4233-9e84-a28c7bbaba92">
      <Url>https://lehub.sharepoint.com/sites/Expert.NET/Communities/DRS/_layouts/15/DocIdRedir.aspx?ID=AUXFAJ3MERXS-1568582349-73</Url>
      <Description>AUXFAJ3MERXS-1568582349-73</Description>
    </_dlc_DocIdUrl>
    <VTDDescription xmlns="9280583d-1cab-4233-9e84-a28c7bbaba92" xsi:nil="true"/>
    <Referent xmlns="9280583d-1cab-4233-9e84-a28c7bbaba92">
      <UserInfo>
        <DisplayName/>
        <AccountId xsi:nil="true"/>
        <AccountType/>
      </UserInfo>
    </Referent>
    <TaxCatchAll xmlns="0a364eea-67ea-455f-9675-6b218db9dfb1" xsi:nil="true"/>
    <TaxKeywordTaxHTField xmlns="9280583d-1cab-4233-9e84-a28c7bbaba92">
      <Terms xmlns="http://schemas.microsoft.com/office/infopath/2007/PartnerControls"/>
    </TaxKeywordTaxHTFiel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481F9-81AD-44BC-8EE8-8C9D38EA4923}">
  <ds:schemaRefs>
    <ds:schemaRef ds:uri="Microsoft.SharePoint.Taxonomy.ContentTypeSync"/>
  </ds:schemaRefs>
</ds:datastoreItem>
</file>

<file path=customXml/itemProps2.xml><?xml version="1.0" encoding="utf-8"?>
<ds:datastoreItem xmlns:ds="http://schemas.openxmlformats.org/officeDocument/2006/customXml" ds:itemID="{A2862E18-0F35-4660-8285-E5752CE27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64eea-67ea-455f-9675-6b218db9dfb1"/>
    <ds:schemaRef ds:uri="http://schemas.microsoft.com/sharepoint/v3/fields"/>
    <ds:schemaRef ds:uri="9280583d-1cab-4233-9e84-a28c7bbaba92"/>
    <ds:schemaRef ds:uri="b3bb7276-b751-492a-90bf-3013f43395c5"/>
    <ds:schemaRef ds:uri="7b74dd18-242c-4403-9be2-d67176fabf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D22E9F-F842-4996-B604-B1656F0392BE}">
  <ds:schemaRefs>
    <ds:schemaRef ds:uri="http://schemas.microsoft.com/office/2006/metadata/properties"/>
    <ds:schemaRef ds:uri="http://schemas.microsoft.com/office/infopath/2007/PartnerControls"/>
    <ds:schemaRef ds:uri="9280583d-1cab-4233-9e84-a28c7bbaba92"/>
    <ds:schemaRef ds:uri="0a364eea-67ea-455f-9675-6b218db9dfb1"/>
  </ds:schemaRefs>
</ds:datastoreItem>
</file>

<file path=customXml/itemProps4.xml><?xml version="1.0" encoding="utf-8"?>
<ds:datastoreItem xmlns:ds="http://schemas.openxmlformats.org/officeDocument/2006/customXml" ds:itemID="{2D1B3F68-D694-48B4-A2B7-5571FFB2CB09}">
  <ds:schemaRefs>
    <ds:schemaRef ds:uri="http://schemas.microsoft.com/sharepoint/v3/contenttype/forms"/>
  </ds:schemaRefs>
</ds:datastoreItem>
</file>

<file path=customXml/itemProps5.xml><?xml version="1.0" encoding="utf-8"?>
<ds:datastoreItem xmlns:ds="http://schemas.openxmlformats.org/officeDocument/2006/customXml" ds:itemID="{717D5397-5FFC-404A-85B6-EFE76DDEF134}">
  <ds:schemaRefs>
    <ds:schemaRef ds:uri="http://schemas.microsoft.com/sharepoint/events"/>
  </ds:schemaRefs>
</ds:datastoreItem>
</file>

<file path=customXml/itemProps6.xml><?xml version="1.0" encoding="utf-8"?>
<ds:datastoreItem xmlns:ds="http://schemas.openxmlformats.org/officeDocument/2006/customXml" ds:itemID="{191EF230-BE5C-4E40-8EB6-A747AF13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4770</Characters>
  <Application>Microsoft Office Word</Application>
  <DocSecurity>0</DocSecurity>
  <Lines>39</Lines>
  <Paragraphs>11</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2022-06-20T10:00:00Z</dcterms:created>
  <cp:lastPrinted>2022-05-25T11:57:00Z</cp:lastPrinted>
  <dcterms:modified xsi:type="dcterms:W3CDTF">2022-06-20T10:16:00Z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0x0101001D3A0DDBCC2CF941A5A5D37642E7ECFB</vt:lpwstr>
  </property>
  <property fmtid="{D5CDD505-2E9C-101B-9397-08002B2CF9AE}" name="_dlc_DocIdItemGuid" pid="3">
    <vt:lpwstr>1d19923b-02cd-4370-8dc3-318fdef6c93d</vt:lpwstr>
  </property>
  <property fmtid="{D5CDD505-2E9C-101B-9397-08002B2CF9AE}" name="TaxKeyword" pid="4">
    <vt:lpwstr/>
  </property>
</Properties>
</file>