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467A29E" w14:textId="77777777" w:rsidP="002A0DDA" w:rsidR="002A0DDA" w:rsidRDefault="002A0DDA" w:rsidRPr="002C1E83">
      <w:pPr>
        <w:pStyle w:val="Titr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rPr>
          <w:rFonts w:ascii="Times New Roman" w:cs="Times New Roman" w:hAnsi="Times New Roman"/>
          <w:sz w:val="24"/>
          <w:szCs w:val="24"/>
        </w:rPr>
      </w:pPr>
    </w:p>
    <w:p w14:paraId="66D63EEB" w14:textId="2292347A" w:rsidP="002A0DDA" w:rsidR="00947D3E" w:rsidRDefault="00674EB0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Dispositions relatives aux </w:t>
      </w:r>
      <w:r w:rsidR="00947D3E">
        <w:rPr>
          <w:b/>
          <w:sz w:val="28"/>
          <w:szCs w:val="28"/>
        </w:rPr>
        <w:t>Négociation</w:t>
      </w:r>
      <w:r>
        <w:rPr>
          <w:b/>
          <w:sz w:val="28"/>
          <w:szCs w:val="28"/>
        </w:rPr>
        <w:t>s</w:t>
      </w:r>
      <w:r w:rsidR="00947D3E">
        <w:rPr>
          <w:b/>
          <w:sz w:val="28"/>
          <w:szCs w:val="28"/>
        </w:rPr>
        <w:t xml:space="preserve"> Annuelle</w:t>
      </w:r>
      <w:r>
        <w:rPr>
          <w:b/>
          <w:sz w:val="28"/>
          <w:szCs w:val="28"/>
        </w:rPr>
        <w:t>s</w:t>
      </w:r>
      <w:r w:rsidR="00947D3E">
        <w:rPr>
          <w:b/>
          <w:sz w:val="28"/>
          <w:szCs w:val="28"/>
        </w:rPr>
        <w:t xml:space="preserve"> Obligatoire</w:t>
      </w:r>
      <w:r>
        <w:rPr>
          <w:b/>
          <w:sz w:val="28"/>
          <w:szCs w:val="28"/>
        </w:rPr>
        <w:t>s</w:t>
      </w:r>
      <w:r w:rsidR="00947D3E">
        <w:rPr>
          <w:b/>
          <w:sz w:val="28"/>
          <w:szCs w:val="28"/>
        </w:rPr>
        <w:t xml:space="preserve"> </w:t>
      </w:r>
    </w:p>
    <w:p w14:paraId="4D7A7CD8" w14:textId="77777777" w:rsidP="002A0DDA" w:rsidR="002A0DDA" w:rsidRDefault="002A0DDA" w:rsidRPr="002C1E83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</w:rPr>
      </w:pPr>
    </w:p>
    <w:p w14:paraId="6F144CEC" w14:textId="77777777" w:rsidP="002A0DDA" w:rsidR="002A0DDA" w:rsidRDefault="002A0DDA" w:rsidRPr="002C1E83">
      <w:pPr>
        <w:jc w:val="center"/>
        <w:rPr>
          <w:b/>
        </w:rPr>
      </w:pPr>
    </w:p>
    <w:p w14:paraId="78D7ED7F" w14:textId="77777777" w:rsidP="002A0DDA" w:rsidR="002A0DDA" w:rsidRDefault="002A0DDA" w:rsidRPr="002C1E83">
      <w:pPr>
        <w:jc w:val="center"/>
        <w:rPr>
          <w:b/>
        </w:rPr>
      </w:pPr>
    </w:p>
    <w:p w14:paraId="0EBF1368" w14:textId="77777777" w:rsidP="002A0DDA" w:rsidR="002A0DDA" w:rsidRDefault="002A0DDA" w:rsidRPr="002C1E83">
      <w:pPr>
        <w:jc w:val="center"/>
        <w:rPr>
          <w:b/>
        </w:rPr>
      </w:pPr>
    </w:p>
    <w:p w14:paraId="26BEFD8D" w14:textId="77777777" w:rsidP="00C51417" w:rsidR="00C51417" w:rsidRDefault="00C51417">
      <w:pPr>
        <w:spacing w:after="142" w:line="265" w:lineRule="auto"/>
        <w:ind w:hanging="5" w:left="127"/>
        <w:rPr>
          <w:rFonts w:ascii="Arial" w:cs="Arial" w:hAnsi="Arial"/>
          <w:b/>
          <w:sz w:val="28"/>
        </w:rPr>
      </w:pPr>
      <w:r w:rsidRPr="004F7470">
        <w:rPr>
          <w:rFonts w:ascii="Arial" w:cs="Arial" w:hAnsi="Arial"/>
          <w:b/>
          <w:sz w:val="28"/>
        </w:rPr>
        <w:t>ENTRE</w:t>
      </w:r>
      <w:r>
        <w:rPr>
          <w:rFonts w:ascii="Arial" w:cs="Arial" w:hAnsi="Arial"/>
          <w:b/>
          <w:sz w:val="28"/>
        </w:rPr>
        <w:t xml:space="preserve"> </w:t>
      </w:r>
      <w:r w:rsidRPr="004F7470">
        <w:rPr>
          <w:rFonts w:ascii="Arial" w:cs="Arial" w:hAnsi="Arial"/>
          <w:b/>
          <w:sz w:val="28"/>
        </w:rPr>
        <w:t>:</w:t>
      </w:r>
    </w:p>
    <w:p w14:paraId="0811DA66" w14:textId="77777777" w:rsidP="00C51417" w:rsidR="00C51417" w:rsidRDefault="00C51417" w:rsidRPr="004F7470">
      <w:pPr>
        <w:spacing w:after="142" w:line="265" w:lineRule="auto"/>
        <w:ind w:hanging="5" w:left="127"/>
        <w:rPr>
          <w:rFonts w:ascii="Arial" w:cs="Arial" w:hAnsi="Arial"/>
          <w:b/>
          <w:sz w:val="28"/>
        </w:rPr>
      </w:pPr>
      <w:r w:rsidRPr="003C4BF1">
        <w:rPr>
          <w:rFonts w:ascii="Arial" w:cs="Arial" w:hAnsi="Arial"/>
          <w:noProof/>
        </w:rPr>
        <mc:AlternateContent>
          <mc:Choice Requires="wpg">
            <w:drawing>
              <wp:inline distB="0" distL="0" distR="0" distT="0" wp14:anchorId="3DFF149B" wp14:editId="7DC64D5B">
                <wp:extent cx="5799633" cy="12192"/>
                <wp:effectExtent b="0" l="0" r="0" t="0"/>
                <wp:docPr id="58664" name="Group 58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633" cy="12192"/>
                          <a:chOff x="0" y="0"/>
                          <a:chExt cx="5799633" cy="12192"/>
                        </a:xfrm>
                      </wpg:grpSpPr>
                      <wps:wsp>
                        <wps:cNvPr id="58663" name="Shape 58663"/>
                        <wps:cNvSpPr/>
                        <wps:spPr>
                          <a:xfrm>
                            <a:off x="0" y="0"/>
                            <a:ext cx="579963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5799633">
                                <a:moveTo>
                                  <a:pt x="0" y="6096"/>
                                </a:moveTo>
                                <a:lnTo>
                                  <a:pt x="5799633" y="6096"/>
                                </a:lnTo>
                              </a:path>
                            </a:pathLst>
                          </a:custGeom>
                          <a:ln cap="flat" w="12192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coordsize="57996,121" id="Group 5866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5wXVWAIAANIFAAAOAAAAZHJzL2Uyb0RvYy54bWykVF1v2yAUfZ+0/4B4X+wkq9dYcfqwbn2Z tmrtfgDBYFvCgIDEyb/f5fojXip1UpsH5wL365wLZ3t3ahU5Cucbowu6XKSUCM1N2eiqoH+ev3+6 pcQHpkumjBYFPQtP73YfP2w7m4uVqY0qhSOQRPu8swWtQ7B5knhei5b5hbFCw6E0rmUBlq5KSsc6 yN6qZJWmWdIZV1pnuPAedu/7Q7rD/FIKHn5J6UUgqqDQW8Cvw+8+fpPdluWVY7Zu+NAGe0MXLWs0 FJ1S3bPAyME1L1K1DXfGGxkW3LSJkbLhAjEAmmV6hebBmYNFLFXeVXaiCai94unNafnP46MjTVnQ m9ss+0yJZi2MCSuTfgso6myVg+eDs0/20Q0bVb+KqE/StfEf8JATknueyBWnQDhs3nzZbLL1mhIO Z8vVcrPqyec1TOhFFK+/vRqXjEWT2NvUSmfhGvkLU/59TD3VzAocgI/4Z0wBjp4pdEGm1hFPbAA8 J5p87oGx93E0YWU5P/jwIAySzY4/fOjvbzlarB4tftKj6eAVvHr/LQsxLnYZTdLNplWPw4qnrTmK Z4N+4TKyLN1kETv0eXFQeu44DR9mP3PvnSAulsUEUyuwOQerdOyqvzaEM1AKqVjAJ9c2ASRENS2c p/E39KI0ZIzz6CeAVjgrEdtX+reQcO3hXi4xiXfV/qty5MiiUPybBlxjjGyUmqLS/0QNzjFOoAxd R/KhYK9F8KJBnUZFAuxTEFY2OkzxGnQUEc4ARXNvyjO+TcQMjwDRo3Ags4PIRWWar9HrIsW7vwAA AP//AwBQSwMEFAAGAAgAAAAhAEP0RYjaAAAAAwEAAA8AAABkcnMvZG93bnJldi54bWxMj0FLw0AQ he+C/2GZgje7iUGxaTalFPVUBFtBvE2TaRKanQ3ZbZL+e0cv9vJgeI/3vslWk23VQL1vHBuI5xEo 4sKVDVcGPvev98+gfEAusXVMBi7kYZXf3mSYlm7kDxp2oVJSwj5FA3UIXaq1L2qy6OeuIxbv6HqL Qc6+0mWPo5TbVj9E0ZO22LAs1NjRpqbitDtbA28jjuskfhm2p+Pm8r1/fP/axmTM3WxaL0EFmsJ/ GH7xBR1yYTq4M5detQbkkfCn4i3iJAF1kNACdJ7pa/b8BwAA//8DAFBLAQItABQABgAIAAAAIQC2 gziS/gAAAOEBAAATAAAAAAAAAAAAAAAAAAAAAABbQ29udGVudF9UeXBlc10ueG1sUEsBAi0AFAAG AAgAAAAhADj9If/WAAAAlAEAAAsAAAAAAAAAAAAAAAAALwEAAF9yZWxzLy5yZWxzUEsBAi0AFAAG AAgAAAAhACbnBdVYAgAA0gUAAA4AAAAAAAAAAAAAAAAALgIAAGRycy9lMm9Eb2MueG1sUEsBAi0A FAAGAAgAAAAhAEP0RYjaAAAAAwEAAA8AAAAAAAAAAAAAAAAAsgQAAGRycy9kb3ducmV2LnhtbFBL BQYAAAAABAAEAPMAAAC5BQAAAAA= " o:spid="_x0000_s1026" style="width:456.65pt;height:.95pt;mso-position-horizontal-relative:char;mso-position-vertical-relative:line" w14:anchorId="42D18413">
                <v:shape coordsize="5799633,12192" filled="f" id="Shape 5866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d8WaxgAAAN4AAAAPAAAAZHJzL2Rvd25yZXYueG1sRI9Ba8JA FITvhf6H5RV6q5soBk1dJVQL5tjYHrw9sq9JaPZt2F1j+u+7gtDjMDPfMJvdZHoxkvOdZQXpLAFB XFvdcaPg8/T+sgLhA7LG3jIp+CUPu+3jwwZzba/8QWMVGhEh7HNU0IYw5FL6uiWDfmYH4uh9W2cw ROkaqR1eI9z0cp4kmTTYcVxocaC3luqf6mIUnNO5SS6uMOuy8IeyTE+Hr3Gv1PPTVLyCCDSF//C9 fdQKlqssW8DtTrwCcvsHAAD//wMAUEsBAi0AFAAGAAgAAAAhANvh9svuAAAAhQEAABMAAAAAAAAA AAAAAAAAAAAAAFtDb250ZW50X1R5cGVzXS54bWxQSwECLQAUAAYACAAAACEAWvQsW78AAAAVAQAA CwAAAAAAAAAAAAAAAAAfAQAAX3JlbHMvLnJlbHNQSwECLQAUAAYACAAAACEA7HfFmsYAAADeAAAA DwAAAAAAAAAAAAAAAAAHAgAAZHJzL2Rvd25yZXYueG1sUEsFBgAAAAADAAMAtwAAAPoCAAAAAA== " o:spid="_x0000_s1027" path="m,6096r5799633,e" strokeweight=".96pt" style="position:absolute;width:57996;height:121;visibility:visible;mso-wrap-style:square;v-text-anchor:top">
                  <v:stroke joinstyle="miter" miterlimit="1"/>
                  <v:path arrowok="t" textboxrect="0,0,5799633,12192"/>
                </v:shape>
                <w10:anchorlock/>
              </v:group>
            </w:pict>
          </mc:Fallback>
        </mc:AlternateContent>
      </w:r>
    </w:p>
    <w:p w14:paraId="2FF43C2B" w14:textId="77777777" w:rsidP="00C51417" w:rsidR="00C51417" w:rsidRDefault="00C51417">
      <w:pPr>
        <w:spacing w:after="324"/>
        <w:ind w:right="106"/>
        <w:rPr>
          <w:rFonts w:ascii="Arial" w:cs="Arial" w:hAnsi="Arial"/>
          <w:b/>
        </w:rPr>
      </w:pPr>
    </w:p>
    <w:p w14:paraId="47B5118A" w14:textId="1A8F210B" w:rsidP="00C51417" w:rsidR="00C51417" w:rsidRDefault="00C51417">
      <w:pPr>
        <w:spacing w:after="324"/>
        <w:ind w:right="531"/>
        <w:rPr>
          <w:rFonts w:ascii="Arial" w:cs="Arial" w:hAnsi="Arial"/>
        </w:rPr>
      </w:pPr>
      <w:bookmarkStart w:id="0" w:name="_Hlk103862703"/>
      <w:r>
        <w:rPr>
          <w:rFonts w:ascii="Arial" w:cs="Arial" w:hAnsi="Arial"/>
          <w:b/>
        </w:rPr>
        <w:t xml:space="preserve">L’établissement de Beaufour Ipsen Industrie Isle sur la Sorgue, </w:t>
      </w:r>
      <w:r w:rsidRPr="004F7470">
        <w:rPr>
          <w:rFonts w:ascii="Arial" w:cs="Arial" w:hAnsi="Arial"/>
        </w:rPr>
        <w:t xml:space="preserve">représentée par </w:t>
      </w:r>
      <w:r w:rsidR="00EC0E7E">
        <w:rPr>
          <w:rFonts w:ascii="Arial" w:cs="Arial" w:hAnsi="Arial"/>
        </w:rPr>
        <w:t>XXX</w:t>
      </w:r>
      <w:r w:rsidRPr="004F7470">
        <w:rPr>
          <w:rFonts w:ascii="Arial" w:cs="Arial" w:hAnsi="Arial"/>
        </w:rPr>
        <w:t>,</w:t>
      </w:r>
      <w:r>
        <w:rPr>
          <w:rFonts w:ascii="Arial" w:cs="Arial" w:hAnsi="Arial"/>
        </w:rPr>
        <w:t xml:space="preserve"> Vice-Présidente Directrice du site</w:t>
      </w:r>
      <w:r w:rsidRPr="004F7470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d’Isle sur la Sorgue</w:t>
      </w:r>
      <w:r w:rsidRPr="004F7470">
        <w:rPr>
          <w:rFonts w:ascii="Arial" w:cs="Arial" w:hAnsi="Arial"/>
        </w:rPr>
        <w:t xml:space="preserve">, agissant </w:t>
      </w:r>
      <w:proofErr w:type="spellStart"/>
      <w:r w:rsidRPr="004F7470">
        <w:rPr>
          <w:rFonts w:ascii="Arial" w:cs="Arial" w:hAnsi="Arial"/>
        </w:rPr>
        <w:t>es</w:t>
      </w:r>
      <w:proofErr w:type="spellEnd"/>
      <w:r w:rsidRPr="004F7470">
        <w:rPr>
          <w:rFonts w:ascii="Arial" w:cs="Arial" w:hAnsi="Arial"/>
        </w:rPr>
        <w:t xml:space="preserve"> qualité</w:t>
      </w:r>
      <w:r>
        <w:rPr>
          <w:rFonts w:ascii="Arial" w:cs="Arial" w:hAnsi="Arial"/>
        </w:rPr>
        <w:t>.</w:t>
      </w:r>
    </w:p>
    <w:p w14:paraId="086EC5C2" w14:textId="77777777" w:rsidP="00C51417" w:rsidR="00C51417" w:rsidRDefault="00C51417" w:rsidRPr="004F7470">
      <w:pPr>
        <w:spacing w:after="324"/>
        <w:ind w:right="531"/>
        <w:jc w:val="right"/>
        <w:rPr>
          <w:rFonts w:ascii="Arial" w:cs="Arial" w:hAnsi="Arial"/>
          <w:b/>
        </w:rPr>
      </w:pPr>
      <w:r w:rsidRPr="004F7470">
        <w:rPr>
          <w:rFonts w:ascii="Arial" w:cs="Arial" w:hAnsi="Arial"/>
          <w:b/>
        </w:rPr>
        <w:t>D'une part,</w:t>
      </w:r>
    </w:p>
    <w:p w14:paraId="1CA5692A" w14:textId="77777777" w:rsidP="00C51417" w:rsidR="00C51417" w:rsidRDefault="00C51417">
      <w:pPr>
        <w:spacing w:after="142" w:line="265" w:lineRule="auto"/>
        <w:ind w:hanging="5" w:left="127"/>
        <w:rPr>
          <w:rFonts w:ascii="Arial" w:cs="Arial" w:hAnsi="Arial"/>
          <w:b/>
          <w:sz w:val="28"/>
          <w:szCs w:val="28"/>
        </w:rPr>
      </w:pPr>
    </w:p>
    <w:p w14:paraId="10C020E4" w14:textId="77777777" w:rsidP="00C51417" w:rsidR="00C51417" w:rsidRDefault="00C51417">
      <w:pPr>
        <w:spacing w:after="142" w:line="265" w:lineRule="auto"/>
        <w:ind w:hanging="5" w:left="127"/>
        <w:rPr>
          <w:rFonts w:ascii="Arial" w:cs="Arial" w:hAnsi="Arial"/>
          <w:b/>
          <w:sz w:val="28"/>
          <w:szCs w:val="28"/>
        </w:rPr>
      </w:pPr>
      <w:r w:rsidRPr="004F7470">
        <w:rPr>
          <w:rFonts w:ascii="Arial" w:cs="Arial" w:hAnsi="Arial"/>
          <w:b/>
          <w:sz w:val="28"/>
          <w:szCs w:val="28"/>
        </w:rPr>
        <w:t>ET</w:t>
      </w:r>
    </w:p>
    <w:p w14:paraId="35BA79E2" w14:textId="77777777" w:rsidP="00C51417" w:rsidR="00C51417" w:rsidRDefault="00C51417" w:rsidRPr="004F7470">
      <w:pPr>
        <w:spacing w:after="142" w:line="265" w:lineRule="auto"/>
        <w:ind w:hanging="5" w:left="127"/>
        <w:rPr>
          <w:rFonts w:ascii="Arial" w:cs="Arial" w:hAnsi="Arial"/>
          <w:b/>
          <w:sz w:val="28"/>
          <w:szCs w:val="28"/>
        </w:rPr>
      </w:pPr>
      <w:r w:rsidRPr="003C4BF1">
        <w:rPr>
          <w:rFonts w:ascii="Arial" w:cs="Arial" w:hAnsi="Arial"/>
          <w:noProof/>
        </w:rPr>
        <mc:AlternateContent>
          <mc:Choice Requires="wpg">
            <w:drawing>
              <wp:inline distB="0" distL="0" distR="0" distT="0" wp14:anchorId="3B928E1A" wp14:editId="0062409C">
                <wp:extent cx="5799633" cy="12192"/>
                <wp:effectExtent b="0" l="0" r="0" t="0"/>
                <wp:docPr id="1" name="Group 58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633" cy="12192"/>
                          <a:chOff x="0" y="0"/>
                          <a:chExt cx="5799633" cy="12192"/>
                        </a:xfrm>
                      </wpg:grpSpPr>
                      <wps:wsp>
                        <wps:cNvPr id="2" name="Shape 58663"/>
                        <wps:cNvSpPr/>
                        <wps:spPr>
                          <a:xfrm>
                            <a:off x="0" y="0"/>
                            <a:ext cx="579963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5799633">
                                <a:moveTo>
                                  <a:pt x="0" y="6096"/>
                                </a:moveTo>
                                <a:lnTo>
                                  <a:pt x="5799633" y="6096"/>
                                </a:lnTo>
                              </a:path>
                            </a:pathLst>
                          </a:custGeom>
                          <a:ln cap="flat" w="12192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coordsize="57996,121" id="Group 5866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Ox+3UwIAAMoFAAAOAAAAZHJzL2Uyb0RvYy54bWykVMlu2zAQvRfoPxC6x5LtRo0F2zkkrS9F GzTpB9AUKQngBpK27L/vcLRYdYAUSHyQh5z1vRnO+v6kJDly5xujN8l8liWEa2bKRleb5M/L95u7 hPhAdUml0XyTnLlP7refP61bW/CFqY0suSMQRPuitZukDsEWaepZzRX1M2O5BqUwTtEAR1elpaMt RFcyXWRZnrbGldYZxr2H28dOmWwxvhCchV9CeB6I3CRQW8Cvw+8+ftPtmhaVo7ZuWF8GfUcVijYa ko6hHmmg5OCaV6FUw5zxRoQZMyo1QjSMIwZAM8+u0OycOVjEUhVtZUeagNornt4dlv08PjnSlNC7 hGiqoEWYldze5fmXSE9rqwKsds4+2yfXX1TdKSI+CafiP2AhJyT2PBLLT4EwuLz9ulrly2VCGOjm i/lq0RHPaujOKy9Wf3vTLx2SprG2sZTWwgj5C0v+Yyw919RyJN9H/D1Li4ElVCNLy44ltBop8oUH tj7Gz4iTFuzgw44bJJoef/jQzW05SLQeJHbSg+hg+t+ce0tD9ItVRpG0k07VQ6OiVpkjfzFoFy7t yrNVHrFDnRcDqaeGY+Oh7xPzzgj8YloMMJYCl1OwUsequpEhjMKGEJIGfGqqCbA6ZKNAn8VfX4vU EDEOQ9cBlMJZ8li+1L+5gHGHmZxjEO+q/YN05Ejjgvg3DJhGH9FIOXpl//HqjaMfx/Vz7cn6hN0O gpcMW2nYRIB9dMLMRofRX8P+RIQTQFHcm/KM7xIxwwNA9LgwkNl+ucWNND2j1WUFb/8CAAD//wMA UEsDBBQABgAIAAAAIQBD9EWI2gAAAAMBAAAPAAAAZHJzL2Rvd25yZXYueG1sTI9BS8NAEIXvgv9h mYI3u4lBsWk2pRT1VARbQbxNk2kSmp0N2W2S/ntHL/byYHiP977JVpNt1UC9bxwbiOcRKOLClQ1X Bj73r/fPoHxALrF1TAYu5GGV395kmJZu5A8adqFSUsI+RQN1CF2qtS9qsujnriMW7+h6i0HOvtJl j6OU21Y/RNGTttiwLNTY0aam4rQ7WwNvI47rJH4Ztqfj5vK9f3z/2sZkzN1sWi9BBZrCfxh+8QUd cmE6uDOXXrUG5JHwp+It4iQBdZDQAnSe6Wv2/AcAAP//AwBQSwECLQAUAAYACAAAACEAtoM4kv4A AADhAQAAEwAAAAAAAAAAAAAAAAAAAAAAW0NvbnRlbnRfVHlwZXNdLnhtbFBLAQItABQABgAIAAAA IQA4/SH/1gAAAJQBAAALAAAAAAAAAAAAAAAAAC8BAABfcmVscy8ucmVsc1BLAQItABQABgAIAAAA IQBhOx+3UwIAAMoFAAAOAAAAAAAAAAAAAAAAAC4CAABkcnMvZTJvRG9jLnhtbFBLAQItABQABgAI AAAAIQBD9EWI2gAAAAMBAAAPAAAAAAAAAAAAAAAAAK0EAABkcnMvZG93bnJldi54bWxQSwUGAAAA AAQABADzAAAAtAUAAAAA " o:spid="_x0000_s1026" style="width:456.65pt;height:.95pt;mso-position-horizontal-relative:char;mso-position-vertical-relative:line" w14:anchorId="2074E59A">
                <v:shape coordsize="5799633,12192" filled="f" id="Shape 5866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BR9LhwgAAANoAAAAPAAAAZHJzL2Rvd25yZXYueG1sRI9Ba8JA FITvBf/D8gRvdZMcpEZXCWqhOartwdsj+0yC2bdhd43pv+8KBY/DzHzDrLej6cRAzreWFaTzBARx ZXXLtYLv8+f7BwgfkDV2lknBL3nYbiZva8y1ffCRhlOoRYSwz1FBE0KfS+mrhgz6ue2Jo3e1zmCI 0tVSO3xEuOlkliQLabDluNBgT7uGqtvpbhRc0swkd1eYZVn4Q1mm58PPsFdqNh2LFYhAY3iF/9tf WkEGzyvxBsjNHwAAAP//AwBQSwECLQAUAAYACAAAACEA2+H2y+4AAACFAQAAEwAAAAAAAAAAAAAA AAAAAAAAW0NvbnRlbnRfVHlwZXNdLnhtbFBLAQItABQABgAIAAAAIQBa9CxbvwAAABUBAAALAAAA AAAAAAAAAAAAAB8BAABfcmVscy8ucmVsc1BLAQItABQABgAIAAAAIQABR9LhwgAAANoAAAAPAAAA AAAAAAAAAAAAAAcCAABkcnMvZG93bnJldi54bWxQSwUGAAAAAAMAAwC3AAAA9gIAAAAA " o:spid="_x0000_s1027" path="m,6096r5799633,e" strokeweight=".96pt" style="position:absolute;width:57996;height:121;visibility:visible;mso-wrap-style:square;v-text-anchor:top">
                  <v:stroke joinstyle="miter" miterlimit="1"/>
                  <v:path arrowok="t" textboxrect="0,0,5799633,12192"/>
                </v:shape>
                <w10:anchorlock/>
              </v:group>
            </w:pict>
          </mc:Fallback>
        </mc:AlternateContent>
      </w:r>
    </w:p>
    <w:p w14:paraId="4DE2AFA3" w14:textId="77777777" w:rsidP="00C51417" w:rsidR="00C51417" w:rsidRDefault="00C51417" w:rsidRPr="004F7470">
      <w:pPr>
        <w:spacing w:line="265" w:lineRule="auto"/>
        <w:ind w:left="142"/>
        <w:rPr>
          <w:rFonts w:ascii="Arial" w:cs="Arial" w:hAnsi="Arial"/>
          <w:b/>
        </w:rPr>
      </w:pPr>
      <w:r w:rsidRPr="004F7470">
        <w:rPr>
          <w:rFonts w:ascii="Arial" w:cs="Arial" w:hAnsi="Arial"/>
          <w:b/>
        </w:rPr>
        <w:t>L</w:t>
      </w:r>
      <w:r>
        <w:rPr>
          <w:rFonts w:ascii="Arial" w:cs="Arial" w:hAnsi="Arial"/>
          <w:b/>
        </w:rPr>
        <w:t>’</w:t>
      </w:r>
      <w:r w:rsidRPr="004F7470">
        <w:rPr>
          <w:rFonts w:ascii="Arial" w:cs="Arial" w:hAnsi="Arial"/>
          <w:b/>
        </w:rPr>
        <w:t xml:space="preserve">organisation syndicale suivante pour les salariés de </w:t>
      </w:r>
      <w:r>
        <w:rPr>
          <w:rFonts w:ascii="Arial" w:cs="Arial" w:hAnsi="Arial"/>
          <w:b/>
        </w:rPr>
        <w:t>l’établissement Beaufour Ipsen Industrie d’Isle sur la Sorgue</w:t>
      </w:r>
      <w:r w:rsidRPr="004F7470">
        <w:rPr>
          <w:rFonts w:ascii="Arial" w:cs="Arial" w:hAnsi="Arial"/>
          <w:b/>
        </w:rPr>
        <w:t xml:space="preserve"> :</w:t>
      </w:r>
    </w:p>
    <w:p w14:paraId="0C78E692" w14:textId="77777777" w:rsidP="00C51417" w:rsidR="00C51417" w:rsidRDefault="00C51417" w:rsidRPr="004F7470">
      <w:pPr>
        <w:spacing w:line="265" w:lineRule="auto"/>
        <w:rPr>
          <w:rFonts w:ascii="Arial" w:cs="Arial" w:hAnsi="Arial"/>
        </w:rPr>
      </w:pPr>
    </w:p>
    <w:tbl>
      <w:tblPr>
        <w:tblStyle w:val="TableGrid"/>
        <w:tblW w:type="dxa" w:w="5718"/>
        <w:tblInd w:type="dxa" w:w="-51"/>
        <w:tblCellMar>
          <w:left w:type="dxa" w:w="112"/>
          <w:right w:type="dxa" w:w="115"/>
        </w:tblCellMar>
        <w:tblLook w:firstColumn="1" w:firstRow="1" w:lastColumn="0" w:lastRow="0" w:noHBand="0" w:noVBand="1" w:val="04A0"/>
      </w:tblPr>
      <w:tblGrid>
        <w:gridCol w:w="2088"/>
        <w:gridCol w:w="3630"/>
      </w:tblGrid>
      <w:tr w14:paraId="0736BFBD" w14:textId="77777777" w:rsidR="00C51417" w:rsidRPr="004F7470" w:rsidTr="001747FB">
        <w:trPr>
          <w:trHeight w:val="257"/>
        </w:trPr>
        <w:tc>
          <w:tcPr>
            <w:tcW w:type="dxa" w:w="208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14:paraId="1532272A" w14:textId="77777777" w:rsidP="001747FB" w:rsidR="00C51417" w:rsidRDefault="00C51417" w:rsidRPr="008D0DAD">
            <w:pPr>
              <w:spacing w:after="160" w:line="259" w:lineRule="auto"/>
              <w:rPr>
                <w:rFonts w:ascii="Arial" w:cs="Arial" w:hAnsi="Arial"/>
              </w:rPr>
            </w:pPr>
            <w:bookmarkStart w:id="1" w:name="_Hlk60062463"/>
          </w:p>
        </w:tc>
        <w:tc>
          <w:tcPr>
            <w:tcW w:type="dxa" w:w="36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14:paraId="40152B9B" w14:textId="77777777" w:rsidP="001747FB" w:rsidR="00C51417" w:rsidRDefault="00C51417" w:rsidRPr="008D0DAD">
            <w:pPr>
              <w:spacing w:line="259" w:lineRule="auto"/>
              <w:ind w:left="25"/>
              <w:rPr>
                <w:rFonts w:ascii="Arial" w:cs="Arial" w:hAnsi="Arial"/>
              </w:rPr>
            </w:pPr>
            <w:r w:rsidRPr="008D0DAD">
              <w:rPr>
                <w:rFonts w:ascii="Arial" w:cs="Arial" w:hAnsi="Arial"/>
              </w:rPr>
              <w:t>Représentée par</w:t>
            </w:r>
          </w:p>
        </w:tc>
      </w:tr>
      <w:tr w14:paraId="509B0D68" w14:textId="77777777" w:rsidR="00C51417" w:rsidRPr="004F7470" w:rsidTr="001747FB">
        <w:trPr>
          <w:trHeight w:val="260"/>
        </w:trPr>
        <w:tc>
          <w:tcPr>
            <w:tcW w:type="dxa" w:w="208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14:paraId="5A6674C0" w14:textId="77777777" w:rsidP="001747FB" w:rsidR="00C51417" w:rsidRDefault="00C51417" w:rsidRPr="008D0DAD">
            <w:pPr>
              <w:spacing w:line="259" w:lineRule="auto"/>
              <w:ind w:left="5"/>
              <w:rPr>
                <w:rFonts w:ascii="Arial" w:cs="Arial" w:hAnsi="Arial"/>
              </w:rPr>
            </w:pPr>
            <w:r w:rsidRPr="008D0DAD">
              <w:rPr>
                <w:rFonts w:ascii="Arial" w:cs="Arial" w:eastAsia="Calibri" w:hAnsi="Arial"/>
              </w:rPr>
              <w:t>CFE/CGC</w:t>
            </w:r>
          </w:p>
        </w:tc>
        <w:tc>
          <w:tcPr>
            <w:tcW w:type="dxa" w:w="36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14:paraId="2799C158" w14:textId="70180330" w:rsidP="001747FB" w:rsidR="00C51417" w:rsidRDefault="00EC0E7E" w:rsidRPr="008D0DAD">
            <w:pPr>
              <w:tabs>
                <w:tab w:pos="2214" w:val="center"/>
              </w:tabs>
              <w:spacing w:line="259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YYY</w:t>
            </w:r>
          </w:p>
        </w:tc>
      </w:tr>
      <w:bookmarkEnd w:id="0"/>
      <w:bookmarkEnd w:id="1"/>
    </w:tbl>
    <w:p w14:paraId="675E30B6" w14:textId="77777777" w:rsidP="00C51417" w:rsidR="00C51417" w:rsidRDefault="00C51417">
      <w:pPr>
        <w:spacing w:after="497"/>
        <w:ind w:left="56" w:right="10"/>
        <w:jc w:val="right"/>
        <w:rPr>
          <w:rFonts w:ascii="Arial" w:cs="Arial" w:hAnsi="Arial"/>
        </w:rPr>
      </w:pPr>
    </w:p>
    <w:p w14:paraId="237F9F78" w14:textId="77777777" w:rsidP="00C51417" w:rsidR="00C51417" w:rsidRDefault="00C51417" w:rsidRPr="008D0DAD">
      <w:pPr>
        <w:spacing w:after="497"/>
        <w:ind w:left="56" w:right="10"/>
        <w:jc w:val="right"/>
        <w:rPr>
          <w:rFonts w:ascii="Arial" w:cs="Arial" w:hAnsi="Arial"/>
          <w:b/>
        </w:rPr>
      </w:pPr>
      <w:r w:rsidRPr="008D0DAD">
        <w:rPr>
          <w:rFonts w:ascii="Arial" w:cs="Arial" w:hAnsi="Arial"/>
          <w:b/>
        </w:rPr>
        <w:t>D'autre part,</w:t>
      </w:r>
    </w:p>
    <w:p w14:paraId="721580E7" w14:textId="77777777" w:rsidP="00C51417" w:rsidR="00C51417" w:rsidRDefault="00C51417">
      <w:pPr>
        <w:spacing w:line="265" w:lineRule="auto"/>
        <w:ind w:hanging="5" w:left="-5"/>
        <w:rPr>
          <w:rFonts w:ascii="Arial" w:cs="Arial" w:hAnsi="Arial"/>
        </w:rPr>
      </w:pPr>
      <w:r w:rsidRPr="008D0DAD">
        <w:rPr>
          <w:rFonts w:ascii="Arial" w:cs="Arial" w:hAnsi="Arial"/>
        </w:rPr>
        <w:t>(Ci-après dénommées « Les Parties »)</w:t>
      </w:r>
    </w:p>
    <w:p w14:paraId="464FE8C8" w14:textId="77777777" w:rsidP="002A0DDA" w:rsidR="002A0DDA" w:rsidRDefault="002A0DDA" w:rsidRPr="002C1E83">
      <w:pPr>
        <w:tabs>
          <w:tab w:pos="7088" w:val="left"/>
        </w:tabs>
        <w:ind w:left="420"/>
        <w:jc w:val="right"/>
        <w:rPr>
          <w:b/>
        </w:rPr>
      </w:pPr>
    </w:p>
    <w:p w14:paraId="02A223CA" w14:textId="77777777" w:rsidP="002A0DDA" w:rsidR="002A0DDA" w:rsidRDefault="002A0DDA" w:rsidRPr="002C1E83">
      <w:pPr>
        <w:jc w:val="both"/>
        <w:rPr>
          <w:b/>
          <w:i/>
          <w:u w:val="single"/>
        </w:rPr>
      </w:pPr>
    </w:p>
    <w:p w14:paraId="28AC0EC0" w14:textId="77777777" w:rsidP="002A0DDA" w:rsidR="005B5150" w:rsidRDefault="005B5150">
      <w:pPr>
        <w:jc w:val="both"/>
        <w:rPr>
          <w:b/>
          <w:i/>
          <w:u w:val="single"/>
        </w:rPr>
      </w:pPr>
    </w:p>
    <w:p w14:paraId="0AA01DB1" w14:textId="77777777" w:rsidP="002A0DDA" w:rsidR="005B5150" w:rsidRDefault="005B5150">
      <w:pPr>
        <w:jc w:val="both"/>
        <w:rPr>
          <w:b/>
          <w:i/>
          <w:u w:val="single"/>
        </w:rPr>
      </w:pPr>
    </w:p>
    <w:p w14:paraId="7B0B9D72" w14:textId="77777777" w:rsidP="002A0DDA" w:rsidR="005B5150" w:rsidRDefault="005B5150">
      <w:pPr>
        <w:jc w:val="both"/>
        <w:rPr>
          <w:b/>
          <w:i/>
          <w:u w:val="single"/>
        </w:rPr>
      </w:pPr>
    </w:p>
    <w:p w14:paraId="3BADC260" w14:textId="77777777" w:rsidP="002A0DDA" w:rsidR="005B5150" w:rsidRDefault="005B5150">
      <w:pPr>
        <w:jc w:val="both"/>
        <w:rPr>
          <w:b/>
          <w:i/>
          <w:u w:val="single"/>
        </w:rPr>
      </w:pPr>
    </w:p>
    <w:p w14:paraId="5D6EE0C0" w14:textId="77777777" w:rsidP="002A0DDA" w:rsidR="005B5150" w:rsidRDefault="005B5150">
      <w:pPr>
        <w:jc w:val="both"/>
        <w:rPr>
          <w:b/>
          <w:i/>
          <w:u w:val="single"/>
        </w:rPr>
      </w:pPr>
    </w:p>
    <w:p w14:paraId="00861BCC" w14:textId="77777777" w:rsidP="002A0DDA" w:rsidR="005B5150" w:rsidRDefault="005B5150">
      <w:pPr>
        <w:jc w:val="both"/>
        <w:rPr>
          <w:b/>
          <w:i/>
          <w:u w:val="single"/>
        </w:rPr>
      </w:pPr>
    </w:p>
    <w:p w14:paraId="7417A0E5" w14:textId="77777777" w:rsidP="002A0DDA" w:rsidR="005B5150" w:rsidRDefault="005B5150">
      <w:pPr>
        <w:jc w:val="both"/>
        <w:rPr>
          <w:b/>
          <w:i/>
          <w:u w:val="single"/>
        </w:rPr>
      </w:pPr>
    </w:p>
    <w:p w14:paraId="76DE49E8" w14:textId="77777777" w:rsidP="002A0DDA" w:rsidR="005B5150" w:rsidRDefault="005B5150">
      <w:pPr>
        <w:jc w:val="both"/>
        <w:rPr>
          <w:b/>
          <w:i/>
          <w:u w:val="single"/>
        </w:rPr>
      </w:pPr>
    </w:p>
    <w:p w14:paraId="76BF313E" w14:textId="77777777" w:rsidP="002A0DDA" w:rsidR="005B5150" w:rsidRDefault="005B5150">
      <w:pPr>
        <w:jc w:val="both"/>
        <w:rPr>
          <w:b/>
          <w:i/>
          <w:u w:val="single"/>
        </w:rPr>
      </w:pPr>
    </w:p>
    <w:p w14:paraId="300FD45B" w14:textId="77777777" w:rsidP="002A0DDA" w:rsidR="005B5150" w:rsidRDefault="005B5150">
      <w:pPr>
        <w:jc w:val="both"/>
        <w:rPr>
          <w:b/>
          <w:i/>
          <w:u w:val="single"/>
        </w:rPr>
      </w:pPr>
    </w:p>
    <w:p w14:paraId="778A075B" w14:textId="77777777" w:rsidP="002A0DDA" w:rsidR="005B5150" w:rsidRDefault="005B5150">
      <w:pPr>
        <w:jc w:val="both"/>
        <w:rPr>
          <w:b/>
          <w:i/>
          <w:u w:val="single"/>
        </w:rPr>
      </w:pPr>
    </w:p>
    <w:p w14:paraId="639A70D9" w14:textId="77777777" w:rsidP="002A0DDA" w:rsidR="005B5150" w:rsidRDefault="005B5150">
      <w:pPr>
        <w:jc w:val="both"/>
        <w:rPr>
          <w:b/>
          <w:i/>
          <w:u w:val="single"/>
        </w:rPr>
      </w:pPr>
    </w:p>
    <w:p w14:paraId="2143BBC6" w14:textId="05492EF0" w:rsidP="002A0DDA" w:rsidR="002A0DDA" w:rsidRDefault="002A0DDA" w:rsidRPr="002C1E83">
      <w:pPr>
        <w:jc w:val="both"/>
        <w:rPr>
          <w:b/>
          <w:i/>
          <w:u w:val="single"/>
        </w:rPr>
      </w:pPr>
      <w:r w:rsidRPr="002C1E83">
        <w:rPr>
          <w:b/>
          <w:i/>
          <w:u w:val="single"/>
        </w:rPr>
        <w:lastRenderedPageBreak/>
        <w:t>PREAMBULE</w:t>
      </w:r>
    </w:p>
    <w:p w14:paraId="3E876809" w14:textId="77777777" w:rsidP="002A0DDA" w:rsidR="002A0DDA" w:rsidRDefault="002A0DDA" w:rsidRPr="002C1E83">
      <w:pPr>
        <w:jc w:val="both"/>
        <w:rPr>
          <w:b/>
          <w:i/>
          <w:u w:val="single"/>
        </w:rPr>
      </w:pPr>
    </w:p>
    <w:p w14:paraId="6BAEE839" w14:textId="77777777" w:rsidP="002A0DDA" w:rsidR="002A0DDA" w:rsidRDefault="002A0DDA" w:rsidRPr="002C1E83">
      <w:pPr>
        <w:jc w:val="both"/>
        <w:rPr>
          <w:b/>
          <w:i/>
          <w:u w:val="single"/>
        </w:rPr>
      </w:pPr>
    </w:p>
    <w:p w14:paraId="2599B167" w14:textId="36E80F7F" w:rsidP="008F3E2F" w:rsidR="008F3E2F" w:rsidRDefault="008F3E2F" w:rsidRPr="008F3E2F">
      <w:pPr>
        <w:spacing w:after="25"/>
        <w:ind w:right="10"/>
        <w:jc w:val="both"/>
        <w:rPr>
          <w:lang w:eastAsia="en-US"/>
        </w:rPr>
      </w:pPr>
      <w:r w:rsidRPr="00FC1293">
        <w:rPr>
          <w:lang w:eastAsia="en-US"/>
        </w:rPr>
        <w:t>L</w:t>
      </w:r>
      <w:r w:rsidR="008616FA" w:rsidRPr="00FC1293">
        <w:rPr>
          <w:lang w:eastAsia="en-US"/>
        </w:rPr>
        <w:t xml:space="preserve">a </w:t>
      </w:r>
      <w:r w:rsidRPr="008F3E2F">
        <w:rPr>
          <w:lang w:eastAsia="en-US"/>
        </w:rPr>
        <w:t xml:space="preserve">cession de l’activité CHC entraînera la fin de l’application de l’ensemble des accords conclus au sein de l’UES Ipsen France eu égard à la sortie de l’Etablissement </w:t>
      </w:r>
      <w:r w:rsidR="002C2D93">
        <w:rPr>
          <w:lang w:eastAsia="en-US"/>
        </w:rPr>
        <w:t>Beaufour Ipsen Industrie d’ISS</w:t>
      </w:r>
      <w:r w:rsidR="005B5150">
        <w:rPr>
          <w:lang w:eastAsia="en-US"/>
        </w:rPr>
        <w:t xml:space="preserve"> </w:t>
      </w:r>
      <w:r w:rsidRPr="008F3E2F">
        <w:rPr>
          <w:lang w:eastAsia="en-US"/>
        </w:rPr>
        <w:t xml:space="preserve">du périmètre de cette UES. Néanmoins, afin de sécuriser de manière temporaire l’application des dispositions conventionnelles après la réalisation du projet, le présent accord de </w:t>
      </w:r>
      <w:r w:rsidRPr="002C2D93">
        <w:rPr>
          <w:lang w:eastAsia="en-US"/>
        </w:rPr>
        <w:t>transit</w:t>
      </w:r>
      <w:r w:rsidR="0035712A" w:rsidRPr="002C2D93">
        <w:rPr>
          <w:lang w:eastAsia="en-US"/>
        </w:rPr>
        <w:t>oire</w:t>
      </w:r>
      <w:r w:rsidRPr="008F3E2F">
        <w:rPr>
          <w:lang w:eastAsia="en-US"/>
        </w:rPr>
        <w:t xml:space="preserve"> est conclu afin de permettre le maintien des dispositions appliquées en matière de </w:t>
      </w:r>
      <w:r>
        <w:rPr>
          <w:lang w:eastAsia="en-US"/>
        </w:rPr>
        <w:t>négociations annuelles obligatoires jusq</w:t>
      </w:r>
      <w:r w:rsidRPr="008F3E2F">
        <w:rPr>
          <w:lang w:eastAsia="en-US"/>
        </w:rPr>
        <w:t>u’au 31 décembre 202</w:t>
      </w:r>
      <w:r>
        <w:rPr>
          <w:lang w:eastAsia="en-US"/>
        </w:rPr>
        <w:t>2</w:t>
      </w:r>
      <w:r w:rsidRPr="008F3E2F">
        <w:rPr>
          <w:lang w:eastAsia="en-US"/>
        </w:rPr>
        <w:t>.</w:t>
      </w:r>
    </w:p>
    <w:p w14:paraId="1437876D" w14:textId="77777777" w:rsidP="008F3E2F" w:rsidR="008F3E2F" w:rsidRDefault="008F3E2F" w:rsidRPr="008F3E2F">
      <w:pPr>
        <w:spacing w:after="25"/>
        <w:ind w:right="10"/>
        <w:jc w:val="both"/>
        <w:rPr>
          <w:sz w:val="22"/>
          <w:szCs w:val="20"/>
          <w:lang w:eastAsia="en-US"/>
        </w:rPr>
      </w:pPr>
    </w:p>
    <w:p w14:paraId="31530D42" w14:textId="7FA74CBB" w:rsidP="008F3E2F" w:rsidR="008F3E2F" w:rsidRDefault="008F3E2F">
      <w:pPr>
        <w:spacing w:after="25"/>
        <w:ind w:right="10"/>
        <w:jc w:val="both"/>
        <w:rPr>
          <w:lang w:eastAsia="en-US"/>
        </w:rPr>
      </w:pPr>
      <w:r w:rsidRPr="008F3E2F">
        <w:rPr>
          <w:lang w:eastAsia="en-US"/>
        </w:rPr>
        <w:t xml:space="preserve">Pendant la durée d’application du présent accord de </w:t>
      </w:r>
      <w:r w:rsidRPr="002C2D93">
        <w:rPr>
          <w:lang w:eastAsia="en-US"/>
        </w:rPr>
        <w:t>transit</w:t>
      </w:r>
      <w:r w:rsidR="0035712A" w:rsidRPr="002C2D93">
        <w:rPr>
          <w:lang w:eastAsia="en-US"/>
        </w:rPr>
        <w:t>oire</w:t>
      </w:r>
      <w:r w:rsidRPr="002C2D93">
        <w:rPr>
          <w:lang w:eastAsia="en-US"/>
        </w:rPr>
        <w:t>,</w:t>
      </w:r>
      <w:r w:rsidRPr="008F3E2F">
        <w:rPr>
          <w:lang w:eastAsia="en-US"/>
        </w:rPr>
        <w:t xml:space="preserve"> des négociations pourront s’engager une fois l</w:t>
      </w:r>
      <w:r w:rsidR="00FC1293">
        <w:rPr>
          <w:lang w:eastAsia="en-US"/>
        </w:rPr>
        <w:t xml:space="preserve">a </w:t>
      </w:r>
      <w:r w:rsidRPr="008F3E2F">
        <w:rPr>
          <w:lang w:eastAsia="en-US"/>
        </w:rPr>
        <w:t>cession réalisé</w:t>
      </w:r>
      <w:r w:rsidR="00FC1293">
        <w:rPr>
          <w:lang w:eastAsia="en-US"/>
        </w:rPr>
        <w:t>e</w:t>
      </w:r>
      <w:r w:rsidRPr="008F3E2F">
        <w:rPr>
          <w:lang w:eastAsia="en-US"/>
        </w:rPr>
        <w:t xml:space="preserve"> au sein de l’Etablissement </w:t>
      </w:r>
      <w:r w:rsidR="002C2D93">
        <w:rPr>
          <w:lang w:eastAsia="en-US"/>
        </w:rPr>
        <w:t>de Beaufour Ipsen Industrie d’ISS</w:t>
      </w:r>
      <w:r w:rsidRPr="008F3E2F">
        <w:rPr>
          <w:lang w:eastAsia="en-US"/>
        </w:rPr>
        <w:t xml:space="preserve"> sur l’évolution des dispositions du présent accord.</w:t>
      </w:r>
    </w:p>
    <w:p w14:paraId="66F69F9B" w14:textId="77777777" w:rsidP="008F3E2F" w:rsidR="008F3E2F" w:rsidRDefault="008F3E2F" w:rsidRPr="008F3E2F">
      <w:pPr>
        <w:spacing w:after="25"/>
        <w:ind w:right="10"/>
        <w:jc w:val="both"/>
        <w:rPr>
          <w:lang w:eastAsia="en-US"/>
        </w:rPr>
      </w:pPr>
    </w:p>
    <w:p w14:paraId="300FD36F" w14:textId="231834FF" w:rsidP="002A0DDA" w:rsidR="002A0DDA" w:rsidRDefault="008F3E2F" w:rsidRPr="002C1E83">
      <w:pPr>
        <w:pStyle w:val="text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</w:t>
      </w:r>
      <w:r w:rsidR="002A0DDA" w:rsidRPr="002C1E83">
        <w:rPr>
          <w:rFonts w:ascii="Times New Roman" w:cs="Times New Roman" w:hAnsi="Times New Roman"/>
          <w:sz w:val="24"/>
          <w:szCs w:val="24"/>
        </w:rPr>
        <w:t>e présent accord collectif conclu en application des articles L. 2221-1 et suivants du Code du travail, notamment des articles L. 2232-11 et suivants concernant la négociation collective d'entreprise, tout spécialement des articles L. 2242-1 et suivants qui concernent la négociation annuelle obligatoire.</w:t>
      </w:r>
    </w:p>
    <w:p w14:paraId="6A2F258F" w14:textId="77777777" w:rsidP="002A0DDA" w:rsidR="002A0DDA" w:rsidRDefault="002A0DDA">
      <w:pPr>
        <w:pStyle w:val="texte"/>
        <w:rPr>
          <w:rFonts w:ascii="Times New Roman" w:cs="Times New Roman" w:hAnsi="Times New Roman"/>
          <w:sz w:val="24"/>
          <w:szCs w:val="24"/>
        </w:rPr>
      </w:pPr>
    </w:p>
    <w:p w14:paraId="58F0675A" w14:textId="72B5DB26" w:rsidP="00AB0829" w:rsidR="002A0DDA" w:rsidRDefault="004F0CF6" w:rsidRPr="002C1E83">
      <w:pPr>
        <w:pStyle w:val="texte"/>
        <w:rPr>
          <w:b/>
          <w:i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br w:type="page"/>
      </w:r>
      <w:r w:rsidR="002A0DDA" w:rsidRPr="002C1E83">
        <w:rPr>
          <w:b/>
          <w:i/>
          <w:u w:val="single"/>
        </w:rPr>
        <w:lastRenderedPageBreak/>
        <w:t>IL A ETE CONVENU ET ARRETE CE QUI SUIT :</w:t>
      </w:r>
    </w:p>
    <w:p w14:paraId="19B9C1E9" w14:textId="77777777" w:rsidP="002A0DDA" w:rsidR="002A0DDA" w:rsidRDefault="002A0DDA">
      <w:pPr>
        <w:jc w:val="both"/>
        <w:rPr>
          <w:b/>
          <w:i/>
          <w:u w:val="single"/>
        </w:rPr>
      </w:pPr>
    </w:p>
    <w:p w14:paraId="0650D5CC" w14:textId="77777777" w:rsidP="002A0DDA" w:rsidR="004F0CF6" w:rsidRDefault="004F0CF6" w:rsidRPr="002C1E83">
      <w:pPr>
        <w:jc w:val="both"/>
        <w:rPr>
          <w:b/>
          <w:i/>
          <w:u w:val="single"/>
        </w:rPr>
      </w:pPr>
    </w:p>
    <w:p w14:paraId="6626B7E4" w14:textId="77777777" w:rsidP="002A0DDA" w:rsidR="002A0DDA" w:rsidRDefault="002A0DDA" w:rsidRPr="004F0CF6">
      <w:pPr>
        <w:jc w:val="both"/>
        <w:rPr>
          <w:b/>
          <w:i/>
          <w:sz w:val="28"/>
          <w:szCs w:val="28"/>
          <w:u w:val="single"/>
        </w:rPr>
      </w:pPr>
      <w:r w:rsidRPr="004F0CF6">
        <w:rPr>
          <w:b/>
          <w:i/>
          <w:sz w:val="28"/>
          <w:szCs w:val="28"/>
          <w:u w:val="single"/>
        </w:rPr>
        <w:t>Article 1</w:t>
      </w:r>
      <w:r w:rsidRPr="004F0CF6">
        <w:rPr>
          <w:b/>
          <w:i/>
          <w:sz w:val="28"/>
          <w:szCs w:val="28"/>
          <w:u w:val="single"/>
          <w:vertAlign w:val="superscript"/>
        </w:rPr>
        <w:t>er</w:t>
      </w:r>
      <w:r w:rsidRPr="004F0CF6">
        <w:rPr>
          <w:b/>
          <w:i/>
          <w:sz w:val="28"/>
          <w:szCs w:val="28"/>
          <w:u w:val="single"/>
        </w:rPr>
        <w:t xml:space="preserve"> – Champ d’application de l’accord</w:t>
      </w:r>
    </w:p>
    <w:p w14:paraId="76699C49" w14:textId="77777777" w:rsidP="002A0DDA" w:rsidR="002A0DDA" w:rsidRDefault="002A0DDA" w:rsidRPr="002C1E83">
      <w:pPr>
        <w:jc w:val="both"/>
        <w:rPr>
          <w:b/>
          <w:i/>
          <w:u w:val="single"/>
        </w:rPr>
      </w:pPr>
    </w:p>
    <w:p w14:paraId="4C9DA364" w14:textId="0DA88722" w:rsidP="002A0DDA" w:rsidR="002A0DDA" w:rsidRDefault="002A0DDA">
      <w:pPr>
        <w:jc w:val="both"/>
      </w:pPr>
      <w:r w:rsidRPr="002C1E83">
        <w:t xml:space="preserve">Le présent accord s’applique à l’ensemble du personnel employé au sein de </w:t>
      </w:r>
      <w:r w:rsidR="008F3E2F">
        <w:t xml:space="preserve">l’Etablissement </w:t>
      </w:r>
      <w:r w:rsidR="002C2D93">
        <w:t>de Beaufour Ipsen Industrie d’ISS</w:t>
      </w:r>
      <w:r w:rsidR="005B5150">
        <w:t>.</w:t>
      </w:r>
    </w:p>
    <w:p w14:paraId="56920B5E" w14:textId="77777777" w:rsidP="002A0DDA" w:rsidR="00E05838" w:rsidRDefault="00E05838">
      <w:pPr>
        <w:jc w:val="both"/>
      </w:pPr>
    </w:p>
    <w:p w14:paraId="3BCAFF66" w14:textId="77777777" w:rsidP="002A0DDA" w:rsidR="00BC042D" w:rsidRDefault="00BC042D" w:rsidRPr="002C1E83">
      <w:pPr>
        <w:jc w:val="both"/>
      </w:pPr>
    </w:p>
    <w:p w14:paraId="75B4B542" w14:textId="1C519002" w:rsidP="002A0DDA" w:rsidR="002A0DDA" w:rsidRDefault="002A0DDA" w:rsidRPr="004F0CF6">
      <w:pPr>
        <w:tabs>
          <w:tab w:pos="2088" w:val="left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4F0CF6">
        <w:rPr>
          <w:b/>
          <w:bCs/>
          <w:i/>
          <w:iCs/>
          <w:sz w:val="28"/>
          <w:szCs w:val="28"/>
          <w:u w:val="single"/>
        </w:rPr>
        <w:t xml:space="preserve">Article 2 – </w:t>
      </w:r>
      <w:r w:rsidR="00775425">
        <w:rPr>
          <w:b/>
          <w:bCs/>
          <w:i/>
          <w:iCs/>
          <w:sz w:val="28"/>
          <w:szCs w:val="28"/>
          <w:u w:val="single"/>
        </w:rPr>
        <w:t>Eléments salariaux et mesures</w:t>
      </w:r>
      <w:r w:rsidR="009D5336">
        <w:rPr>
          <w:b/>
          <w:bCs/>
          <w:i/>
          <w:iCs/>
          <w:sz w:val="28"/>
          <w:szCs w:val="28"/>
          <w:u w:val="single"/>
        </w:rPr>
        <w:t xml:space="preserve"> </w:t>
      </w:r>
      <w:r w:rsidR="003E4CBF">
        <w:rPr>
          <w:b/>
          <w:bCs/>
          <w:i/>
          <w:iCs/>
          <w:sz w:val="28"/>
          <w:szCs w:val="28"/>
          <w:u w:val="single"/>
        </w:rPr>
        <w:t>diverses</w:t>
      </w:r>
    </w:p>
    <w:p w14:paraId="309A9093" w14:textId="77777777" w:rsidP="00274DA7" w:rsidR="00274DA7" w:rsidRDefault="00274DA7">
      <w:pPr>
        <w:jc w:val="both"/>
        <w:rPr>
          <w:b/>
          <w:bCs/>
        </w:rPr>
      </w:pPr>
    </w:p>
    <w:p w14:paraId="036F3CE3" w14:textId="770F1F47" w:rsidP="00027C29" w:rsidR="00C910EC" w:rsidRDefault="00C910EC">
      <w:pPr>
        <w:ind w:left="540"/>
        <w:jc w:val="both"/>
      </w:pPr>
    </w:p>
    <w:p w14:paraId="0E7EFDD8" w14:textId="46DB75DF" w:rsidP="003E3736" w:rsidR="003E3736" w:rsidRDefault="003E3736" w:rsidRPr="00271A58">
      <w:pPr>
        <w:jc w:val="both"/>
        <w:rPr>
          <w:b/>
          <w:bCs/>
          <w:iCs/>
        </w:rPr>
      </w:pPr>
      <w:r w:rsidRPr="00271A58">
        <w:rPr>
          <w:b/>
          <w:bCs/>
          <w:iCs/>
        </w:rPr>
        <w:t>2.</w:t>
      </w:r>
      <w:r w:rsidR="003E4CBF">
        <w:rPr>
          <w:b/>
          <w:bCs/>
          <w:iCs/>
        </w:rPr>
        <w:t>1</w:t>
      </w:r>
      <w:r w:rsidRPr="00271A58">
        <w:rPr>
          <w:b/>
          <w:bCs/>
          <w:iCs/>
        </w:rPr>
        <w:t xml:space="preserve"> </w:t>
      </w:r>
      <w:r>
        <w:rPr>
          <w:b/>
          <w:bCs/>
          <w:iCs/>
        </w:rPr>
        <w:t>Prime panier</w:t>
      </w:r>
      <w:r w:rsidR="003E4CBF">
        <w:rPr>
          <w:b/>
          <w:bCs/>
          <w:iCs/>
        </w:rPr>
        <w:t xml:space="preserve"> et d’astreinte</w:t>
      </w:r>
    </w:p>
    <w:p w14:paraId="241B276C" w14:textId="7A33294E" w:rsidP="00CE2DE6" w:rsidR="00F71092" w:rsidRDefault="00F71092">
      <w:pPr>
        <w:ind w:left="900"/>
        <w:jc w:val="both"/>
      </w:pPr>
    </w:p>
    <w:p w14:paraId="3693D0EE" w14:textId="4305FC9E" w:rsidP="003E3736" w:rsidR="003E4CBF" w:rsidRDefault="003E4CBF">
      <w:pPr>
        <w:jc w:val="both"/>
      </w:pPr>
      <w:r>
        <w:t xml:space="preserve">Pour les salariés concernés par ces dispositifs, </w:t>
      </w:r>
    </w:p>
    <w:p w14:paraId="57B922BF" w14:textId="77777777" w:rsidP="003E3736" w:rsidR="005B5150" w:rsidRDefault="005B5150">
      <w:pPr>
        <w:jc w:val="both"/>
      </w:pPr>
    </w:p>
    <w:p w14:paraId="17C4928B" w14:textId="6CA72F44" w:rsidP="00674EB0" w:rsidR="003E3736" w:rsidRDefault="002973F7">
      <w:pPr>
        <w:pStyle w:val="Paragraphedeliste"/>
        <w:numPr>
          <w:ilvl w:val="0"/>
          <w:numId w:val="18"/>
        </w:numPr>
        <w:jc w:val="both"/>
      </w:pPr>
      <w:r>
        <w:t xml:space="preserve">Le montant </w:t>
      </w:r>
      <w:proofErr w:type="gramStart"/>
      <w:r>
        <w:t>de la prime panier</w:t>
      </w:r>
      <w:proofErr w:type="gramEnd"/>
      <w:r>
        <w:t xml:space="preserve"> de nuit est de 15 euros</w:t>
      </w:r>
      <w:r w:rsidR="00775425">
        <w:t> ;</w:t>
      </w:r>
    </w:p>
    <w:p w14:paraId="7C082930" w14:textId="6020FEF6" w:rsidP="003E3736" w:rsidR="002973F7" w:rsidRDefault="002973F7">
      <w:pPr>
        <w:jc w:val="both"/>
      </w:pPr>
    </w:p>
    <w:p w14:paraId="6CE20C30" w14:textId="5901E994" w:rsidP="00674EB0" w:rsidR="002973F7" w:rsidRDefault="002973F7">
      <w:pPr>
        <w:pStyle w:val="Paragraphedeliste"/>
        <w:numPr>
          <w:ilvl w:val="0"/>
          <w:numId w:val="18"/>
        </w:numPr>
        <w:jc w:val="both"/>
      </w:pPr>
      <w:r>
        <w:t>Le montant de la prime d’astreinte est de 36 euros.</w:t>
      </w:r>
    </w:p>
    <w:p w14:paraId="2A8D2C79" w14:textId="77777777" w:rsidP="00CE2DE6" w:rsidR="003E3736" w:rsidRDefault="003E3736" w:rsidRPr="00271A58">
      <w:pPr>
        <w:ind w:left="900"/>
        <w:jc w:val="both"/>
      </w:pPr>
    </w:p>
    <w:p w14:paraId="358E39D9" w14:textId="2C4E0AFB" w:rsidP="00403B34" w:rsidR="00962D7A" w:rsidRDefault="00962D7A">
      <w:pPr>
        <w:jc w:val="both"/>
        <w:rPr>
          <w:bCs/>
          <w:iCs/>
        </w:rPr>
      </w:pPr>
    </w:p>
    <w:p w14:paraId="49080E28" w14:textId="745F520D" w:rsidP="00403B34" w:rsidR="00962D7A" w:rsidRDefault="00962D7A">
      <w:pPr>
        <w:jc w:val="both"/>
        <w:rPr>
          <w:bCs/>
          <w:iCs/>
        </w:rPr>
      </w:pPr>
    </w:p>
    <w:p w14:paraId="07DBC373" w14:textId="5FF27B51" w:rsidP="00403B34" w:rsidR="00241727" w:rsidRDefault="00574B5B" w:rsidRPr="00674EB0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2.2 – </w:t>
      </w:r>
      <w:r w:rsidRPr="00674EB0">
        <w:rPr>
          <w:b/>
          <w:bCs/>
          <w:iCs/>
        </w:rPr>
        <w:t>Grille des salaires minima</w:t>
      </w:r>
    </w:p>
    <w:p w14:paraId="6CED12F2" w14:textId="77777777" w:rsidP="00403B34" w:rsidR="00104C86" w:rsidRDefault="00104C86">
      <w:pPr>
        <w:jc w:val="both"/>
        <w:rPr>
          <w:bCs/>
          <w:iCs/>
        </w:rPr>
      </w:pPr>
    </w:p>
    <w:p w14:paraId="25DF2F52" w14:textId="49B0E025" w:rsidP="00403B34" w:rsidR="00574B5B" w:rsidRDefault="00574B5B">
      <w:pPr>
        <w:jc w:val="both"/>
        <w:rPr>
          <w:bCs/>
          <w:iCs/>
        </w:rPr>
      </w:pPr>
      <w:r>
        <w:rPr>
          <w:bCs/>
          <w:iCs/>
        </w:rPr>
        <w:t xml:space="preserve">Une grille de salaires propre à </w:t>
      </w:r>
      <w:r w:rsidR="00274CFC">
        <w:rPr>
          <w:bCs/>
          <w:iCs/>
        </w:rPr>
        <w:t>l’établissement</w:t>
      </w:r>
      <w:r>
        <w:rPr>
          <w:bCs/>
          <w:iCs/>
        </w:rPr>
        <w:t xml:space="preserve"> </w:t>
      </w:r>
      <w:bookmarkStart w:id="2" w:name="_Hlk103863767"/>
      <w:r w:rsidR="002C2D93">
        <w:rPr>
          <w:bCs/>
          <w:iCs/>
        </w:rPr>
        <w:t>de Beaufour Ipsen Industrie d’ISS</w:t>
      </w:r>
      <w:r>
        <w:rPr>
          <w:bCs/>
          <w:iCs/>
        </w:rPr>
        <w:t xml:space="preserve">, </w:t>
      </w:r>
      <w:bookmarkEnd w:id="2"/>
      <w:r>
        <w:rPr>
          <w:bCs/>
          <w:iCs/>
        </w:rPr>
        <w:t>et supérieure de 3% aux minima de la branche de l’Industrie Pharmaceutique, a été mise en place pour l’ensemble des collaborateurs relevant des Groupes 1 à 6A inclus ayant un an d’ancienneté.</w:t>
      </w:r>
    </w:p>
    <w:p w14:paraId="5E840D52" w14:textId="0AFFDF2E" w:rsidP="00403B34" w:rsidR="00574B5B" w:rsidRDefault="00574B5B">
      <w:pPr>
        <w:jc w:val="both"/>
        <w:rPr>
          <w:bCs/>
          <w:iCs/>
        </w:rPr>
      </w:pPr>
    </w:p>
    <w:p w14:paraId="2C75637A" w14:textId="6FAE523D" w:rsidP="00403B34" w:rsidR="00574B5B" w:rsidRDefault="00574B5B">
      <w:pPr>
        <w:jc w:val="both"/>
        <w:rPr>
          <w:bCs/>
          <w:iCs/>
        </w:rPr>
      </w:pPr>
      <w:r>
        <w:rPr>
          <w:bCs/>
          <w:iCs/>
        </w:rPr>
        <w:t xml:space="preserve">Le salarié bénéficie de cette mesure à la date d’anniversaire de ses 1 an d’ancienneté. </w:t>
      </w:r>
    </w:p>
    <w:p w14:paraId="152199C4" w14:textId="3B5DB564" w:rsidP="00403B34" w:rsidR="00574B5B" w:rsidRDefault="00574B5B">
      <w:pPr>
        <w:jc w:val="both"/>
        <w:rPr>
          <w:bCs/>
          <w:iCs/>
        </w:rPr>
      </w:pPr>
      <w:r>
        <w:rPr>
          <w:bCs/>
          <w:iCs/>
        </w:rPr>
        <w:t xml:space="preserve">Cette grille ne peut servir de base au calcul de la prime d’ancienneté prévue conventionnellement. </w:t>
      </w:r>
    </w:p>
    <w:p w14:paraId="4B9D982F" w14:textId="77777777" w:rsidP="00403B34" w:rsidR="00241727" w:rsidRDefault="00241727" w:rsidRPr="00271A58">
      <w:pPr>
        <w:jc w:val="both"/>
        <w:rPr>
          <w:bCs/>
          <w:iCs/>
        </w:rPr>
      </w:pPr>
    </w:p>
    <w:p w14:paraId="651F4691" w14:textId="77777777" w:rsidP="00C26DAB" w:rsidR="005F547F" w:rsidRDefault="005F547F" w:rsidRPr="00271A58">
      <w:pPr>
        <w:tabs>
          <w:tab w:pos="2088" w:val="left"/>
        </w:tabs>
        <w:jc w:val="both"/>
        <w:rPr>
          <w:b/>
          <w:bCs/>
          <w:i/>
          <w:iCs/>
          <w:sz w:val="28"/>
          <w:szCs w:val="28"/>
          <w:u w:val="single"/>
        </w:rPr>
      </w:pPr>
    </w:p>
    <w:p w14:paraId="22B3C135" w14:textId="1045BF2F" w:rsidP="00C26DAB" w:rsidR="00C26DAB" w:rsidRDefault="00C26DAB" w:rsidRPr="00271A58">
      <w:pPr>
        <w:tabs>
          <w:tab w:pos="2088" w:val="left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271A58">
        <w:rPr>
          <w:b/>
          <w:bCs/>
          <w:i/>
          <w:iCs/>
          <w:sz w:val="28"/>
          <w:szCs w:val="28"/>
          <w:u w:val="single"/>
        </w:rPr>
        <w:t>Article 3 – Mesure</w:t>
      </w:r>
      <w:r w:rsidR="009E64E2">
        <w:rPr>
          <w:b/>
          <w:bCs/>
          <w:i/>
          <w:iCs/>
          <w:sz w:val="28"/>
          <w:szCs w:val="28"/>
          <w:u w:val="single"/>
        </w:rPr>
        <w:t>s</w:t>
      </w:r>
      <w:r w:rsidR="00C75BBC" w:rsidRPr="00271A58">
        <w:rPr>
          <w:b/>
          <w:bCs/>
          <w:i/>
          <w:iCs/>
          <w:sz w:val="28"/>
          <w:szCs w:val="28"/>
          <w:u w:val="single"/>
        </w:rPr>
        <w:t xml:space="preserve"> complémentaire</w:t>
      </w:r>
      <w:r w:rsidR="009E64E2">
        <w:rPr>
          <w:b/>
          <w:bCs/>
          <w:i/>
          <w:iCs/>
          <w:sz w:val="28"/>
          <w:szCs w:val="28"/>
          <w:u w:val="single"/>
        </w:rPr>
        <w:t>s</w:t>
      </w:r>
    </w:p>
    <w:p w14:paraId="6507E34C" w14:textId="77777777" w:rsidP="00B448F7" w:rsidR="00EF1F42" w:rsidRDefault="00EF1F42" w:rsidRPr="00271A58">
      <w:pPr>
        <w:jc w:val="both"/>
      </w:pPr>
    </w:p>
    <w:p w14:paraId="417C1ADB" w14:textId="7A3CE7DB" w:rsidP="00C26DAB" w:rsidR="00D86C80" w:rsidRDefault="00D86C80" w:rsidRPr="00DD512A">
      <w:pPr>
        <w:jc w:val="both"/>
      </w:pPr>
      <w:r w:rsidRPr="00DD512A">
        <w:t>Dans le cadre de la conciliation vie privée – vie professionnelle, la Direction propose les mesures suivantes :</w:t>
      </w:r>
    </w:p>
    <w:p w14:paraId="334FD15D" w14:textId="77777777" w:rsidP="00C26DAB" w:rsidR="00D86C80" w:rsidRDefault="00D86C80">
      <w:pPr>
        <w:jc w:val="both"/>
        <w:rPr>
          <w:b/>
        </w:rPr>
      </w:pPr>
    </w:p>
    <w:p w14:paraId="7AA7BAAA" w14:textId="761D49C7" w:rsidP="00D86C80" w:rsidR="00C26DAB" w:rsidRDefault="00C26DAB" w:rsidRPr="00D86C80">
      <w:pPr>
        <w:pStyle w:val="Paragraphedeliste"/>
        <w:numPr>
          <w:ilvl w:val="0"/>
          <w:numId w:val="18"/>
        </w:numPr>
        <w:jc w:val="both"/>
        <w:rPr>
          <w:b/>
        </w:rPr>
      </w:pPr>
      <w:r w:rsidRPr="00D86C80">
        <w:rPr>
          <w:b/>
        </w:rPr>
        <w:t>Congés Exceptionnels Enfants Malades</w:t>
      </w:r>
    </w:p>
    <w:p w14:paraId="0FB106B8" w14:textId="77777777" w:rsidP="00C26DAB" w:rsidR="00C26DAB" w:rsidRDefault="00C26DAB" w:rsidRPr="00271A58">
      <w:pPr>
        <w:jc w:val="both"/>
        <w:rPr>
          <w:bCs/>
        </w:rPr>
      </w:pPr>
    </w:p>
    <w:p w14:paraId="155B772B" w14:textId="1EEC9B4F" w:rsidP="00C26DAB" w:rsidR="00C26DAB" w:rsidRDefault="00D86C80" w:rsidRPr="00271A58">
      <w:pPr>
        <w:jc w:val="both"/>
        <w:rPr>
          <w:bCs/>
        </w:rPr>
      </w:pPr>
      <w:r>
        <w:rPr>
          <w:bCs/>
        </w:rPr>
        <w:t>L</w:t>
      </w:r>
      <w:r w:rsidR="00C26DAB" w:rsidRPr="00271A58">
        <w:rPr>
          <w:bCs/>
        </w:rPr>
        <w:t xml:space="preserve">a direction propose la reconduction pour </w:t>
      </w:r>
      <w:r w:rsidR="0014089D">
        <w:rPr>
          <w:bCs/>
        </w:rPr>
        <w:t xml:space="preserve">les collaborateurs </w:t>
      </w:r>
      <w:r w:rsidR="002C2D93">
        <w:rPr>
          <w:bCs/>
          <w:iCs/>
        </w:rPr>
        <w:t xml:space="preserve">de l’établissement de Beaufour Ipsen Industrie d’ISS, </w:t>
      </w:r>
      <w:r w:rsidR="00C26DAB" w:rsidRPr="00271A58">
        <w:rPr>
          <w:bCs/>
        </w:rPr>
        <w:t xml:space="preserve">d’un congé enfant malade rémunéré sur la base d’un justificatif médical pour les enfants à charge </w:t>
      </w:r>
      <w:r w:rsidR="00CC4A3D" w:rsidRPr="00271A58">
        <w:rPr>
          <w:bCs/>
        </w:rPr>
        <w:t>jusqu’à</w:t>
      </w:r>
      <w:r w:rsidR="00C26DAB" w:rsidRPr="00271A58">
        <w:rPr>
          <w:bCs/>
        </w:rPr>
        <w:t xml:space="preserve"> 1</w:t>
      </w:r>
      <w:r w:rsidR="00E24B4D">
        <w:rPr>
          <w:bCs/>
        </w:rPr>
        <w:t>6</w:t>
      </w:r>
      <w:r w:rsidR="00C26DAB" w:rsidRPr="00271A58">
        <w:rPr>
          <w:bCs/>
        </w:rPr>
        <w:t xml:space="preserve"> ans.</w:t>
      </w:r>
    </w:p>
    <w:p w14:paraId="70F77A8B" w14:textId="26C5524E" w:rsidP="00C26DAB" w:rsidR="00C26DAB" w:rsidRDefault="00CC4A3D">
      <w:pPr>
        <w:jc w:val="both"/>
        <w:rPr>
          <w:bCs/>
        </w:rPr>
      </w:pPr>
      <w:r w:rsidRPr="00271A58">
        <w:rPr>
          <w:bCs/>
        </w:rPr>
        <w:t>La durée de ce congé est de 3</w:t>
      </w:r>
      <w:r w:rsidR="00C26DAB" w:rsidRPr="00271A58">
        <w:rPr>
          <w:bCs/>
        </w:rPr>
        <w:t xml:space="preserve"> jours</w:t>
      </w:r>
      <w:r w:rsidR="00525D7A" w:rsidRPr="00271A58">
        <w:rPr>
          <w:bCs/>
        </w:rPr>
        <w:t xml:space="preserve"> (CDI et CDD d’au moins un an)</w:t>
      </w:r>
      <w:r w:rsidRPr="00271A58">
        <w:rPr>
          <w:bCs/>
        </w:rPr>
        <w:t>, consécutifs ou non,</w:t>
      </w:r>
      <w:r w:rsidR="00C26DAB" w:rsidRPr="00271A58">
        <w:rPr>
          <w:bCs/>
        </w:rPr>
        <w:t xml:space="preserve"> par an</w:t>
      </w:r>
      <w:r w:rsidR="00525D7A" w:rsidRPr="00271A58">
        <w:rPr>
          <w:bCs/>
        </w:rPr>
        <w:t xml:space="preserve"> (pris sur </w:t>
      </w:r>
      <w:r w:rsidR="00AA41C5">
        <w:rPr>
          <w:bCs/>
        </w:rPr>
        <w:t>l’</w:t>
      </w:r>
      <w:r w:rsidR="00525D7A" w:rsidRPr="00271A58">
        <w:rPr>
          <w:bCs/>
        </w:rPr>
        <w:t>année civile)</w:t>
      </w:r>
      <w:r w:rsidR="00C26DAB" w:rsidRPr="00271A58">
        <w:rPr>
          <w:bCs/>
        </w:rPr>
        <w:t xml:space="preserve"> et par salarié et ne se cumule pas d’une année sur l’autre.</w:t>
      </w:r>
      <w:r w:rsidR="008D3E44" w:rsidRPr="00271A58">
        <w:rPr>
          <w:bCs/>
        </w:rPr>
        <w:t xml:space="preserve"> Si l’enfant de 1</w:t>
      </w:r>
      <w:r w:rsidR="00E24B4D">
        <w:rPr>
          <w:bCs/>
        </w:rPr>
        <w:t>6</w:t>
      </w:r>
      <w:r w:rsidR="008D3E44" w:rsidRPr="00271A58">
        <w:rPr>
          <w:bCs/>
        </w:rPr>
        <w:t xml:space="preserve"> à 18 ans doit être accompagné par son responsable légal pour un problème de santé (hospitalisation</w:t>
      </w:r>
      <w:r w:rsidR="00E24B4D">
        <w:rPr>
          <w:bCs/>
        </w:rPr>
        <w:t>, suivi médical</w:t>
      </w:r>
      <w:r w:rsidR="008D3E44" w:rsidRPr="00271A58">
        <w:rPr>
          <w:bCs/>
        </w:rPr>
        <w:t>…), ces journées enfant malade pourront exceptionnellement être utilisées par les collaborateurs pour ces cas spécifiques.</w:t>
      </w:r>
    </w:p>
    <w:p w14:paraId="13079ECD" w14:textId="584047ED" w:rsidP="00C26DAB" w:rsidR="00E24B4D" w:rsidRDefault="00E24B4D">
      <w:pPr>
        <w:jc w:val="both"/>
        <w:rPr>
          <w:bCs/>
        </w:rPr>
      </w:pPr>
      <w:r>
        <w:rPr>
          <w:bCs/>
        </w:rPr>
        <w:t>Ces 3 jours intègrent les jours prévus</w:t>
      </w:r>
      <w:r w:rsidR="005F547F">
        <w:rPr>
          <w:bCs/>
        </w:rPr>
        <w:t xml:space="preserve"> à cet effet</w:t>
      </w:r>
      <w:r>
        <w:rPr>
          <w:bCs/>
        </w:rPr>
        <w:t xml:space="preserve"> par la convention collective en vigueur et ne se cumulent donc pas.</w:t>
      </w:r>
    </w:p>
    <w:p w14:paraId="7F6CB321" w14:textId="0820E2CB" w:rsidP="00C26DAB" w:rsidR="009E64E2" w:rsidRDefault="009E64E2" w:rsidRPr="00A61B05">
      <w:pPr>
        <w:jc w:val="both"/>
        <w:rPr>
          <w:b/>
          <w:bCs/>
        </w:rPr>
      </w:pPr>
    </w:p>
    <w:p w14:paraId="6125231A" w14:textId="33D75717" w:rsidP="00D86C80" w:rsidR="00851F00" w:rsidRDefault="00D86C80" w:rsidRPr="00D86C80">
      <w:pPr>
        <w:pStyle w:val="Paragraphedeliste"/>
        <w:numPr>
          <w:ilvl w:val="0"/>
          <w:numId w:val="18"/>
        </w:numPr>
        <w:jc w:val="both"/>
        <w:rPr>
          <w:b/>
        </w:rPr>
      </w:pPr>
      <w:r w:rsidRPr="00D86C80">
        <w:rPr>
          <w:b/>
        </w:rPr>
        <w:t>Congé</w:t>
      </w:r>
      <w:r w:rsidR="00DD512A">
        <w:rPr>
          <w:b/>
        </w:rPr>
        <w:t>s</w:t>
      </w:r>
      <w:r w:rsidRPr="00D86C80">
        <w:rPr>
          <w:b/>
        </w:rPr>
        <w:t xml:space="preserve"> </w:t>
      </w:r>
      <w:r w:rsidR="000B7EC9">
        <w:rPr>
          <w:b/>
        </w:rPr>
        <w:t>paternité</w:t>
      </w:r>
      <w:r w:rsidR="00DD512A">
        <w:rPr>
          <w:b/>
        </w:rPr>
        <w:t xml:space="preserve"> </w:t>
      </w:r>
    </w:p>
    <w:p w14:paraId="1C192296" w14:textId="64627929" w:rsidP="002A0DDA" w:rsidR="00D86C80" w:rsidRDefault="00D86C80">
      <w:pPr>
        <w:jc w:val="both"/>
      </w:pPr>
    </w:p>
    <w:p w14:paraId="747141CF" w14:textId="432F92ED" w:rsidP="002A0DDA" w:rsidR="00011149" w:rsidRDefault="00D86C80">
      <w:pPr>
        <w:jc w:val="both"/>
      </w:pPr>
      <w:r>
        <w:t xml:space="preserve">La Direction propose l’augmentation du nombre de jours </w:t>
      </w:r>
      <w:r w:rsidR="000B7EC9">
        <w:t>de congé paternité</w:t>
      </w:r>
      <w:r w:rsidR="00751C06">
        <w:t>. La durée du congé paternité sera donc de</w:t>
      </w:r>
      <w:r w:rsidR="00C72B7E">
        <w:t xml:space="preserve"> 5 semaines</w:t>
      </w:r>
      <w:r w:rsidR="00751C06">
        <w:t xml:space="preserve">, avec bénéfice du maintien du salaire net mensuel pendant la durée du congé en application des dispositions de l’article 29 de la Convention Collective </w:t>
      </w:r>
      <w:r w:rsidR="00DE6A6D">
        <w:t xml:space="preserve">nationale de l’industrie pharmaceutique </w:t>
      </w:r>
      <w:r w:rsidR="00751C06">
        <w:t>en vigueur. La durée du congé paternité définie au présent accord inclu</w:t>
      </w:r>
      <w:r w:rsidR="0014089D">
        <w:t>t</w:t>
      </w:r>
      <w:r w:rsidR="00751C06">
        <w:t xml:space="preserve"> le nombre de jours de congé paternité prévu la loi, y compris les jours légaux définis comme obligatoires</w:t>
      </w:r>
      <w:r w:rsidR="008D43B0">
        <w:t xml:space="preserve"> et sous réserve des dispositions légales à venir.</w:t>
      </w:r>
    </w:p>
    <w:p w14:paraId="66BB871A" w14:textId="433ACCC2" w:rsidP="002A0DDA" w:rsidR="00DD512A" w:rsidRDefault="00DD512A">
      <w:pPr>
        <w:jc w:val="both"/>
      </w:pPr>
    </w:p>
    <w:p w14:paraId="40F8B489" w14:textId="7DD39580" w:rsidP="002A0DDA" w:rsidR="002D6024" w:rsidRDefault="00DD512A">
      <w:pPr>
        <w:jc w:val="both"/>
      </w:pPr>
      <w:r>
        <w:t xml:space="preserve">Ces jours </w:t>
      </w:r>
      <w:r w:rsidR="00DD1FCD">
        <w:t xml:space="preserve">doivent être pris dans les </w:t>
      </w:r>
      <w:r w:rsidR="00962D7A">
        <w:t>6</w:t>
      </w:r>
      <w:r w:rsidR="00DD1FCD">
        <w:t xml:space="preserve"> mois de l’arrivée de l’enfant</w:t>
      </w:r>
      <w:r w:rsidR="00813A1E">
        <w:t>, et sont applicables pour les naissances à compter du 1</w:t>
      </w:r>
      <w:r w:rsidR="00813A1E" w:rsidRPr="00813A1E">
        <w:rPr>
          <w:vertAlign w:val="superscript"/>
        </w:rPr>
        <w:t>er</w:t>
      </w:r>
      <w:r w:rsidR="00813A1E">
        <w:t xml:space="preserve"> </w:t>
      </w:r>
      <w:r w:rsidR="00962D7A">
        <w:t>janvier</w:t>
      </w:r>
      <w:r w:rsidR="00813A1E">
        <w:t xml:space="preserve"> 202</w:t>
      </w:r>
      <w:r w:rsidR="00731856">
        <w:t>2</w:t>
      </w:r>
      <w:r w:rsidR="00813A1E">
        <w:t>.</w:t>
      </w:r>
    </w:p>
    <w:p w14:paraId="2DB06D6B" w14:textId="77777777" w:rsidP="002A0DDA" w:rsidR="00D86C80" w:rsidRDefault="00D86C80" w:rsidRPr="00271A58">
      <w:pPr>
        <w:jc w:val="both"/>
      </w:pPr>
    </w:p>
    <w:p w14:paraId="6F9DE0A1" w14:textId="16BF7A40" w:rsidP="008D3E44" w:rsidR="00863FCD" w:rsidRDefault="00863FCD">
      <w:pPr>
        <w:jc w:val="both"/>
      </w:pPr>
    </w:p>
    <w:p w14:paraId="321F2F70" w14:textId="3905867A" w:rsidP="00497C31" w:rsidR="002A0DDA" w:rsidRDefault="002A0DDA" w:rsidRPr="00271A58">
      <w:pPr>
        <w:tabs>
          <w:tab w:pos="2088" w:val="left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271A58">
        <w:rPr>
          <w:b/>
          <w:bCs/>
          <w:i/>
          <w:iCs/>
          <w:sz w:val="28"/>
          <w:szCs w:val="28"/>
          <w:u w:val="single"/>
        </w:rPr>
        <w:t>Article</w:t>
      </w:r>
      <w:r w:rsidR="00751C06">
        <w:rPr>
          <w:b/>
          <w:bCs/>
          <w:i/>
          <w:iCs/>
          <w:sz w:val="28"/>
          <w:szCs w:val="28"/>
          <w:u w:val="single"/>
        </w:rPr>
        <w:t xml:space="preserve"> 4</w:t>
      </w:r>
      <w:r w:rsidRPr="00271A58">
        <w:rPr>
          <w:b/>
          <w:bCs/>
          <w:i/>
          <w:iCs/>
          <w:sz w:val="28"/>
          <w:szCs w:val="28"/>
          <w:u w:val="single"/>
        </w:rPr>
        <w:t xml:space="preserve"> - Mesures en faveur de l’égalité </w:t>
      </w:r>
      <w:r w:rsidR="0054235E" w:rsidRPr="00271A58">
        <w:rPr>
          <w:b/>
          <w:bCs/>
          <w:i/>
          <w:iCs/>
          <w:sz w:val="28"/>
          <w:szCs w:val="28"/>
          <w:u w:val="single"/>
        </w:rPr>
        <w:t xml:space="preserve">professionnelle </w:t>
      </w:r>
      <w:r w:rsidRPr="00271A58">
        <w:rPr>
          <w:b/>
          <w:bCs/>
          <w:i/>
          <w:iCs/>
          <w:sz w:val="28"/>
          <w:szCs w:val="28"/>
          <w:u w:val="single"/>
        </w:rPr>
        <w:t>femme</w:t>
      </w:r>
      <w:r w:rsidR="0054235E" w:rsidRPr="00271A58">
        <w:rPr>
          <w:b/>
          <w:bCs/>
          <w:i/>
          <w:iCs/>
          <w:sz w:val="28"/>
          <w:szCs w:val="28"/>
          <w:u w:val="single"/>
        </w:rPr>
        <w:t>s</w:t>
      </w:r>
      <w:r w:rsidR="00A26CCB">
        <w:rPr>
          <w:b/>
          <w:bCs/>
          <w:i/>
          <w:iCs/>
          <w:sz w:val="28"/>
          <w:szCs w:val="28"/>
          <w:u w:val="single"/>
        </w:rPr>
        <w:t>/hommes</w:t>
      </w:r>
    </w:p>
    <w:p w14:paraId="716B9DFF" w14:textId="77777777" w:rsidP="002A0DDA" w:rsidR="002A0DDA" w:rsidRDefault="002A0DDA" w:rsidRPr="00271A58">
      <w:pPr>
        <w:jc w:val="both"/>
        <w:rPr>
          <w:b/>
          <w:i/>
          <w:u w:val="single"/>
        </w:rPr>
      </w:pPr>
    </w:p>
    <w:p w14:paraId="48993653" w14:textId="77777777" w:rsidP="002A0DDA" w:rsidR="003806DE" w:rsidRDefault="003806DE" w:rsidRPr="00271A58">
      <w:pPr>
        <w:jc w:val="both"/>
      </w:pPr>
      <w:r w:rsidRPr="00271A58">
        <w:t xml:space="preserve">La Direction </w:t>
      </w:r>
      <w:r w:rsidR="00CD5F9F" w:rsidRPr="00271A58">
        <w:t xml:space="preserve">mène depuis plusieurs années avec le soutien des Organisations syndicales une politique Diversité </w:t>
      </w:r>
      <w:r w:rsidR="004A19B6" w:rsidRPr="00271A58">
        <w:t>orientée sur l’égalité des chances.</w:t>
      </w:r>
    </w:p>
    <w:p w14:paraId="38C5DD34" w14:textId="77777777" w:rsidP="002A0DDA" w:rsidR="003806DE" w:rsidRDefault="003806DE" w:rsidRPr="00271A58">
      <w:pPr>
        <w:jc w:val="both"/>
      </w:pPr>
    </w:p>
    <w:p w14:paraId="19C3DF92" w14:textId="60D6B0A6" w:rsidP="002A0DDA" w:rsidR="0071484C" w:rsidRDefault="00A26CCB" w:rsidRPr="00271A58">
      <w:pPr>
        <w:jc w:val="both"/>
      </w:pPr>
      <w:r>
        <w:t xml:space="preserve">Un accord collectif sur l’égalité femme/hommes et la Qualité de vie au travail est actuellement en vigueur. </w:t>
      </w:r>
      <w:r w:rsidR="001A26A0" w:rsidRPr="00271A58">
        <w:t xml:space="preserve">Il permet de </w:t>
      </w:r>
      <w:r w:rsidR="002E3CFA" w:rsidRPr="00271A58">
        <w:t xml:space="preserve">poursuivre les actions mises en place depuis plusieurs années, auxquelles s’ajoutent </w:t>
      </w:r>
      <w:r w:rsidR="00497C31" w:rsidRPr="00271A58">
        <w:t>des mesures complémentaires, associées à des objectifs de progression et des indicateurs ch</w:t>
      </w:r>
      <w:r w:rsidR="00815CEA" w:rsidRPr="00271A58">
        <w:t>iffrés qui sont communiqués tous les ans aux représentants du personnel.</w:t>
      </w:r>
    </w:p>
    <w:p w14:paraId="0A64A90D" w14:textId="20760248" w:rsidP="002A0DDA" w:rsidR="00815CEA" w:rsidRDefault="00815CEA">
      <w:pPr>
        <w:jc w:val="both"/>
      </w:pPr>
    </w:p>
    <w:p w14:paraId="6A42535A" w14:textId="77777777" w:rsidP="002A0DDA" w:rsidR="004A224A" w:rsidRDefault="004A224A">
      <w:pPr>
        <w:jc w:val="both"/>
      </w:pPr>
    </w:p>
    <w:p w14:paraId="53D7FA97" w14:textId="77777777" w:rsidP="002A0DDA" w:rsidR="005F547F" w:rsidRDefault="005F547F" w:rsidRPr="00271A58">
      <w:pPr>
        <w:jc w:val="both"/>
      </w:pPr>
    </w:p>
    <w:p w14:paraId="52B6165D" w14:textId="36213015" w:rsidP="00C05130" w:rsidR="00C05130" w:rsidRDefault="00FC7407" w:rsidRPr="00271A58">
      <w:pPr>
        <w:tabs>
          <w:tab w:pos="2088" w:val="left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271A58">
        <w:rPr>
          <w:b/>
          <w:bCs/>
          <w:i/>
          <w:iCs/>
          <w:sz w:val="28"/>
          <w:szCs w:val="28"/>
          <w:u w:val="single"/>
        </w:rPr>
        <w:t xml:space="preserve">Article </w:t>
      </w:r>
      <w:r w:rsidR="00737F1A">
        <w:rPr>
          <w:b/>
          <w:bCs/>
          <w:i/>
          <w:iCs/>
          <w:sz w:val="28"/>
          <w:szCs w:val="28"/>
          <w:u w:val="single"/>
        </w:rPr>
        <w:t>5</w:t>
      </w:r>
      <w:r w:rsidR="00C05130" w:rsidRPr="00271A58">
        <w:rPr>
          <w:b/>
          <w:bCs/>
          <w:i/>
          <w:iCs/>
          <w:sz w:val="28"/>
          <w:szCs w:val="28"/>
          <w:u w:val="single"/>
        </w:rPr>
        <w:t xml:space="preserve"> – Autres négociations </w:t>
      </w:r>
    </w:p>
    <w:p w14:paraId="2E84C1EE" w14:textId="77777777" w:rsidP="00C05130" w:rsidR="00C05130" w:rsidRDefault="00C05130" w:rsidRPr="00271A58">
      <w:pPr>
        <w:jc w:val="both"/>
        <w:rPr>
          <w:rFonts w:ascii="Garamond" w:hAnsi="Garamond"/>
        </w:rPr>
      </w:pPr>
    </w:p>
    <w:p w14:paraId="3610A0A0" w14:textId="7476E20F" w:rsidP="00C05130" w:rsidR="00C05130" w:rsidRDefault="00C05130" w:rsidRPr="00271A58">
      <w:pPr>
        <w:jc w:val="both"/>
      </w:pPr>
      <w:r w:rsidRPr="00271A58">
        <w:t>Les autres thèmes</w:t>
      </w:r>
      <w:r w:rsidR="002E3CFA" w:rsidRPr="00271A58">
        <w:t xml:space="preserve"> prévu</w:t>
      </w:r>
      <w:r w:rsidRPr="00271A58">
        <w:t xml:space="preserve">s dans le cadre des Négociations Annuelles Obligatoires font l’objet par ailleurs de discussions et négociations </w:t>
      </w:r>
      <w:r w:rsidR="00A26CCB">
        <w:t xml:space="preserve">au sein de </w:t>
      </w:r>
      <w:r w:rsidR="002C2D93">
        <w:rPr>
          <w:bCs/>
          <w:iCs/>
        </w:rPr>
        <w:t>de l’établissement de Beaufour Ipsen Industrie d’ISS</w:t>
      </w:r>
      <w:r w:rsidR="00A26CCB">
        <w:t xml:space="preserve">. </w:t>
      </w:r>
    </w:p>
    <w:p w14:paraId="36EEF9CF" w14:textId="77777777" w:rsidP="00C05130" w:rsidR="0001663B" w:rsidRDefault="0001663B" w:rsidRPr="00271A58">
      <w:pPr>
        <w:jc w:val="both"/>
      </w:pPr>
    </w:p>
    <w:p w14:paraId="64351926" w14:textId="77777777" w:rsidP="0001663B" w:rsidR="00BE7946" w:rsidRDefault="00BE7946">
      <w:pPr>
        <w:jc w:val="both"/>
      </w:pPr>
    </w:p>
    <w:p w14:paraId="44F37B22" w14:textId="462AA802" w:rsidP="00497C31" w:rsidR="002A0DDA" w:rsidRDefault="001A26A0" w:rsidRPr="00271A58">
      <w:pPr>
        <w:tabs>
          <w:tab w:pos="2088" w:val="left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271A58">
        <w:rPr>
          <w:b/>
          <w:bCs/>
          <w:i/>
          <w:iCs/>
          <w:sz w:val="28"/>
          <w:szCs w:val="28"/>
          <w:u w:val="single"/>
        </w:rPr>
        <w:t>Article</w:t>
      </w:r>
      <w:r w:rsidR="00FC7407" w:rsidRPr="00271A58">
        <w:rPr>
          <w:b/>
          <w:bCs/>
          <w:i/>
          <w:iCs/>
          <w:sz w:val="28"/>
          <w:szCs w:val="28"/>
          <w:u w:val="single"/>
        </w:rPr>
        <w:t xml:space="preserve"> </w:t>
      </w:r>
      <w:r w:rsidR="00737F1A">
        <w:rPr>
          <w:b/>
          <w:bCs/>
          <w:i/>
          <w:iCs/>
          <w:sz w:val="28"/>
          <w:szCs w:val="28"/>
          <w:u w:val="single"/>
        </w:rPr>
        <w:t>6</w:t>
      </w:r>
      <w:r w:rsidR="00C26DAB" w:rsidRPr="00271A58">
        <w:rPr>
          <w:b/>
          <w:bCs/>
          <w:i/>
          <w:iCs/>
          <w:sz w:val="28"/>
          <w:szCs w:val="28"/>
          <w:u w:val="single"/>
        </w:rPr>
        <w:t xml:space="preserve"> </w:t>
      </w:r>
      <w:r w:rsidR="002A0DDA" w:rsidRPr="00271A58">
        <w:rPr>
          <w:b/>
          <w:bCs/>
          <w:i/>
          <w:iCs/>
          <w:sz w:val="28"/>
          <w:szCs w:val="28"/>
          <w:u w:val="single"/>
        </w:rPr>
        <w:t>- Durée et application de l’accord</w:t>
      </w:r>
    </w:p>
    <w:p w14:paraId="4BC79760" w14:textId="77777777" w:rsidP="002A0DDA" w:rsidR="002A0DDA" w:rsidRDefault="002A0DDA" w:rsidRPr="00271A58">
      <w:pPr>
        <w:jc w:val="both"/>
        <w:rPr>
          <w:bCs/>
          <w:iCs/>
        </w:rPr>
      </w:pPr>
    </w:p>
    <w:p w14:paraId="4307176A" w14:textId="330287CA" w:rsidP="002A0DDA" w:rsidR="00CF1A1F" w:rsidRDefault="002A0DDA" w:rsidRPr="00271A58">
      <w:pPr>
        <w:jc w:val="both"/>
      </w:pPr>
      <w:r w:rsidRPr="00271A58">
        <w:t>Le présent accord est conclu pour une durée déterminée</w:t>
      </w:r>
      <w:r w:rsidR="00CF6DEE" w:rsidRPr="00271A58">
        <w:t>.</w:t>
      </w:r>
    </w:p>
    <w:p w14:paraId="1181E57D" w14:textId="3E472662" w:rsidP="00775425" w:rsidR="00775425" w:rsidRDefault="00775425" w:rsidRPr="00674EB0">
      <w:pPr>
        <w:ind w:right="153"/>
      </w:pPr>
      <w:bookmarkStart w:id="3" w:name="_Hlk100220592"/>
      <w:r w:rsidRPr="00674EB0">
        <w:t xml:space="preserve">Cet accord prend effet à partir du premier jour suivant la réalisation effective de la cession </w:t>
      </w:r>
      <w:r w:rsidR="001F2E67" w:rsidRPr="00FC1293">
        <w:t>de l’activité CHC</w:t>
      </w:r>
      <w:r w:rsidR="001F2E67">
        <w:t xml:space="preserve"> </w:t>
      </w:r>
      <w:r w:rsidRPr="00674EB0">
        <w:t xml:space="preserve">et est signé pour une durée déterminée allant jusqu’au 31 décembre 2022 au plus tard, sous réserve d’une négociation collective intervenant avant ce terme </w:t>
      </w:r>
      <w:bookmarkStart w:id="4" w:name="_Hlk100221639"/>
      <w:bookmarkStart w:id="5" w:name="_Hlk100220693"/>
      <w:r w:rsidRPr="00674EB0">
        <w:t>selon les modalités spécifiques ci-dessous</w:t>
      </w:r>
      <w:bookmarkEnd w:id="4"/>
      <w:r w:rsidRPr="00674EB0">
        <w:t>.</w:t>
      </w:r>
    </w:p>
    <w:bookmarkEnd w:id="5"/>
    <w:p w14:paraId="3F4DB58A" w14:textId="77777777" w:rsidP="00775425" w:rsidR="00775425" w:rsidRDefault="00775425" w:rsidRPr="00674EB0">
      <w:pPr>
        <w:ind w:right="153"/>
      </w:pPr>
      <w:r w:rsidRPr="00674EB0">
        <w:t>En tout état de cause, à cette échéance, le présent accord ne pourra se transformer ni être requalifié en un accord à durée indéterminée. La présente clause constitue la stipulation contraire visée à l'article L2222-4 du Code du travail.</w:t>
      </w:r>
    </w:p>
    <w:bookmarkEnd w:id="3"/>
    <w:p w14:paraId="138605A1" w14:textId="77777777" w:rsidP="002A0DDA" w:rsidR="002A0DDA" w:rsidRDefault="002A0DDA" w:rsidRPr="00271A58">
      <w:pPr>
        <w:pStyle w:val="texte"/>
        <w:rPr>
          <w:rFonts w:ascii="Times New Roman" w:cs="Times New Roman" w:eastAsia="Times New Roman" w:hAnsi="Times New Roman"/>
          <w:sz w:val="24"/>
          <w:szCs w:val="24"/>
        </w:rPr>
      </w:pPr>
    </w:p>
    <w:p w14:paraId="01D79CDC" w14:textId="3FD5217A" w:rsidP="00CC0237" w:rsidR="00CC0237" w:rsidRDefault="00CC0237" w:rsidRPr="00CC0237">
      <w:pPr>
        <w:ind w:right="-2"/>
        <w:jc w:val="both"/>
        <w:rPr>
          <w:szCs w:val="20"/>
          <w:lang w:eastAsia="en-US"/>
        </w:rPr>
      </w:pPr>
      <w:r w:rsidRPr="00CC0237">
        <w:rPr>
          <w:szCs w:val="20"/>
          <w:lang w:eastAsia="en-US"/>
        </w:rPr>
        <w:t xml:space="preserve">Conformément aux articles L.2261-7 et suivants du Code du travail, les parties signataires du présent accord ont la faculté de le modifier si (i) elles souhaitent en modifier l’économie ou (ii) </w:t>
      </w:r>
      <w:r w:rsidR="001F2E67">
        <w:rPr>
          <w:szCs w:val="20"/>
          <w:lang w:eastAsia="en-US"/>
        </w:rPr>
        <w:t xml:space="preserve">si </w:t>
      </w:r>
      <w:r w:rsidRPr="00CC0237">
        <w:rPr>
          <w:szCs w:val="20"/>
          <w:lang w:eastAsia="en-US"/>
        </w:rPr>
        <w:t xml:space="preserve">les dispositions légales, réglementaires ou conventionnelles dans le cadre desquelles il a été conclu venaient à être modifiées ou supprimées, remettant en cause l'esprit même et l'équilibre de ce dernier. </w:t>
      </w:r>
    </w:p>
    <w:p w14:paraId="47A95AEB" w14:textId="77777777" w:rsidP="00CC0237" w:rsidR="00CC0237" w:rsidRDefault="00CC0237" w:rsidRPr="00CC0237">
      <w:pPr>
        <w:ind w:right="-2"/>
        <w:jc w:val="both"/>
        <w:rPr>
          <w:szCs w:val="20"/>
          <w:lang w:eastAsia="en-US"/>
        </w:rPr>
      </w:pPr>
    </w:p>
    <w:p w14:paraId="4711CFA7" w14:textId="77777777" w:rsidP="00CC0237" w:rsidR="00CC0237" w:rsidRDefault="00CC0237" w:rsidRPr="00CC0237">
      <w:pPr>
        <w:ind w:right="-2"/>
        <w:jc w:val="both"/>
        <w:rPr>
          <w:szCs w:val="20"/>
          <w:lang w:eastAsia="en-US"/>
        </w:rPr>
      </w:pPr>
      <w:r w:rsidRPr="00CC0237">
        <w:rPr>
          <w:szCs w:val="20"/>
          <w:lang w:eastAsia="en-US"/>
        </w:rPr>
        <w:lastRenderedPageBreak/>
        <w:t>En cas d’évolutions significatives impactant les modalités prévues au présent accord, les parties se réuniront pour discuter des éventuelles adaptations à apporter. Les circonstances ci-dessus ne sont pas énumérées de manière limitative.</w:t>
      </w:r>
    </w:p>
    <w:p w14:paraId="115801D4" w14:textId="77777777" w:rsidP="00CC0237" w:rsidR="00CC0237" w:rsidRDefault="00CC0237" w:rsidRPr="00CC0237">
      <w:pPr>
        <w:ind w:right="-2"/>
        <w:jc w:val="both"/>
        <w:rPr>
          <w:szCs w:val="20"/>
          <w:lang w:eastAsia="en-US"/>
        </w:rPr>
      </w:pPr>
    </w:p>
    <w:p w14:paraId="784AD26B" w14:textId="77777777" w:rsidP="00CC0237" w:rsidR="00CC0237" w:rsidRDefault="00CC0237" w:rsidRPr="00CC0237">
      <w:pPr>
        <w:ind w:right="-2"/>
        <w:jc w:val="both"/>
        <w:rPr>
          <w:szCs w:val="20"/>
          <w:lang w:eastAsia="en-US"/>
        </w:rPr>
      </w:pPr>
      <w:r w:rsidRPr="00CC0237">
        <w:rPr>
          <w:szCs w:val="20"/>
          <w:lang w:eastAsia="en-US"/>
        </w:rPr>
        <w:t>La demande de révision peut intervenir à tout moment, à l'initiative de l'une des parties signataires.</w:t>
      </w:r>
    </w:p>
    <w:p w14:paraId="697739BF" w14:textId="77777777" w:rsidP="00CC0237" w:rsidR="00CC0237" w:rsidRDefault="00CC0237" w:rsidRPr="00CC0237">
      <w:pPr>
        <w:ind w:right="-2"/>
        <w:jc w:val="both"/>
        <w:rPr>
          <w:szCs w:val="20"/>
          <w:lang w:eastAsia="en-US"/>
        </w:rPr>
      </w:pPr>
    </w:p>
    <w:p w14:paraId="1DEF3D5D" w14:textId="77777777" w:rsidP="00CC0237" w:rsidR="00CC0237" w:rsidRDefault="00CC0237" w:rsidRPr="00CC0237">
      <w:pPr>
        <w:ind w:right="-2"/>
        <w:jc w:val="both"/>
        <w:rPr>
          <w:szCs w:val="20"/>
          <w:lang w:eastAsia="en-US"/>
        </w:rPr>
      </w:pPr>
      <w:r w:rsidRPr="00CC0237">
        <w:rPr>
          <w:szCs w:val="20"/>
          <w:lang w:eastAsia="en-US"/>
        </w:rPr>
        <w:t xml:space="preserve">Elle doit être notifiée, par lettre recommandée avec accusé de réception aux autres signataires, ainsi qu'à l'ensemble des organisations syndicales représentatives </w:t>
      </w:r>
      <w:proofErr w:type="gramStart"/>
      <w:r w:rsidRPr="00CC0237">
        <w:rPr>
          <w:szCs w:val="20"/>
          <w:lang w:eastAsia="en-US"/>
        </w:rPr>
        <w:t>non signataires</w:t>
      </w:r>
      <w:proofErr w:type="gramEnd"/>
      <w:r w:rsidRPr="00CC0237">
        <w:rPr>
          <w:szCs w:val="20"/>
          <w:lang w:eastAsia="en-US"/>
        </w:rPr>
        <w:t>.</w:t>
      </w:r>
    </w:p>
    <w:p w14:paraId="7E11DE9D" w14:textId="77777777" w:rsidP="00CC0237" w:rsidR="00CC0237" w:rsidRDefault="00CC0237" w:rsidRPr="00CC0237">
      <w:pPr>
        <w:ind w:right="-2"/>
        <w:jc w:val="both"/>
        <w:rPr>
          <w:szCs w:val="20"/>
          <w:lang w:eastAsia="en-US"/>
        </w:rPr>
      </w:pPr>
    </w:p>
    <w:p w14:paraId="0E963855" w14:textId="77777777" w:rsidP="00CC0237" w:rsidR="00CC0237" w:rsidRDefault="00CC0237" w:rsidRPr="00CC0237">
      <w:pPr>
        <w:ind w:right="-2"/>
        <w:jc w:val="both"/>
        <w:rPr>
          <w:szCs w:val="20"/>
          <w:lang w:eastAsia="en-US"/>
        </w:rPr>
      </w:pPr>
      <w:r w:rsidRPr="00CC0237">
        <w:rPr>
          <w:szCs w:val="20"/>
          <w:lang w:eastAsia="en-US"/>
        </w:rPr>
        <w:t>L'ensemble des partenaires sociaux se réunira alors dans un délai de 3 mois à compter de la réception de cette demande afin d'envisager la conclusion d'un avenant de révision.</w:t>
      </w:r>
    </w:p>
    <w:p w14:paraId="33FBBBC5" w14:textId="77777777" w:rsidP="00CC0237" w:rsidR="00CC0237" w:rsidRDefault="00CC0237" w:rsidRPr="00CC0237">
      <w:pPr>
        <w:ind w:right="-2"/>
        <w:jc w:val="both"/>
        <w:rPr>
          <w:szCs w:val="20"/>
          <w:lang w:eastAsia="en-US"/>
        </w:rPr>
      </w:pPr>
    </w:p>
    <w:p w14:paraId="5B5F3275" w14:textId="77777777" w:rsidP="00CC0237" w:rsidR="00CC0237" w:rsidRDefault="00CC0237" w:rsidRPr="00CC0237">
      <w:pPr>
        <w:ind w:right="-2"/>
        <w:jc w:val="both"/>
        <w:rPr>
          <w:szCs w:val="20"/>
          <w:lang w:eastAsia="en-US"/>
        </w:rPr>
      </w:pPr>
      <w:r w:rsidRPr="00CC0237">
        <w:rPr>
          <w:szCs w:val="20"/>
          <w:lang w:eastAsia="en-US"/>
        </w:rPr>
        <w:t>L'avenant se substituera alors de plein droit aux dispositions du présent accord qu'il modifie.</w:t>
      </w:r>
    </w:p>
    <w:p w14:paraId="6E1F8DB0" w14:textId="77777777" w:rsidP="00CC0237" w:rsidR="00CC0237" w:rsidRDefault="00CC0237" w:rsidRPr="00CC0237">
      <w:pPr>
        <w:ind w:right="-2"/>
        <w:jc w:val="both"/>
        <w:rPr>
          <w:rFonts w:ascii="Arial" w:hAnsi="Arial"/>
          <w:szCs w:val="20"/>
          <w:lang w:eastAsia="en-US"/>
        </w:rPr>
      </w:pPr>
    </w:p>
    <w:p w14:paraId="1792BA19" w14:textId="24E1B798" w:rsidP="002A0DDA" w:rsidR="002A0DDA" w:rsidRDefault="002A0DDA">
      <w:pPr>
        <w:jc w:val="both"/>
      </w:pPr>
      <w:r w:rsidRPr="00271A58">
        <w:t>Le présent accord fera l’objet des formalités de dépôt et de publicité prévues par les textes en vigueur.</w:t>
      </w:r>
    </w:p>
    <w:p w14:paraId="024CFF70" w14:textId="77777777" w:rsidP="002A0DDA" w:rsidR="0034705F" w:rsidRDefault="0034705F" w:rsidRPr="00271A58">
      <w:pPr>
        <w:jc w:val="both"/>
      </w:pPr>
    </w:p>
    <w:p w14:paraId="151F37F2" w14:textId="5FA924E3" w:rsidP="00C51417" w:rsidR="00C51417" w:rsidRDefault="00C51417" w:rsidRPr="0047080B">
      <w:pPr>
        <w:spacing w:line="259" w:lineRule="auto"/>
      </w:pPr>
      <w:r w:rsidRPr="0047080B">
        <w:t xml:space="preserve">Fait à Isle sur la Sorgue, le </w:t>
      </w:r>
      <w:r w:rsidR="0047080B" w:rsidRPr="0047080B">
        <w:t>7</w:t>
      </w:r>
      <w:r w:rsidRPr="0047080B">
        <w:t xml:space="preserve"> juin 2022</w:t>
      </w:r>
    </w:p>
    <w:p w14:paraId="69B1FF20" w14:textId="77777777" w:rsidP="00C51417" w:rsidR="00C51417" w:rsidRDefault="00C51417" w:rsidRPr="0047080B">
      <w:pPr>
        <w:spacing w:line="259" w:lineRule="auto"/>
      </w:pPr>
    </w:p>
    <w:p w14:paraId="6C956203" w14:textId="3CFFD92D" w:rsidP="00C51417" w:rsidR="00C51417" w:rsidRDefault="00C51417" w:rsidRPr="0047080B">
      <w:r w:rsidRPr="0047080B">
        <w:t>En 4 exemplaires.</w:t>
      </w:r>
    </w:p>
    <w:p w14:paraId="39DE02CE" w14:textId="77777777" w:rsidP="00C51417" w:rsidR="00C51417" w:rsidRDefault="00C51417">
      <w:pPr>
        <w:rPr>
          <w:rFonts w:ascii="Arial" w:cs="Arial" w:hAnsi="Arial"/>
          <w:sz w:val="22"/>
        </w:rPr>
      </w:pPr>
    </w:p>
    <w:p w14:paraId="151E5A1A" w14:textId="07FE25F1" w:rsidP="00C51417" w:rsidR="00C51417" w:rsidRDefault="00C51417" w:rsidRPr="00E81653">
      <w:pPr>
        <w:pStyle w:val="Body"/>
        <w:jc w:val="both"/>
        <w:rPr>
          <w:rFonts w:ascii="Arial" w:cs="Arial" w:hAnsi="Arial"/>
          <w:sz w:val="22"/>
          <w:szCs w:val="22"/>
          <w:lang w:val="fr-FR"/>
        </w:rPr>
      </w:pPr>
      <w:r w:rsidRPr="00E81653">
        <w:rPr>
          <w:rFonts w:ascii="Arial" w:cs="Arial" w:hAnsi="Arial"/>
          <w:sz w:val="22"/>
          <w:szCs w:val="22"/>
          <w:lang w:val="fr-FR"/>
        </w:rPr>
        <w:t>_________________________</w:t>
      </w:r>
      <w:r w:rsidRPr="00E81653">
        <w:rPr>
          <w:rFonts w:ascii="Arial" w:cs="Arial" w:hAnsi="Arial"/>
          <w:sz w:val="22"/>
          <w:szCs w:val="22"/>
          <w:lang w:val="fr-FR"/>
        </w:rPr>
        <w:tab/>
      </w:r>
      <w:r w:rsidRPr="00E81653">
        <w:rPr>
          <w:rFonts w:ascii="Arial" w:cs="Arial" w:hAnsi="Arial"/>
          <w:sz w:val="22"/>
          <w:szCs w:val="22"/>
          <w:lang w:val="fr-FR"/>
        </w:rPr>
        <w:tab/>
      </w:r>
      <w:r w:rsidRPr="00E81653">
        <w:rPr>
          <w:rFonts w:ascii="Arial" w:cs="Arial" w:hAnsi="Arial"/>
          <w:sz w:val="22"/>
          <w:szCs w:val="22"/>
          <w:lang w:val="fr-FR"/>
        </w:rPr>
        <w:tab/>
      </w:r>
      <w:r>
        <w:rPr>
          <w:rFonts w:ascii="Arial" w:cs="Arial" w:hAnsi="Arial"/>
          <w:sz w:val="22"/>
          <w:szCs w:val="22"/>
          <w:lang w:val="fr-FR"/>
        </w:rPr>
        <w:tab/>
      </w:r>
      <w:r>
        <w:rPr>
          <w:rFonts w:ascii="Arial" w:cs="Arial" w:hAnsi="Arial"/>
          <w:sz w:val="22"/>
          <w:szCs w:val="22"/>
          <w:lang w:val="fr-FR"/>
        </w:rPr>
        <w:tab/>
      </w:r>
    </w:p>
    <w:p w14:paraId="3E8C0E21" w14:textId="77777777" w:rsidP="00C51417" w:rsidR="005B5150" w:rsidRDefault="005B5150">
      <w:pPr>
        <w:pStyle w:val="Body"/>
        <w:jc w:val="both"/>
        <w:rPr>
          <w:rFonts w:ascii="Arial" w:cs="Arial" w:hAnsi="Arial"/>
          <w:sz w:val="22"/>
          <w:szCs w:val="22"/>
          <w:lang w:val="fr-FR"/>
        </w:rPr>
      </w:pPr>
    </w:p>
    <w:p w14:paraId="487352F0" w14:textId="3C0247DF" w:rsidP="00C51417" w:rsidR="00C51417" w:rsidRDefault="00C51417" w:rsidRPr="005509EA">
      <w:pPr>
        <w:pStyle w:val="Body"/>
        <w:jc w:val="both"/>
        <w:rPr>
          <w:rFonts w:ascii="Arial" w:cs="Arial" w:hAnsi="Arial"/>
          <w:sz w:val="22"/>
          <w:szCs w:val="22"/>
          <w:lang w:val="fr-FR"/>
        </w:rPr>
      </w:pPr>
      <w:r w:rsidRPr="005509EA">
        <w:rPr>
          <w:rFonts w:ascii="Arial" w:cs="Arial" w:hAnsi="Arial"/>
          <w:sz w:val="22"/>
          <w:szCs w:val="22"/>
          <w:lang w:val="fr-FR"/>
        </w:rPr>
        <w:t xml:space="preserve">Pour </w:t>
      </w:r>
      <w:r>
        <w:rPr>
          <w:rFonts w:ascii="Arial" w:cs="Arial" w:hAnsi="Arial"/>
          <w:sz w:val="22"/>
          <w:szCs w:val="22"/>
          <w:lang w:val="fr-FR"/>
        </w:rPr>
        <w:t>L’Etablissement de Beaufour Ipsen Industrie ISS</w:t>
      </w:r>
      <w:r>
        <w:rPr>
          <w:rFonts w:ascii="Arial" w:cs="Arial" w:hAnsi="Arial"/>
          <w:sz w:val="22"/>
          <w:szCs w:val="22"/>
          <w:lang w:val="fr-FR"/>
        </w:rPr>
        <w:tab/>
      </w:r>
      <w:r>
        <w:rPr>
          <w:rFonts w:ascii="Arial" w:cs="Arial" w:hAnsi="Arial"/>
          <w:sz w:val="22"/>
          <w:szCs w:val="22"/>
          <w:lang w:val="fr-FR"/>
        </w:rPr>
        <w:tab/>
      </w:r>
      <w:r w:rsidRPr="005509EA">
        <w:rPr>
          <w:rFonts w:ascii="Arial" w:cs="Arial" w:hAnsi="Arial"/>
          <w:sz w:val="22"/>
          <w:szCs w:val="22"/>
          <w:lang w:val="fr-FR"/>
        </w:rPr>
        <w:t xml:space="preserve">Pour le syndicat </w:t>
      </w:r>
      <w:r>
        <w:rPr>
          <w:rFonts w:ascii="Arial" w:cs="Arial" w:hAnsi="Arial"/>
          <w:sz w:val="22"/>
          <w:szCs w:val="22"/>
          <w:lang w:val="fr-FR"/>
        </w:rPr>
        <w:t>CFE/CGC</w:t>
      </w:r>
    </w:p>
    <w:p w14:paraId="0B41A392" w14:textId="36694C1D" w:rsidP="00C51417" w:rsidR="00C51417" w:rsidRDefault="00EC0E7E" w:rsidRPr="00027471">
      <w:pPr>
        <w:pStyle w:val="Body"/>
        <w:jc w:val="both"/>
        <w:rPr>
          <w:rFonts w:ascii="Arial" w:cs="Arial" w:hAnsi="Arial"/>
          <w:sz w:val="22"/>
          <w:szCs w:val="22"/>
          <w:lang w:val="fr-FR"/>
        </w:rPr>
      </w:pPr>
      <w:r>
        <w:rPr>
          <w:rFonts w:ascii="Arial" w:cs="Arial" w:hAnsi="Arial"/>
          <w:sz w:val="22"/>
          <w:szCs w:val="22"/>
          <w:lang w:val="fr-FR"/>
        </w:rPr>
        <w:t>XXX</w:t>
      </w:r>
      <w:r w:rsidR="00C51417" w:rsidRPr="00027471">
        <w:rPr>
          <w:rFonts w:ascii="Arial" w:cs="Arial" w:hAnsi="Arial"/>
          <w:sz w:val="22"/>
          <w:szCs w:val="22"/>
          <w:lang w:val="fr-FR"/>
        </w:rPr>
        <w:t xml:space="preserve"> </w:t>
      </w:r>
      <w:r w:rsidR="00C51417" w:rsidRPr="00027471">
        <w:rPr>
          <w:rFonts w:ascii="Arial" w:cs="Arial" w:hAnsi="Arial"/>
          <w:sz w:val="22"/>
          <w:szCs w:val="22"/>
          <w:lang w:val="fr-FR"/>
        </w:rPr>
        <w:tab/>
      </w:r>
      <w:r w:rsidR="00C51417" w:rsidRPr="00027471">
        <w:rPr>
          <w:rFonts w:ascii="Arial" w:cs="Arial" w:hAnsi="Arial"/>
          <w:sz w:val="22"/>
          <w:szCs w:val="22"/>
          <w:lang w:val="fr-FR"/>
        </w:rPr>
        <w:tab/>
      </w:r>
      <w:r w:rsidR="00C51417" w:rsidRPr="00027471">
        <w:rPr>
          <w:rFonts w:ascii="Arial" w:cs="Arial" w:hAnsi="Arial"/>
          <w:sz w:val="22"/>
          <w:szCs w:val="22"/>
          <w:lang w:val="fr-FR"/>
        </w:rPr>
        <w:tab/>
        <w:t xml:space="preserve">        </w:t>
      </w:r>
      <w:r w:rsidR="00C51417" w:rsidRPr="00027471">
        <w:rPr>
          <w:rFonts w:ascii="Arial" w:cs="Arial" w:hAnsi="Arial"/>
          <w:sz w:val="22"/>
          <w:szCs w:val="22"/>
          <w:lang w:val="fr-FR"/>
        </w:rPr>
        <w:tab/>
      </w:r>
      <w:r w:rsidR="00C51417" w:rsidRPr="00027471">
        <w:rPr>
          <w:rFonts w:ascii="Arial" w:cs="Arial" w:hAnsi="Arial"/>
          <w:sz w:val="22"/>
          <w:szCs w:val="22"/>
          <w:lang w:val="fr-FR"/>
        </w:rPr>
        <w:tab/>
      </w:r>
      <w:r w:rsidR="00C51417">
        <w:rPr>
          <w:rFonts w:ascii="Arial" w:cs="Arial" w:hAnsi="Arial"/>
          <w:sz w:val="22"/>
          <w:szCs w:val="22"/>
          <w:lang w:val="fr-FR"/>
        </w:rPr>
        <w:tab/>
      </w:r>
      <w:r>
        <w:rPr>
          <w:rFonts w:ascii="Arial" w:cs="Arial" w:hAnsi="Arial"/>
          <w:sz w:val="22"/>
          <w:szCs w:val="22"/>
          <w:lang w:val="fr-FR"/>
        </w:rPr>
        <w:tab/>
      </w:r>
      <w:r>
        <w:rPr>
          <w:rFonts w:ascii="Arial" w:cs="Arial" w:hAnsi="Arial"/>
          <w:sz w:val="22"/>
          <w:szCs w:val="22"/>
          <w:lang w:val="fr-FR"/>
        </w:rPr>
        <w:tab/>
      </w:r>
      <w:r>
        <w:rPr>
          <w:rFonts w:ascii="Arial" w:cs="Arial" w:hAnsi="Arial"/>
          <w:sz w:val="22"/>
          <w:szCs w:val="22"/>
          <w:lang w:val="fr-FR"/>
        </w:rPr>
        <w:tab/>
        <w:t>YYY</w:t>
      </w:r>
      <w:r w:rsidR="00C51417" w:rsidRPr="00027471">
        <w:rPr>
          <w:rFonts w:ascii="Arial" w:cs="Arial" w:hAnsi="Arial"/>
          <w:sz w:val="22"/>
          <w:szCs w:val="22"/>
          <w:lang w:val="fr-FR"/>
        </w:rPr>
        <w:tab/>
      </w:r>
    </w:p>
    <w:p w14:paraId="702CDE78" w14:textId="77777777" w:rsidP="00C51417" w:rsidR="00C51417" w:rsidRDefault="00C51417" w:rsidRPr="00027471">
      <w:pPr>
        <w:pStyle w:val="Body"/>
        <w:jc w:val="both"/>
        <w:rPr>
          <w:rFonts w:ascii="Arial" w:cs="Arial" w:hAnsi="Arial"/>
          <w:sz w:val="22"/>
          <w:szCs w:val="22"/>
          <w:lang w:val="fr-FR"/>
        </w:rPr>
      </w:pPr>
    </w:p>
    <w:p w14:paraId="045F97E9" w14:textId="77777777" w:rsidP="00C51417" w:rsidR="00C51417" w:rsidRDefault="00C51417" w:rsidRPr="00027471">
      <w:pPr>
        <w:pStyle w:val="Body"/>
        <w:jc w:val="both"/>
        <w:rPr>
          <w:rFonts w:ascii="Arial" w:cs="Arial" w:hAnsi="Arial"/>
          <w:sz w:val="22"/>
          <w:szCs w:val="22"/>
          <w:lang w:val="fr-FR"/>
        </w:rPr>
      </w:pPr>
    </w:p>
    <w:p w14:paraId="625371ED" w14:textId="77777777" w:rsidP="00C51417" w:rsidR="00C51417" w:rsidRDefault="00C51417" w:rsidRPr="00027471">
      <w:pPr>
        <w:pStyle w:val="Body"/>
        <w:jc w:val="both"/>
        <w:rPr>
          <w:rFonts w:ascii="Arial" w:cs="Arial" w:hAnsi="Arial"/>
          <w:sz w:val="22"/>
          <w:szCs w:val="22"/>
          <w:lang w:val="fr-FR"/>
        </w:rPr>
      </w:pPr>
    </w:p>
    <w:p w14:paraId="0C579701" w14:textId="77777777" w:rsidP="0041161D" w:rsidR="009C78E7" w:rsidRDefault="009C78E7" w:rsidRPr="00164E0A"/>
    <w:sectPr w:rsidR="009C78E7" w:rsidRPr="00164E0A" w:rsidSect="009D1B43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code="9" w:h="16838" w:w="11906"/>
      <w:pgMar w:bottom="1418" w:footer="709" w:gutter="0" w:header="709" w:left="1418" w:right="1418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4F0E7" w14:textId="77777777" w:rsidR="00F30EB4" w:rsidRDefault="00F30EB4">
      <w:r>
        <w:separator/>
      </w:r>
    </w:p>
  </w:endnote>
  <w:endnote w:type="continuationSeparator" w:id="0">
    <w:p w14:paraId="5106EA4E" w14:textId="77777777" w:rsidR="00F30EB4" w:rsidRDefault="00F3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B27BA36" w14:textId="77777777" w:rsidP="009D1B43" w:rsidR="0066559C" w:rsidRDefault="0066559C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D1965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5E1F73A5" w14:textId="77777777" w:rsidP="009D1B43" w:rsidR="0066559C" w:rsidRDefault="0066559C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9E1DDCE" w14:textId="77777777" w:rsidP="009D1B43" w:rsidR="0066559C" w:rsidRDefault="0066559C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E010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9071A40" w14:textId="77777777" w:rsidP="00371A5C" w:rsidR="0066559C" w:rsidRDefault="0066559C" w:rsidRPr="002D7C1B">
    <w:pPr>
      <w:pStyle w:val="Pieddepage"/>
      <w:ind w:right="360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639892B" w14:textId="77777777" w:rsidR="00E84EF3" w:rsidRDefault="00E84EF3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B70D67D" w14:textId="77777777" w:rsidR="00F30EB4" w:rsidRDefault="00F30EB4">
      <w:r>
        <w:separator/>
      </w:r>
    </w:p>
  </w:footnote>
  <w:footnote w:id="0" w:type="continuationSeparator">
    <w:p w14:paraId="58A856E7" w14:textId="77777777" w:rsidR="00F30EB4" w:rsidRDefault="00F30EB4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7F7DBF4" w14:textId="77777777" w:rsidR="00E84EF3" w:rsidRDefault="00E84EF3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110C3C9" w14:textId="77777777" w:rsidR="00E84EF3" w:rsidRDefault="00E84EF3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3DF22B6" w14:textId="77777777" w:rsidR="00E84EF3" w:rsidRDefault="00E84EF3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39E67CA2"/>
    <w:lvl w:ilvl="0">
      <w:start w:val="1"/>
      <w:numFmt w:val="bullet"/>
      <w:pStyle w:val="Listepuces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00457268"/>
    <w:multiLevelType w:val="hybridMultilevel"/>
    <w:tmpl w:val="5AA4B0CA"/>
    <w:lvl w:ilvl="0" w:tplc="64605398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  <w:sz w:val="24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C111B87"/>
    <w:multiLevelType w:val="hybridMultilevel"/>
    <w:tmpl w:val="9506A7B8"/>
    <w:lvl w:ilvl="0" w:tplc="040C0001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5843064"/>
    <w:multiLevelType w:val="hybridMultilevel"/>
    <w:tmpl w:val="4A32BFC2"/>
    <w:lvl w:ilvl="0" w:tplc="2C9E01F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BFDE4E88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3FF85CD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E61ED400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C5CEE8D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D1CAB9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38D6DC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74E29FB8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C934432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4947ABE"/>
    <w:multiLevelType w:val="hybridMultilevel"/>
    <w:tmpl w:val="1B0CE3B4"/>
    <w:lvl w:ilvl="0" w:tplc="DC9E4FAE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AD55A3C"/>
    <w:multiLevelType w:val="hybridMultilevel"/>
    <w:tmpl w:val="CD306930"/>
    <w:lvl w:ilvl="0" w:tplc="527E3FE0">
      <w:numFmt w:val="bullet"/>
      <w:lvlText w:val="-"/>
      <w:lvlJc w:val="left"/>
      <w:pPr>
        <w:tabs>
          <w:tab w:pos="900" w:val="num"/>
        </w:tabs>
        <w:ind w:hanging="360" w:left="90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620" w:val="num"/>
        </w:tabs>
        <w:ind w:hanging="360" w:left="162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340" w:val="num"/>
        </w:tabs>
        <w:ind w:hanging="360" w:left="234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3060" w:val="num"/>
        </w:tabs>
        <w:ind w:hanging="360" w:left="30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3780" w:val="num"/>
        </w:tabs>
        <w:ind w:hanging="360" w:left="378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4500" w:val="num"/>
        </w:tabs>
        <w:ind w:hanging="360" w:left="450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5220" w:val="num"/>
        </w:tabs>
        <w:ind w:hanging="360" w:left="522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5940" w:val="num"/>
        </w:tabs>
        <w:ind w:hanging="360" w:left="594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6660" w:val="num"/>
        </w:tabs>
        <w:ind w:hanging="360" w:left="6660"/>
      </w:pPr>
      <w:rPr>
        <w:rFonts w:ascii="Wingdings" w:hAnsi="Wingdings" w:hint="default"/>
      </w:rPr>
    </w:lvl>
  </w:abstractNum>
  <w:abstractNum w15:restartNumberingAfterBreak="0" w:abstractNumId="6">
    <w:nsid w:val="34C53591"/>
    <w:multiLevelType w:val="hybridMultilevel"/>
    <w:tmpl w:val="1F1CEDF4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57A35FF"/>
    <w:multiLevelType w:val="hybridMultilevel"/>
    <w:tmpl w:val="86DC3F1C"/>
    <w:lvl w:ilvl="0" w:tplc="87D2027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plc="E92E439C">
      <w:start w:val="158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2416DAC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BCACB94E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54665CFE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D7940966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D21AAE7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46C452F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E84C2E1E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8">
    <w:nsid w:val="3A674555"/>
    <w:multiLevelType w:val="multilevel"/>
    <w:tmpl w:val="266A1C36"/>
    <w:lvl w:ilvl="0">
      <w:start w:val="2"/>
      <w:numFmt w:val="decimal"/>
      <w:lvlText w:val="%1"/>
      <w:lvlJc w:val="left"/>
      <w:pPr>
        <w:tabs>
          <w:tab w:pos="600" w:val="num"/>
        </w:tabs>
        <w:ind w:hanging="600" w:left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864" w:val="num"/>
        </w:tabs>
        <w:ind w:hanging="600" w:left="864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pos="1248" w:val="num"/>
        </w:tabs>
        <w:ind w:hanging="720" w:left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1512" w:val="num"/>
        </w:tabs>
        <w:ind w:hanging="720" w:left="151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2136" w:val="num"/>
        </w:tabs>
        <w:ind w:hanging="1080" w:left="21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2400" w:val="num"/>
        </w:tabs>
        <w:ind w:hanging="1080" w:left="24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3024" w:val="num"/>
        </w:tabs>
        <w:ind w:hanging="1440" w:left="302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3288" w:val="num"/>
        </w:tabs>
        <w:ind w:hanging="1440" w:left="328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3912" w:val="num"/>
        </w:tabs>
        <w:ind w:hanging="1800" w:left="3912"/>
      </w:pPr>
      <w:rPr>
        <w:rFonts w:hint="default"/>
      </w:rPr>
    </w:lvl>
  </w:abstractNum>
  <w:abstractNum w15:restartNumberingAfterBreak="0" w:abstractNumId="9">
    <w:nsid w:val="3EFA4B74"/>
    <w:multiLevelType w:val="hybridMultilevel"/>
    <w:tmpl w:val="9B5EFEBC"/>
    <w:lvl w:ilvl="0" w:tplc="5E7E8A3C">
      <w:start w:val="6"/>
      <w:numFmt w:val="bullet"/>
      <w:lvlText w:val="-"/>
      <w:lvlJc w:val="left"/>
      <w:pPr>
        <w:ind w:hanging="360" w:left="72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0315E5C"/>
    <w:multiLevelType w:val="multilevel"/>
    <w:tmpl w:val="6E46E092"/>
    <w:lvl w:ilvl="0">
      <w:start w:val="2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1080" w:val="num"/>
        </w:tabs>
        <w:ind w:hanging="720" w:left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1260" w:val="num"/>
        </w:tabs>
        <w:ind w:hanging="720" w:left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800" w:val="num"/>
        </w:tabs>
        <w:ind w:hanging="1080" w:left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980" w:val="num"/>
        </w:tabs>
        <w:ind w:hanging="1080" w:left="19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2520" w:val="num"/>
        </w:tabs>
        <w:ind w:hanging="1440" w:left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2700" w:val="num"/>
        </w:tabs>
        <w:ind w:hanging="1440" w:left="27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3240" w:val="num"/>
        </w:tabs>
        <w:ind w:hanging="1800" w:left="3240"/>
      </w:pPr>
      <w:rPr>
        <w:rFonts w:hint="default"/>
      </w:rPr>
    </w:lvl>
  </w:abstractNum>
  <w:abstractNum w15:restartNumberingAfterBreak="0" w:abstractNumId="11">
    <w:nsid w:val="437E6CAE"/>
    <w:multiLevelType w:val="hybridMultilevel"/>
    <w:tmpl w:val="E31E938A"/>
    <w:lvl w:ilvl="0" w:tplc="EAFA1624">
      <w:start w:val="3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6CC3F85"/>
    <w:multiLevelType w:val="hybridMultilevel"/>
    <w:tmpl w:val="64800834"/>
    <w:lvl w:ilvl="0" w:tplc="C27E0014">
      <w:start w:val="7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  <w:b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ED32CF9"/>
    <w:multiLevelType w:val="hybridMultilevel"/>
    <w:tmpl w:val="CBCE3AA0"/>
    <w:lvl w:ilvl="0" w:tplc="DC9E4FAE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FEE19F4"/>
    <w:multiLevelType w:val="hybridMultilevel"/>
    <w:tmpl w:val="B68232D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76A47F9"/>
    <w:multiLevelType w:val="hybridMultilevel"/>
    <w:tmpl w:val="256C1C46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5D665556"/>
    <w:multiLevelType w:val="hybridMultilevel"/>
    <w:tmpl w:val="1D1897F4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673B7E95"/>
    <w:multiLevelType w:val="hybridMultilevel"/>
    <w:tmpl w:val="7264C942"/>
    <w:lvl w:ilvl="0" w:tplc="DC9E4FAE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6C000AF5"/>
    <w:multiLevelType w:val="hybridMultilevel"/>
    <w:tmpl w:val="6ED08C2C"/>
    <w:lvl w:ilvl="0" w:tplc="040C0005">
      <w:start w:val="1"/>
      <w:numFmt w:val="bullet"/>
      <w:lvlText w:val=""/>
      <w:lvlJc w:val="left"/>
      <w:pPr>
        <w:tabs>
          <w:tab w:pos="1080" w:val="num"/>
        </w:tabs>
        <w:ind w:hanging="360" w:left="108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19">
    <w:nsid w:val="71952E20"/>
    <w:multiLevelType w:val="hybridMultilevel"/>
    <w:tmpl w:val="BB869B72"/>
    <w:lvl w:ilvl="0" w:tplc="9F308F4C">
      <w:start w:val="12"/>
      <w:numFmt w:val="bullet"/>
      <w:lvlText w:val="-"/>
      <w:lvlJc w:val="left"/>
      <w:pPr>
        <w:tabs>
          <w:tab w:pos="888" w:val="num"/>
        </w:tabs>
        <w:ind w:hanging="360" w:left="888"/>
      </w:pPr>
      <w:rPr>
        <w:rFonts w:ascii="Times New Roman" w:cs="Times New Roman" w:eastAsia="Times New Roman" w:hAnsi="Times New Roman" w:hint="default"/>
        <w:i w:val="0"/>
      </w:rPr>
    </w:lvl>
    <w:lvl w:ilvl="1" w:tplc="040C0003">
      <w:start w:val="1"/>
      <w:numFmt w:val="bullet"/>
      <w:lvlText w:val="o"/>
      <w:lvlJc w:val="left"/>
      <w:pPr>
        <w:tabs>
          <w:tab w:pos="1608" w:val="num"/>
        </w:tabs>
        <w:ind w:hanging="360" w:left="160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328" w:val="num"/>
        </w:tabs>
        <w:ind w:hanging="360" w:left="232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048" w:val="num"/>
        </w:tabs>
        <w:ind w:hanging="360" w:left="304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768" w:val="num"/>
        </w:tabs>
        <w:ind w:hanging="360" w:left="376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488" w:val="num"/>
        </w:tabs>
        <w:ind w:hanging="360" w:left="448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208" w:val="num"/>
        </w:tabs>
        <w:ind w:hanging="360" w:left="520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928" w:val="num"/>
        </w:tabs>
        <w:ind w:hanging="360" w:left="592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648" w:val="num"/>
        </w:tabs>
        <w:ind w:hanging="360" w:left="6648"/>
      </w:pPr>
      <w:rPr>
        <w:rFonts w:ascii="Wingdings" w:hAnsi="Wingdings" w:hint="default"/>
      </w:rPr>
    </w:lvl>
  </w:abstractNum>
  <w:abstractNum w15:restartNumberingAfterBreak="0" w:abstractNumId="20">
    <w:nsid w:val="7CD95D9F"/>
    <w:multiLevelType w:val="hybridMultilevel"/>
    <w:tmpl w:val="FBCE9FBA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19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13"/>
  </w:num>
  <w:num w:numId="10">
    <w:abstractNumId w:val="15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2"/>
  </w:num>
  <w:num w:numId="16">
    <w:abstractNumId w:val="14"/>
  </w:num>
  <w:num w:numId="17">
    <w:abstractNumId w:val="12"/>
  </w:num>
  <w:num w:numId="18">
    <w:abstractNumId w:val="9"/>
  </w:num>
  <w:num w:numId="19">
    <w:abstractNumId w:val="1"/>
  </w:num>
  <w:num w:numId="20">
    <w:abstractNumId w:val="20"/>
  </w:num>
  <w:num w:numId="21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9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4710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70A"/>
    <w:rsid w:val="00004505"/>
    <w:rsid w:val="00011149"/>
    <w:rsid w:val="0001663B"/>
    <w:rsid w:val="00017706"/>
    <w:rsid w:val="00020EB7"/>
    <w:rsid w:val="00027C29"/>
    <w:rsid w:val="00042DBB"/>
    <w:rsid w:val="000502E2"/>
    <w:rsid w:val="00055F6C"/>
    <w:rsid w:val="000600C1"/>
    <w:rsid w:val="00064B43"/>
    <w:rsid w:val="000656A3"/>
    <w:rsid w:val="00083727"/>
    <w:rsid w:val="0009241D"/>
    <w:rsid w:val="00093B76"/>
    <w:rsid w:val="000955CE"/>
    <w:rsid w:val="000A050B"/>
    <w:rsid w:val="000A470A"/>
    <w:rsid w:val="000B633D"/>
    <w:rsid w:val="000B7EC9"/>
    <w:rsid w:val="000B7F00"/>
    <w:rsid w:val="000C2952"/>
    <w:rsid w:val="000D0984"/>
    <w:rsid w:val="000D39A4"/>
    <w:rsid w:val="000E3B0E"/>
    <w:rsid w:val="00104C86"/>
    <w:rsid w:val="001114B1"/>
    <w:rsid w:val="0012010D"/>
    <w:rsid w:val="001207EC"/>
    <w:rsid w:val="001333B5"/>
    <w:rsid w:val="001349CE"/>
    <w:rsid w:val="0014089D"/>
    <w:rsid w:val="001508B0"/>
    <w:rsid w:val="00155ECA"/>
    <w:rsid w:val="00164E0A"/>
    <w:rsid w:val="001707F8"/>
    <w:rsid w:val="0017542D"/>
    <w:rsid w:val="001804FD"/>
    <w:rsid w:val="00183A63"/>
    <w:rsid w:val="0019398B"/>
    <w:rsid w:val="00197360"/>
    <w:rsid w:val="001A26A0"/>
    <w:rsid w:val="001A2C1F"/>
    <w:rsid w:val="001A48EF"/>
    <w:rsid w:val="001B4C2C"/>
    <w:rsid w:val="001C7337"/>
    <w:rsid w:val="001C76D2"/>
    <w:rsid w:val="001D1798"/>
    <w:rsid w:val="001D2FAD"/>
    <w:rsid w:val="001D7581"/>
    <w:rsid w:val="001F2E67"/>
    <w:rsid w:val="0022463A"/>
    <w:rsid w:val="002251C0"/>
    <w:rsid w:val="0023597B"/>
    <w:rsid w:val="00240748"/>
    <w:rsid w:val="00241727"/>
    <w:rsid w:val="00245069"/>
    <w:rsid w:val="00251E92"/>
    <w:rsid w:val="00252C61"/>
    <w:rsid w:val="00255A4A"/>
    <w:rsid w:val="00257C13"/>
    <w:rsid w:val="0026039C"/>
    <w:rsid w:val="002643D3"/>
    <w:rsid w:val="00271A58"/>
    <w:rsid w:val="00274CFC"/>
    <w:rsid w:val="00274DA7"/>
    <w:rsid w:val="00285AB7"/>
    <w:rsid w:val="0029614A"/>
    <w:rsid w:val="002973F7"/>
    <w:rsid w:val="002A0DDA"/>
    <w:rsid w:val="002B1A5A"/>
    <w:rsid w:val="002C2D93"/>
    <w:rsid w:val="002C4AC9"/>
    <w:rsid w:val="002D6024"/>
    <w:rsid w:val="002D7C1B"/>
    <w:rsid w:val="002E3CFA"/>
    <w:rsid w:val="00312B6C"/>
    <w:rsid w:val="00313DC3"/>
    <w:rsid w:val="00317B75"/>
    <w:rsid w:val="00333B74"/>
    <w:rsid w:val="003356C9"/>
    <w:rsid w:val="0034705F"/>
    <w:rsid w:val="003533EE"/>
    <w:rsid w:val="0035712A"/>
    <w:rsid w:val="00357BBE"/>
    <w:rsid w:val="00367413"/>
    <w:rsid w:val="00367C30"/>
    <w:rsid w:val="00371A5C"/>
    <w:rsid w:val="003806DE"/>
    <w:rsid w:val="00386963"/>
    <w:rsid w:val="00386BA6"/>
    <w:rsid w:val="003A0379"/>
    <w:rsid w:val="003B3D76"/>
    <w:rsid w:val="003C1900"/>
    <w:rsid w:val="003E0109"/>
    <w:rsid w:val="003E289C"/>
    <w:rsid w:val="003E3736"/>
    <w:rsid w:val="003E4CBF"/>
    <w:rsid w:val="003F72DE"/>
    <w:rsid w:val="003F79FF"/>
    <w:rsid w:val="00402E19"/>
    <w:rsid w:val="00403B34"/>
    <w:rsid w:val="0040620B"/>
    <w:rsid w:val="0041161D"/>
    <w:rsid w:val="00414407"/>
    <w:rsid w:val="00416E24"/>
    <w:rsid w:val="0042637C"/>
    <w:rsid w:val="00434511"/>
    <w:rsid w:val="00442747"/>
    <w:rsid w:val="0047080B"/>
    <w:rsid w:val="00474004"/>
    <w:rsid w:val="00474FC6"/>
    <w:rsid w:val="00483A3B"/>
    <w:rsid w:val="004905D5"/>
    <w:rsid w:val="00494206"/>
    <w:rsid w:val="00497C31"/>
    <w:rsid w:val="004A0725"/>
    <w:rsid w:val="004A19B6"/>
    <w:rsid w:val="004A224A"/>
    <w:rsid w:val="004A3295"/>
    <w:rsid w:val="004A6868"/>
    <w:rsid w:val="004A7F1B"/>
    <w:rsid w:val="004B0CDD"/>
    <w:rsid w:val="004D43BC"/>
    <w:rsid w:val="004D5022"/>
    <w:rsid w:val="004D506E"/>
    <w:rsid w:val="004E2884"/>
    <w:rsid w:val="004F0CF6"/>
    <w:rsid w:val="004F4DE8"/>
    <w:rsid w:val="00503649"/>
    <w:rsid w:val="00506840"/>
    <w:rsid w:val="00507862"/>
    <w:rsid w:val="00520F4E"/>
    <w:rsid w:val="005227CA"/>
    <w:rsid w:val="00525D7A"/>
    <w:rsid w:val="00525E90"/>
    <w:rsid w:val="0054235E"/>
    <w:rsid w:val="00543E68"/>
    <w:rsid w:val="00545308"/>
    <w:rsid w:val="00555DAE"/>
    <w:rsid w:val="005569BB"/>
    <w:rsid w:val="00571B04"/>
    <w:rsid w:val="00574B5B"/>
    <w:rsid w:val="0059284E"/>
    <w:rsid w:val="005933B0"/>
    <w:rsid w:val="005A72DE"/>
    <w:rsid w:val="005B5150"/>
    <w:rsid w:val="005B55CF"/>
    <w:rsid w:val="005C0851"/>
    <w:rsid w:val="005D6110"/>
    <w:rsid w:val="005E76CF"/>
    <w:rsid w:val="005F547F"/>
    <w:rsid w:val="00603C46"/>
    <w:rsid w:val="00604457"/>
    <w:rsid w:val="00604E56"/>
    <w:rsid w:val="00606A03"/>
    <w:rsid w:val="006079C7"/>
    <w:rsid w:val="00615A1F"/>
    <w:rsid w:val="006310E5"/>
    <w:rsid w:val="00636710"/>
    <w:rsid w:val="00642D5F"/>
    <w:rsid w:val="00656FB3"/>
    <w:rsid w:val="0066559C"/>
    <w:rsid w:val="00666841"/>
    <w:rsid w:val="00666F68"/>
    <w:rsid w:val="00674EB0"/>
    <w:rsid w:val="00684331"/>
    <w:rsid w:val="00685BC8"/>
    <w:rsid w:val="006954E7"/>
    <w:rsid w:val="006A02CE"/>
    <w:rsid w:val="006C3B87"/>
    <w:rsid w:val="006E0F6A"/>
    <w:rsid w:val="006F1745"/>
    <w:rsid w:val="0070569A"/>
    <w:rsid w:val="0070667B"/>
    <w:rsid w:val="00711A12"/>
    <w:rsid w:val="0071484C"/>
    <w:rsid w:val="00726D25"/>
    <w:rsid w:val="0073134E"/>
    <w:rsid w:val="00731856"/>
    <w:rsid w:val="00737F1A"/>
    <w:rsid w:val="007407FF"/>
    <w:rsid w:val="00740F33"/>
    <w:rsid w:val="00742B95"/>
    <w:rsid w:val="00751C06"/>
    <w:rsid w:val="0075568A"/>
    <w:rsid w:val="00756217"/>
    <w:rsid w:val="00772CC4"/>
    <w:rsid w:val="007747A1"/>
    <w:rsid w:val="00775425"/>
    <w:rsid w:val="0078333D"/>
    <w:rsid w:val="007843CE"/>
    <w:rsid w:val="007A7DCB"/>
    <w:rsid w:val="007B05A6"/>
    <w:rsid w:val="007B5F96"/>
    <w:rsid w:val="0080308D"/>
    <w:rsid w:val="00804276"/>
    <w:rsid w:val="00811A40"/>
    <w:rsid w:val="00813A1E"/>
    <w:rsid w:val="00815CEA"/>
    <w:rsid w:val="00824B1F"/>
    <w:rsid w:val="008369A2"/>
    <w:rsid w:val="00847E4E"/>
    <w:rsid w:val="00851F00"/>
    <w:rsid w:val="00852FC5"/>
    <w:rsid w:val="0085398B"/>
    <w:rsid w:val="008616FA"/>
    <w:rsid w:val="00863FCD"/>
    <w:rsid w:val="008740F1"/>
    <w:rsid w:val="00885FA5"/>
    <w:rsid w:val="008A4571"/>
    <w:rsid w:val="008B3F66"/>
    <w:rsid w:val="008B6E62"/>
    <w:rsid w:val="008D09DF"/>
    <w:rsid w:val="008D3E44"/>
    <w:rsid w:val="008D43B0"/>
    <w:rsid w:val="008E1445"/>
    <w:rsid w:val="008E4FDF"/>
    <w:rsid w:val="008F3E2F"/>
    <w:rsid w:val="009063D9"/>
    <w:rsid w:val="00911A0F"/>
    <w:rsid w:val="00924C45"/>
    <w:rsid w:val="009333CE"/>
    <w:rsid w:val="00945629"/>
    <w:rsid w:val="00947D3E"/>
    <w:rsid w:val="00954F46"/>
    <w:rsid w:val="009566BC"/>
    <w:rsid w:val="00962D7A"/>
    <w:rsid w:val="009703F6"/>
    <w:rsid w:val="00976517"/>
    <w:rsid w:val="009B2AB1"/>
    <w:rsid w:val="009B46CA"/>
    <w:rsid w:val="009C01FE"/>
    <w:rsid w:val="009C78E7"/>
    <w:rsid w:val="009D0C69"/>
    <w:rsid w:val="009D1965"/>
    <w:rsid w:val="009D1B43"/>
    <w:rsid w:val="009D35A5"/>
    <w:rsid w:val="009D5336"/>
    <w:rsid w:val="009E64E2"/>
    <w:rsid w:val="009F072B"/>
    <w:rsid w:val="00A1035E"/>
    <w:rsid w:val="00A119CC"/>
    <w:rsid w:val="00A22D25"/>
    <w:rsid w:val="00A26CCB"/>
    <w:rsid w:val="00A32E0C"/>
    <w:rsid w:val="00A443DD"/>
    <w:rsid w:val="00A460B6"/>
    <w:rsid w:val="00A46BC4"/>
    <w:rsid w:val="00A52590"/>
    <w:rsid w:val="00A61B05"/>
    <w:rsid w:val="00A637AE"/>
    <w:rsid w:val="00A778CD"/>
    <w:rsid w:val="00A80053"/>
    <w:rsid w:val="00A8590C"/>
    <w:rsid w:val="00A90113"/>
    <w:rsid w:val="00A90F50"/>
    <w:rsid w:val="00A91096"/>
    <w:rsid w:val="00AA41C5"/>
    <w:rsid w:val="00AA7BB8"/>
    <w:rsid w:val="00AA7BF6"/>
    <w:rsid w:val="00AB0829"/>
    <w:rsid w:val="00AB385D"/>
    <w:rsid w:val="00AC4660"/>
    <w:rsid w:val="00AD092F"/>
    <w:rsid w:val="00AD274A"/>
    <w:rsid w:val="00AE67F3"/>
    <w:rsid w:val="00AE7CE2"/>
    <w:rsid w:val="00AF14A1"/>
    <w:rsid w:val="00AF35D0"/>
    <w:rsid w:val="00AF643D"/>
    <w:rsid w:val="00B03BA3"/>
    <w:rsid w:val="00B05A49"/>
    <w:rsid w:val="00B25D3D"/>
    <w:rsid w:val="00B31830"/>
    <w:rsid w:val="00B410FB"/>
    <w:rsid w:val="00B448F7"/>
    <w:rsid w:val="00B5386F"/>
    <w:rsid w:val="00B6560E"/>
    <w:rsid w:val="00B72765"/>
    <w:rsid w:val="00B742B5"/>
    <w:rsid w:val="00BB5268"/>
    <w:rsid w:val="00BC042D"/>
    <w:rsid w:val="00BC0659"/>
    <w:rsid w:val="00BC1FFF"/>
    <w:rsid w:val="00BC534F"/>
    <w:rsid w:val="00BC6CE7"/>
    <w:rsid w:val="00BD01FD"/>
    <w:rsid w:val="00BE7946"/>
    <w:rsid w:val="00C00035"/>
    <w:rsid w:val="00C0075C"/>
    <w:rsid w:val="00C00E7D"/>
    <w:rsid w:val="00C04FA3"/>
    <w:rsid w:val="00C05130"/>
    <w:rsid w:val="00C2672C"/>
    <w:rsid w:val="00C26AD9"/>
    <w:rsid w:val="00C26DAB"/>
    <w:rsid w:val="00C377A5"/>
    <w:rsid w:val="00C4179F"/>
    <w:rsid w:val="00C4695A"/>
    <w:rsid w:val="00C51417"/>
    <w:rsid w:val="00C52E14"/>
    <w:rsid w:val="00C62718"/>
    <w:rsid w:val="00C6447C"/>
    <w:rsid w:val="00C67721"/>
    <w:rsid w:val="00C72B7E"/>
    <w:rsid w:val="00C74241"/>
    <w:rsid w:val="00C74C1B"/>
    <w:rsid w:val="00C75BBC"/>
    <w:rsid w:val="00C80545"/>
    <w:rsid w:val="00C82CD1"/>
    <w:rsid w:val="00C910EC"/>
    <w:rsid w:val="00CA1A1A"/>
    <w:rsid w:val="00CB0FD9"/>
    <w:rsid w:val="00CB1AE5"/>
    <w:rsid w:val="00CC0237"/>
    <w:rsid w:val="00CC12E3"/>
    <w:rsid w:val="00CC4A3D"/>
    <w:rsid w:val="00CD2962"/>
    <w:rsid w:val="00CD3185"/>
    <w:rsid w:val="00CD5F9F"/>
    <w:rsid w:val="00CE1A16"/>
    <w:rsid w:val="00CE2DE6"/>
    <w:rsid w:val="00CF1A1F"/>
    <w:rsid w:val="00CF1BEE"/>
    <w:rsid w:val="00CF6DEE"/>
    <w:rsid w:val="00D219BB"/>
    <w:rsid w:val="00D247B4"/>
    <w:rsid w:val="00D50B50"/>
    <w:rsid w:val="00D50D69"/>
    <w:rsid w:val="00D67E09"/>
    <w:rsid w:val="00D86C80"/>
    <w:rsid w:val="00DA3D40"/>
    <w:rsid w:val="00DC0F6B"/>
    <w:rsid w:val="00DD0811"/>
    <w:rsid w:val="00DD199B"/>
    <w:rsid w:val="00DD1FCD"/>
    <w:rsid w:val="00DD230A"/>
    <w:rsid w:val="00DD492F"/>
    <w:rsid w:val="00DD512A"/>
    <w:rsid w:val="00DD7AE7"/>
    <w:rsid w:val="00DE371D"/>
    <w:rsid w:val="00DE46DE"/>
    <w:rsid w:val="00DE6580"/>
    <w:rsid w:val="00DE6A6D"/>
    <w:rsid w:val="00E05838"/>
    <w:rsid w:val="00E128F5"/>
    <w:rsid w:val="00E1458C"/>
    <w:rsid w:val="00E15969"/>
    <w:rsid w:val="00E1783C"/>
    <w:rsid w:val="00E24B4D"/>
    <w:rsid w:val="00E33351"/>
    <w:rsid w:val="00E3492E"/>
    <w:rsid w:val="00E406A7"/>
    <w:rsid w:val="00E42F0B"/>
    <w:rsid w:val="00E456C8"/>
    <w:rsid w:val="00E550A0"/>
    <w:rsid w:val="00E56B8E"/>
    <w:rsid w:val="00E76B64"/>
    <w:rsid w:val="00E833F9"/>
    <w:rsid w:val="00E84EF3"/>
    <w:rsid w:val="00E931DB"/>
    <w:rsid w:val="00E96EC8"/>
    <w:rsid w:val="00EA376B"/>
    <w:rsid w:val="00EA75D7"/>
    <w:rsid w:val="00EC0E7E"/>
    <w:rsid w:val="00ED4226"/>
    <w:rsid w:val="00ED568E"/>
    <w:rsid w:val="00ED6ACB"/>
    <w:rsid w:val="00EE457F"/>
    <w:rsid w:val="00EE459C"/>
    <w:rsid w:val="00EF1F42"/>
    <w:rsid w:val="00F01250"/>
    <w:rsid w:val="00F03540"/>
    <w:rsid w:val="00F0793E"/>
    <w:rsid w:val="00F10263"/>
    <w:rsid w:val="00F30EB4"/>
    <w:rsid w:val="00F31378"/>
    <w:rsid w:val="00F352AE"/>
    <w:rsid w:val="00F513CC"/>
    <w:rsid w:val="00F71092"/>
    <w:rsid w:val="00F75538"/>
    <w:rsid w:val="00F8134E"/>
    <w:rsid w:val="00F83796"/>
    <w:rsid w:val="00F87E67"/>
    <w:rsid w:val="00F92055"/>
    <w:rsid w:val="00FA010B"/>
    <w:rsid w:val="00FA2549"/>
    <w:rsid w:val="00FA2827"/>
    <w:rsid w:val="00FB24DD"/>
    <w:rsid w:val="00FB31E8"/>
    <w:rsid w:val="00FB795A"/>
    <w:rsid w:val="00FB7DD6"/>
    <w:rsid w:val="00FC1293"/>
    <w:rsid w:val="00FC7407"/>
    <w:rsid w:val="00FD163B"/>
    <w:rsid w:val="00FD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47105" v:ext="edit"/>
    <o:shapelayout v:ext="edit">
      <o:idmap data="1" v:ext="edit"/>
    </o:shapelayout>
  </w:shapeDefaults>
  <w:decimalSymbol w:val=","/>
  <w:listSeparator w:val=";"/>
  <w14:docId w14:val="2D88E145"/>
  <w15:chartTrackingRefBased/>
  <w15:docId w15:val="{382A5DA3-3397-42C7-B5CF-3031FD8F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03C46"/>
    <w:rPr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ieddepage" w:type="paragraph">
    <w:name w:val="footer"/>
    <w:basedOn w:val="Normal"/>
    <w:rsid w:val="002A0DDA"/>
    <w:pPr>
      <w:tabs>
        <w:tab w:pos="4536" w:val="center"/>
        <w:tab w:pos="9072" w:val="right"/>
      </w:tabs>
    </w:pPr>
  </w:style>
  <w:style w:styleId="Titre" w:type="paragraph">
    <w:name w:val="Title"/>
    <w:basedOn w:val="Normal"/>
    <w:qFormat/>
    <w:rsid w:val="002A0DDA"/>
    <w:pPr>
      <w:jc w:val="center"/>
    </w:pPr>
    <w:rPr>
      <w:rFonts w:ascii="Arial" w:cs="Arial" w:hAnsi="Arial"/>
      <w:b/>
      <w:bCs/>
      <w:sz w:val="22"/>
      <w:szCs w:val="22"/>
    </w:rPr>
  </w:style>
  <w:style w:styleId="Numrodepage" w:type="character">
    <w:name w:val="page number"/>
    <w:basedOn w:val="Policepardfaut"/>
    <w:rsid w:val="002A0DDA"/>
  </w:style>
  <w:style w:styleId="Grilledutableau" w:type="table">
    <w:name w:val="Table Grid"/>
    <w:basedOn w:val="TableauNormal"/>
    <w:rsid w:val="002A0DDA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exte" w:type="paragraph">
    <w:name w:val="texte"/>
    <w:basedOn w:val="Textebrut"/>
    <w:rsid w:val="002A0DDA"/>
    <w:pPr>
      <w:jc w:val="both"/>
    </w:pPr>
    <w:rPr>
      <w:rFonts w:ascii="Arial" w:cs="Arial" w:eastAsia="MS Mincho" w:hAnsi="Arial"/>
      <w:sz w:val="22"/>
    </w:rPr>
  </w:style>
  <w:style w:styleId="Textebrut" w:type="paragraph">
    <w:name w:val="Plain Text"/>
    <w:basedOn w:val="Normal"/>
    <w:rsid w:val="002A0DDA"/>
    <w:rPr>
      <w:rFonts w:ascii="Courier New" w:cs="Courier New" w:hAnsi="Courier New"/>
      <w:sz w:val="20"/>
      <w:szCs w:val="20"/>
    </w:rPr>
  </w:style>
  <w:style w:styleId="Textedebulles" w:type="paragraph">
    <w:name w:val="Balloon Text"/>
    <w:basedOn w:val="Normal"/>
    <w:semiHidden/>
    <w:rsid w:val="002A0DDA"/>
    <w:rPr>
      <w:rFonts w:ascii="Tahoma" w:cs="Tahoma" w:hAnsi="Tahoma"/>
      <w:sz w:val="16"/>
      <w:szCs w:val="16"/>
    </w:rPr>
  </w:style>
  <w:style w:styleId="Marquedecommentaire" w:type="character">
    <w:name w:val="annotation reference"/>
    <w:semiHidden/>
    <w:rsid w:val="00FA2827"/>
    <w:rPr>
      <w:sz w:val="16"/>
      <w:szCs w:val="16"/>
    </w:rPr>
  </w:style>
  <w:style w:styleId="Commentaire" w:type="paragraph">
    <w:name w:val="annotation text"/>
    <w:basedOn w:val="Normal"/>
    <w:semiHidden/>
    <w:rsid w:val="00FA2827"/>
    <w:rPr>
      <w:sz w:val="20"/>
      <w:szCs w:val="20"/>
    </w:rPr>
  </w:style>
  <w:style w:styleId="Objetducommentaire" w:type="paragraph">
    <w:name w:val="annotation subject"/>
    <w:basedOn w:val="Commentaire"/>
    <w:next w:val="Commentaire"/>
    <w:semiHidden/>
    <w:rsid w:val="00FA2827"/>
    <w:rPr>
      <w:b/>
      <w:bCs/>
    </w:rPr>
  </w:style>
  <w:style w:styleId="En-tte" w:type="paragraph">
    <w:name w:val="header"/>
    <w:basedOn w:val="Normal"/>
    <w:rsid w:val="00C377A5"/>
    <w:pPr>
      <w:tabs>
        <w:tab w:pos="4536" w:val="center"/>
        <w:tab w:pos="9072" w:val="right"/>
      </w:tabs>
    </w:pPr>
  </w:style>
  <w:style w:customStyle="1" w:styleId="Texte0" w:type="paragraph">
    <w:name w:val="Texte"/>
    <w:rsid w:val="00CD3185"/>
    <w:pPr>
      <w:ind w:left="567"/>
      <w:jc w:val="both"/>
    </w:pPr>
    <w:rPr>
      <w:rFonts w:ascii="Helvetica" w:hAnsi="Helvetica"/>
      <w:color w:val="000000"/>
      <w:sz w:val="22"/>
    </w:rPr>
  </w:style>
  <w:style w:customStyle="1" w:styleId="1" w:type="paragraph">
    <w:name w:val="1"/>
    <w:basedOn w:val="Normal"/>
    <w:rsid w:val="00CD3185"/>
    <w:pPr>
      <w:tabs>
        <w:tab w:pos="1680" w:val="left"/>
      </w:tabs>
      <w:spacing w:after="160" w:line="240" w:lineRule="exact"/>
      <w:ind w:left="720" w:leftChars="360"/>
    </w:pPr>
    <w:rPr>
      <w:rFonts w:ascii="Verdana" w:cs="Verdana" w:hAnsi="Verdana"/>
      <w:b/>
      <w:sz w:val="20"/>
      <w:lang w:bidi="ne-IN" w:eastAsia="en-US" w:val="en-GB"/>
    </w:rPr>
  </w:style>
  <w:style w:customStyle="1" w:styleId="apple-style-span" w:type="character">
    <w:name w:val="apple-style-span"/>
    <w:basedOn w:val="Policepardfaut"/>
    <w:rsid w:val="00497C31"/>
  </w:style>
  <w:style w:styleId="Paragraphedeliste" w:type="paragraph">
    <w:name w:val="List Paragraph"/>
    <w:basedOn w:val="Normal"/>
    <w:uiPriority w:val="34"/>
    <w:qFormat/>
    <w:rsid w:val="00B410FB"/>
    <w:pPr>
      <w:ind w:left="708"/>
    </w:pPr>
  </w:style>
  <w:style w:styleId="Listepuces" w:type="paragraph">
    <w:name w:val="List Bullet"/>
    <w:basedOn w:val="Normal"/>
    <w:uiPriority w:val="99"/>
    <w:unhideWhenUsed/>
    <w:rsid w:val="00742B95"/>
    <w:pPr>
      <w:numPr>
        <w:numId w:val="11"/>
      </w:numPr>
      <w:contextualSpacing/>
    </w:pPr>
  </w:style>
  <w:style w:customStyle="1" w:styleId="CarCarCarCarCarCarCarCarCarCarCarCarCarCar" w:type="paragraph">
    <w:name w:val="Car Car Car Car Car Car Car Car Car Car Car Car Car Car"/>
    <w:basedOn w:val="Normal"/>
    <w:rsid w:val="00E550A0"/>
    <w:pPr>
      <w:tabs>
        <w:tab w:pos="1680" w:val="left"/>
      </w:tabs>
      <w:spacing w:after="160" w:line="240" w:lineRule="exact"/>
      <w:ind w:left="720" w:leftChars="360"/>
    </w:pPr>
    <w:rPr>
      <w:rFonts w:ascii="Verdana" w:cs="Verdana" w:hAnsi="Verdana"/>
      <w:b/>
      <w:sz w:val="20"/>
      <w:lang w:bidi="ne-IN" w:eastAsia="en-US" w:val="en-GB"/>
    </w:rPr>
  </w:style>
  <w:style w:styleId="Rvision" w:type="paragraph">
    <w:name w:val="Revision"/>
    <w:hidden/>
    <w:uiPriority w:val="99"/>
    <w:semiHidden/>
    <w:rsid w:val="002C2D93"/>
    <w:rPr>
      <w:sz w:val="24"/>
      <w:szCs w:val="24"/>
    </w:rPr>
  </w:style>
  <w:style w:customStyle="1" w:styleId="Body" w:type="paragraph">
    <w:name w:val="Body"/>
    <w:rsid w:val="00C51417"/>
    <w:rPr>
      <w:sz w:val="24"/>
      <w:szCs w:val="24"/>
      <w:lang w:eastAsia="en-US" w:val="en-GB"/>
    </w:rPr>
  </w:style>
  <w:style w:customStyle="1" w:styleId="TableGrid" w:type="table">
    <w:name w:val="TableGrid"/>
    <w:rsid w:val="00C51417"/>
    <w:rPr>
      <w:rFonts w:asciiTheme="minorHAnsi" w:cstheme="minorBidi" w:eastAsiaTheme="minorEastAsia" w:hAnsiTheme="minorHAnsi"/>
      <w:sz w:val="22"/>
      <w:szCs w:val="22"/>
    </w:rPr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3E6AE-E6DC-444B-BAEE-83FAF242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1088</Words>
  <Characters>6141</Characters>
  <Application>Microsoft Office Word</Application>
  <DocSecurity>0</DocSecurity>
  <Lines>51</Lines>
  <Paragraphs>14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annuel 2009 sur les Salaires et diverses mesures</vt:lpstr>
    </vt:vector>
  </TitlesOfParts>
  <Company>Ipsen</Company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2022-06-13T12:04:00Z</dcterms:created>
  <cp:lastPrinted>2018-11-14T16:01:00Z</cp:lastPrinted>
  <dcterms:modified xsi:type="dcterms:W3CDTF">2022-06-13T12:04:00Z</dcterms:modified>
  <cp:revision>3</cp:revision>
  <dc:title>Accord annuel 2009 sur les Salaires et diverses mesures</dc:title>
</cp:coreProperties>
</file>